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AD7C959">
      <w:pPr>
        <w:jc w:val="center"/>
      </w:pPr>
      <w:r>
        <w:drawing>
          <wp:anchor distT="0" distB="0" distL="114300" distR="114300" simplePos="0" relativeHeight="251659264" behindDoc="0" locked="0" layoutInCell="1" allowOverlap="1">
            <wp:simplePos x="0" y="0"/>
            <wp:positionH relativeFrom="column">
              <wp:posOffset>-1104900</wp:posOffset>
            </wp:positionH>
            <wp:positionV relativeFrom="paragraph">
              <wp:posOffset>-916305</wp:posOffset>
            </wp:positionV>
            <wp:extent cx="7666355" cy="1584325"/>
            <wp:effectExtent l="0" t="0" r="0" b="0"/>
            <wp:wrapNone/>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pic:cNvPicPr>
                  </pic:nvPicPr>
                  <pic:blipFill>
                    <a:blip r:embed="rId15"/>
                    <a:stretch>
                      <a:fillRect/>
                    </a:stretch>
                  </pic:blipFill>
                  <pic:spPr>
                    <a:xfrm>
                      <a:off x="0" y="0"/>
                      <a:ext cx="7666355" cy="1584325"/>
                    </a:xfrm>
                    <a:prstGeom prst="rect">
                      <a:avLst/>
                    </a:prstGeom>
                    <a:noFill/>
                    <a:ln>
                      <a:noFill/>
                    </a:ln>
                  </pic:spPr>
                </pic:pic>
              </a:graphicData>
            </a:graphic>
          </wp:anchor>
        </w:drawing>
      </w:r>
    </w:p>
    <w:p w14:paraId="03542358">
      <w:pPr>
        <w:jc w:val="center"/>
        <w:rPr>
          <w:rFonts w:eastAsia="黑体"/>
          <w:b/>
          <w:sz w:val="52"/>
          <w:szCs w:val="52"/>
        </w:rPr>
      </w:pPr>
    </w:p>
    <w:p w14:paraId="4DDC896F">
      <w:pPr>
        <w:jc w:val="center"/>
        <w:rPr>
          <w:rFonts w:eastAsia="黑体"/>
          <w:b/>
          <w:sz w:val="52"/>
        </w:rPr>
      </w:pPr>
    </w:p>
    <w:p w14:paraId="20915673">
      <w:pPr>
        <w:jc w:val="center"/>
        <w:rPr>
          <w:rFonts w:eastAsia="黑体"/>
          <w:b/>
          <w:sz w:val="52"/>
        </w:rPr>
      </w:pPr>
    </w:p>
    <w:p w14:paraId="02AE2C35">
      <w:pPr>
        <w:jc w:val="center"/>
        <w:rPr>
          <w:rFonts w:eastAsia="黑体"/>
          <w:b/>
          <w:sz w:val="52"/>
        </w:rPr>
      </w:pPr>
      <w:r>
        <w:rPr>
          <w:rFonts w:hint="eastAsia" w:eastAsia="黑体"/>
          <w:b/>
          <w:sz w:val="52"/>
        </w:rPr>
        <w:t>海南-广东电力灵活互济工程</w:t>
      </w:r>
    </w:p>
    <w:p w14:paraId="6EE2AA18">
      <w:pPr>
        <w:jc w:val="center"/>
        <w:rPr>
          <w:rFonts w:eastAsia="黑体"/>
          <w:b/>
          <w:sz w:val="52"/>
        </w:rPr>
      </w:pPr>
      <w:r>
        <w:rPr>
          <w:rFonts w:hint="eastAsia" w:eastAsia="黑体"/>
          <w:b/>
          <w:sz w:val="52"/>
        </w:rPr>
        <w:t>500千伏海缆系统及其附属设备</w:t>
      </w:r>
    </w:p>
    <w:p w14:paraId="21559A09">
      <w:pPr>
        <w:jc w:val="center"/>
        <w:rPr>
          <w:rFonts w:eastAsia="黑体"/>
          <w:b/>
          <w:sz w:val="52"/>
        </w:rPr>
      </w:pPr>
      <w:r>
        <w:rPr>
          <w:rFonts w:hint="eastAsia" w:eastAsia="黑体"/>
          <w:b/>
          <w:sz w:val="52"/>
        </w:rPr>
        <w:t>技术规范书</w:t>
      </w:r>
    </w:p>
    <w:p w14:paraId="6C0318E5">
      <w:pPr>
        <w:spacing w:before="624" w:beforeLines="200"/>
        <w:jc w:val="center"/>
        <w:rPr>
          <w:rFonts w:eastAsia="黑体"/>
          <w:b/>
          <w:sz w:val="52"/>
        </w:rPr>
      </w:pPr>
    </w:p>
    <w:p w14:paraId="4DDEE9EC">
      <w:pPr>
        <w:spacing w:before="624" w:beforeLines="200"/>
        <w:jc w:val="center"/>
        <w:rPr>
          <w:rFonts w:hint="eastAsia" w:eastAsia="黑体"/>
          <w:b/>
          <w:sz w:val="36"/>
          <w:lang w:eastAsia="zh-CN"/>
        </w:rPr>
      </w:pPr>
      <w:r>
        <w:rPr>
          <w:rFonts w:hint="eastAsia" w:eastAsia="黑体"/>
          <w:b/>
          <w:sz w:val="36"/>
        </w:rPr>
        <w:t>版本号：V</w:t>
      </w:r>
      <w:r>
        <w:rPr>
          <w:rFonts w:eastAsia="黑体"/>
          <w:b/>
          <w:sz w:val="36"/>
        </w:rPr>
        <w:t>1</w:t>
      </w:r>
      <w:r>
        <w:rPr>
          <w:rFonts w:hint="eastAsia" w:eastAsia="黑体"/>
          <w:b/>
          <w:sz w:val="36"/>
          <w:lang w:val="en-US" w:eastAsia="zh-CN"/>
        </w:rPr>
        <w:t>6</w:t>
      </w:r>
    </w:p>
    <w:p w14:paraId="7BC0EFC0">
      <w:pPr>
        <w:jc w:val="center"/>
        <w:rPr>
          <w:rFonts w:eastAsia="黑体"/>
          <w:b/>
          <w:sz w:val="36"/>
        </w:rPr>
      </w:pPr>
      <w:r>
        <w:rPr>
          <w:rFonts w:hint="eastAsia" w:eastAsia="黑体"/>
          <w:b/>
          <w:sz w:val="36"/>
        </w:rPr>
        <w:t>编号：</w:t>
      </w:r>
    </w:p>
    <w:p w14:paraId="33BAA3F8">
      <w:pPr>
        <w:ind w:firstLine="2512" w:firstLineChars="695"/>
        <w:rPr>
          <w:rFonts w:eastAsia="黑体"/>
          <w:b/>
          <w:sz w:val="36"/>
        </w:rPr>
      </w:pPr>
    </w:p>
    <w:p w14:paraId="1A312774">
      <w:pPr>
        <w:ind w:firstLine="2512" w:firstLineChars="695"/>
        <w:rPr>
          <w:rFonts w:eastAsia="黑体"/>
          <w:b/>
          <w:sz w:val="36"/>
        </w:rPr>
      </w:pPr>
    </w:p>
    <w:p w14:paraId="6AC3561E">
      <w:pPr>
        <w:pStyle w:val="2"/>
      </w:pPr>
    </w:p>
    <w:p w14:paraId="62CBB9F4">
      <w:pPr>
        <w:pStyle w:val="2"/>
      </w:pPr>
    </w:p>
    <w:p w14:paraId="3CA9A58D">
      <w:pPr>
        <w:pStyle w:val="2"/>
      </w:pPr>
    </w:p>
    <w:p w14:paraId="5340D8E1">
      <w:pPr>
        <w:spacing w:before="624" w:beforeLines="200"/>
        <w:ind w:firstLine="1530" w:firstLineChars="343"/>
        <w:jc w:val="left"/>
        <w:rPr>
          <w:rFonts w:ascii="黑体" w:eastAsia="黑体"/>
          <w:b/>
          <w:spacing w:val="20"/>
          <w:w w:val="135"/>
          <w:sz w:val="30"/>
        </w:rPr>
      </w:pPr>
      <w:r>
        <w:rPr>
          <w:rFonts w:hint="eastAsia" w:ascii="黑体" w:eastAsia="黑体"/>
          <w:b/>
          <w:spacing w:val="20"/>
          <w:w w:val="135"/>
          <w:sz w:val="30"/>
        </w:rPr>
        <w:t>中国南方电网有限责任公司</w:t>
      </w:r>
    </w:p>
    <w:p w14:paraId="79CD1497">
      <w:pPr>
        <w:spacing w:line="360" w:lineRule="auto"/>
        <w:jc w:val="center"/>
        <w:rPr>
          <w:rFonts w:ascii="黑体" w:eastAsia="黑体"/>
          <w:b/>
          <w:spacing w:val="20"/>
          <w:w w:val="135"/>
          <w:sz w:val="30"/>
        </w:rPr>
      </w:pPr>
      <w:r>
        <w:rPr>
          <w:rFonts w:hint="eastAsia" w:ascii="黑体" w:eastAsia="黑体"/>
          <w:b/>
          <w:spacing w:val="20"/>
          <w:w w:val="135"/>
          <w:sz w:val="30"/>
        </w:rPr>
        <w:t>2026年</w:t>
      </w:r>
      <w:r>
        <w:rPr>
          <w:rFonts w:ascii="黑体" w:eastAsia="黑体"/>
          <w:b/>
          <w:spacing w:val="20"/>
          <w:w w:val="135"/>
          <w:sz w:val="30"/>
        </w:rPr>
        <w:t>6</w:t>
      </w:r>
      <w:r>
        <w:rPr>
          <w:rFonts w:hint="eastAsia" w:ascii="黑体" w:eastAsia="黑体"/>
          <w:b/>
          <w:spacing w:val="20"/>
          <w:w w:val="135"/>
          <w:sz w:val="30"/>
        </w:rPr>
        <w:t>月</w:t>
      </w:r>
    </w:p>
    <w:p w14:paraId="4B9BD16D">
      <w:pPr>
        <w:widowControl/>
        <w:jc w:val="left"/>
        <w:rPr>
          <w:rFonts w:ascii="仿宋_GB2312" w:eastAsia="仿宋_GB2312"/>
        </w:rPr>
      </w:pPr>
      <w:bookmarkStart w:id="0" w:name="_Toc241911990"/>
      <w:r>
        <w:rPr>
          <w:rFonts w:ascii="仿宋_GB2312" w:eastAsia="仿宋_GB2312"/>
        </w:rPr>
        <w:br w:type="page"/>
      </w:r>
    </w:p>
    <w:p w14:paraId="33BE2415">
      <w:pPr>
        <w:jc w:val="center"/>
        <w:rPr>
          <w:rFonts w:ascii="黑体" w:hAnsi="黑体" w:eastAsia="黑体"/>
          <w:sz w:val="36"/>
          <w:szCs w:val="36"/>
        </w:rPr>
      </w:pPr>
      <w:r>
        <w:rPr>
          <w:rFonts w:hint="eastAsia" w:ascii="黑体" w:hAnsi="黑体" w:eastAsia="黑体"/>
          <w:sz w:val="36"/>
          <w:szCs w:val="36"/>
        </w:rPr>
        <w:t>目  录</w:t>
      </w:r>
      <w:bookmarkStart w:id="306" w:name="_GoBack"/>
      <w:bookmarkEnd w:id="306"/>
    </w:p>
    <w:p w14:paraId="7EB44F1A">
      <w:pPr>
        <w:pStyle w:val="56"/>
        <w:spacing w:before="78" w:after="78"/>
        <w:rPr>
          <w:rFonts w:asciiTheme="minorHAnsi" w:hAnsiTheme="minorHAnsi" w:eastAsiaTheme="minorEastAsia" w:cstheme="minorBidi"/>
          <w:b w:val="0"/>
          <w:szCs w:val="22"/>
        </w:rPr>
      </w:pPr>
      <w:r>
        <w:fldChar w:fldCharType="begin"/>
      </w:r>
      <w:r>
        <w:instrText xml:space="preserve">TOC \o "1-2" \h \u </w:instrText>
      </w:r>
      <w:r>
        <w:fldChar w:fldCharType="separate"/>
      </w:r>
      <w:r>
        <w:fldChar w:fldCharType="begin"/>
      </w:r>
      <w:r>
        <w:instrText xml:space="preserve"> HYPERLINK \l "_Toc232443335" </w:instrText>
      </w:r>
      <w:r>
        <w:fldChar w:fldCharType="separate"/>
      </w:r>
      <w:r>
        <w:rPr>
          <w:rStyle w:val="97"/>
          <w:rFonts w:ascii="黑体" w:hAnsi="黑体" w:eastAsia="黑体"/>
          <w:b/>
        </w:rPr>
        <w:t>1</w:t>
      </w:r>
      <w:r>
        <w:rPr>
          <w:rFonts w:asciiTheme="minorHAnsi" w:hAnsiTheme="minorHAnsi" w:eastAsiaTheme="minorEastAsia" w:cstheme="minorBidi"/>
          <w:b w:val="0"/>
          <w:szCs w:val="22"/>
        </w:rPr>
        <w:tab/>
      </w:r>
      <w:r>
        <w:rPr>
          <w:rStyle w:val="97"/>
          <w:rFonts w:ascii="黑体" w:hAnsi="黑体" w:eastAsia="黑体"/>
          <w:b/>
        </w:rPr>
        <w:t>总则</w:t>
      </w:r>
      <w:r>
        <w:tab/>
      </w:r>
      <w:r>
        <w:fldChar w:fldCharType="begin"/>
      </w:r>
      <w:r>
        <w:instrText xml:space="preserve"> PAGEREF _Toc232443335 \h </w:instrText>
      </w:r>
      <w:r>
        <w:fldChar w:fldCharType="separate"/>
      </w:r>
      <w:r>
        <w:t>1</w:t>
      </w:r>
      <w:r>
        <w:fldChar w:fldCharType="end"/>
      </w:r>
      <w:r>
        <w:fldChar w:fldCharType="end"/>
      </w:r>
    </w:p>
    <w:p w14:paraId="664B8670">
      <w:pPr>
        <w:pStyle w:val="56"/>
        <w:spacing w:before="78" w:after="78"/>
        <w:rPr>
          <w:rFonts w:asciiTheme="minorHAnsi" w:hAnsiTheme="minorHAnsi" w:eastAsiaTheme="minorEastAsia" w:cstheme="minorBidi"/>
          <w:b w:val="0"/>
          <w:szCs w:val="22"/>
        </w:rPr>
      </w:pPr>
      <w:r>
        <w:fldChar w:fldCharType="begin"/>
      </w:r>
      <w:r>
        <w:instrText xml:space="preserve"> HYPERLINK \l "_Toc232443336" </w:instrText>
      </w:r>
      <w:r>
        <w:fldChar w:fldCharType="separate"/>
      </w:r>
      <w:r>
        <w:rPr>
          <w:rStyle w:val="97"/>
          <w:rFonts w:ascii="黑体" w:hAnsi="黑体" w:eastAsia="黑体"/>
          <w:b/>
        </w:rPr>
        <w:t>2</w:t>
      </w:r>
      <w:r>
        <w:rPr>
          <w:rFonts w:asciiTheme="minorHAnsi" w:hAnsiTheme="minorHAnsi" w:eastAsiaTheme="minorEastAsia" w:cstheme="minorBidi"/>
          <w:b w:val="0"/>
          <w:szCs w:val="22"/>
        </w:rPr>
        <w:tab/>
      </w:r>
      <w:r>
        <w:rPr>
          <w:rStyle w:val="97"/>
          <w:rFonts w:ascii="黑体" w:hAnsi="黑体" w:eastAsia="黑体"/>
          <w:b/>
        </w:rPr>
        <w:t>工程概况</w:t>
      </w:r>
      <w:r>
        <w:tab/>
      </w:r>
      <w:r>
        <w:fldChar w:fldCharType="begin"/>
      </w:r>
      <w:r>
        <w:instrText xml:space="preserve"> PAGEREF _Toc232443336 \h </w:instrText>
      </w:r>
      <w:r>
        <w:fldChar w:fldCharType="separate"/>
      </w:r>
      <w:r>
        <w:t>1</w:t>
      </w:r>
      <w:r>
        <w:fldChar w:fldCharType="end"/>
      </w:r>
      <w:r>
        <w:fldChar w:fldCharType="end"/>
      </w:r>
    </w:p>
    <w:p w14:paraId="7A716966">
      <w:pPr>
        <w:pStyle w:val="71"/>
        <w:rPr>
          <w:rFonts w:asciiTheme="minorHAnsi" w:hAnsiTheme="minorHAnsi" w:eastAsiaTheme="minorEastAsia" w:cstheme="minorBidi"/>
          <w:szCs w:val="22"/>
        </w:rPr>
      </w:pPr>
      <w:r>
        <w:fldChar w:fldCharType="begin"/>
      </w:r>
      <w:r>
        <w:instrText xml:space="preserve"> HYPERLINK \l "_Toc232443337" </w:instrText>
      </w:r>
      <w:r>
        <w:fldChar w:fldCharType="separate"/>
      </w:r>
      <w:r>
        <w:rPr>
          <w:rStyle w:val="97"/>
          <w:rFonts w:ascii="黑体" w:hAnsi="黑体"/>
        </w:rPr>
        <w:t>2.1 工程概况及建设规模</w:t>
      </w:r>
      <w:r>
        <w:tab/>
      </w:r>
      <w:r>
        <w:fldChar w:fldCharType="begin"/>
      </w:r>
      <w:r>
        <w:instrText xml:space="preserve"> PAGEREF _Toc232443337 \h </w:instrText>
      </w:r>
      <w:r>
        <w:fldChar w:fldCharType="separate"/>
      </w:r>
      <w:r>
        <w:t>1</w:t>
      </w:r>
      <w:r>
        <w:fldChar w:fldCharType="end"/>
      </w:r>
      <w:r>
        <w:fldChar w:fldCharType="end"/>
      </w:r>
    </w:p>
    <w:p w14:paraId="6BE571C7">
      <w:pPr>
        <w:pStyle w:val="71"/>
        <w:rPr>
          <w:rFonts w:asciiTheme="minorHAnsi" w:hAnsiTheme="minorHAnsi" w:eastAsiaTheme="minorEastAsia" w:cstheme="minorBidi"/>
          <w:szCs w:val="22"/>
        </w:rPr>
      </w:pPr>
      <w:r>
        <w:fldChar w:fldCharType="begin"/>
      </w:r>
      <w:r>
        <w:instrText xml:space="preserve"> HYPERLINK \l "_Toc232443338" </w:instrText>
      </w:r>
      <w:r>
        <w:fldChar w:fldCharType="separate"/>
      </w:r>
      <w:r>
        <w:rPr>
          <w:rStyle w:val="97"/>
          <w:rFonts w:ascii="黑体" w:hAnsi="黑体"/>
        </w:rPr>
        <w:t>2.2 海缆结构与参数</w:t>
      </w:r>
      <w:r>
        <w:tab/>
      </w:r>
      <w:r>
        <w:fldChar w:fldCharType="begin"/>
      </w:r>
      <w:r>
        <w:instrText xml:space="preserve"> PAGEREF _Toc232443338 \h </w:instrText>
      </w:r>
      <w:r>
        <w:fldChar w:fldCharType="separate"/>
      </w:r>
      <w:r>
        <w:t>3</w:t>
      </w:r>
      <w:r>
        <w:fldChar w:fldCharType="end"/>
      </w:r>
      <w:r>
        <w:fldChar w:fldCharType="end"/>
      </w:r>
    </w:p>
    <w:p w14:paraId="5C4AC5B8">
      <w:pPr>
        <w:pStyle w:val="71"/>
        <w:rPr>
          <w:rFonts w:asciiTheme="minorHAnsi" w:hAnsiTheme="minorHAnsi" w:eastAsiaTheme="minorEastAsia" w:cstheme="minorBidi"/>
          <w:szCs w:val="22"/>
        </w:rPr>
      </w:pPr>
      <w:r>
        <w:fldChar w:fldCharType="begin"/>
      </w:r>
      <w:r>
        <w:instrText xml:space="preserve"> HYPERLINK \l "_Toc232443339" </w:instrText>
      </w:r>
      <w:r>
        <w:fldChar w:fldCharType="separate"/>
      </w:r>
      <w:r>
        <w:rPr>
          <w:rStyle w:val="97"/>
          <w:rFonts w:ascii="黑体" w:hAnsi="黑体"/>
        </w:rPr>
        <w:t>2.3 供货时间要求</w:t>
      </w:r>
      <w:r>
        <w:tab/>
      </w:r>
      <w:r>
        <w:fldChar w:fldCharType="begin"/>
      </w:r>
      <w:r>
        <w:instrText xml:space="preserve"> PAGEREF _Toc232443339 \h </w:instrText>
      </w:r>
      <w:r>
        <w:fldChar w:fldCharType="separate"/>
      </w:r>
      <w:r>
        <w:t>4</w:t>
      </w:r>
      <w:r>
        <w:fldChar w:fldCharType="end"/>
      </w:r>
      <w:r>
        <w:fldChar w:fldCharType="end"/>
      </w:r>
    </w:p>
    <w:p w14:paraId="3B90095F">
      <w:pPr>
        <w:pStyle w:val="56"/>
        <w:spacing w:before="78" w:after="78"/>
        <w:rPr>
          <w:rFonts w:asciiTheme="minorHAnsi" w:hAnsiTheme="minorHAnsi" w:eastAsiaTheme="minorEastAsia" w:cstheme="minorBidi"/>
          <w:b w:val="0"/>
          <w:szCs w:val="22"/>
        </w:rPr>
      </w:pPr>
      <w:r>
        <w:fldChar w:fldCharType="begin"/>
      </w:r>
      <w:r>
        <w:instrText xml:space="preserve"> HYPERLINK \l "_Toc232443340" </w:instrText>
      </w:r>
      <w:r>
        <w:fldChar w:fldCharType="separate"/>
      </w:r>
      <w:r>
        <w:rPr>
          <w:rStyle w:val="97"/>
          <w:rFonts w:ascii="黑体" w:hAnsi="黑体" w:eastAsia="黑体"/>
          <w:b/>
        </w:rPr>
        <w:t>3 本技术规范书工作范围</w:t>
      </w:r>
      <w:r>
        <w:tab/>
      </w:r>
      <w:r>
        <w:fldChar w:fldCharType="begin"/>
      </w:r>
      <w:r>
        <w:instrText xml:space="preserve"> PAGEREF _Toc232443340 \h </w:instrText>
      </w:r>
      <w:r>
        <w:fldChar w:fldCharType="separate"/>
      </w:r>
      <w:r>
        <w:t>4</w:t>
      </w:r>
      <w:r>
        <w:fldChar w:fldCharType="end"/>
      </w:r>
      <w:r>
        <w:fldChar w:fldCharType="end"/>
      </w:r>
    </w:p>
    <w:p w14:paraId="1FC46013">
      <w:pPr>
        <w:pStyle w:val="71"/>
        <w:rPr>
          <w:rFonts w:asciiTheme="minorHAnsi" w:hAnsiTheme="minorHAnsi" w:eastAsiaTheme="minorEastAsia" w:cstheme="minorBidi"/>
          <w:szCs w:val="22"/>
        </w:rPr>
      </w:pPr>
      <w:r>
        <w:fldChar w:fldCharType="begin"/>
      </w:r>
      <w:r>
        <w:instrText xml:space="preserve"> HYPERLINK \l "_Toc232443341" </w:instrText>
      </w:r>
      <w:r>
        <w:fldChar w:fldCharType="separate"/>
      </w:r>
      <w:r>
        <w:rPr>
          <w:rStyle w:val="97"/>
          <w:rFonts w:ascii="黑体" w:hAnsi="黑体"/>
        </w:rPr>
        <w:t>3.1 范围和界限</w:t>
      </w:r>
      <w:r>
        <w:tab/>
      </w:r>
      <w:r>
        <w:fldChar w:fldCharType="begin"/>
      </w:r>
      <w:r>
        <w:instrText xml:space="preserve"> PAGEREF _Toc232443341 \h </w:instrText>
      </w:r>
      <w:r>
        <w:fldChar w:fldCharType="separate"/>
      </w:r>
      <w:r>
        <w:t>4</w:t>
      </w:r>
      <w:r>
        <w:fldChar w:fldCharType="end"/>
      </w:r>
      <w:r>
        <w:fldChar w:fldCharType="end"/>
      </w:r>
    </w:p>
    <w:p w14:paraId="4BA67538">
      <w:pPr>
        <w:pStyle w:val="71"/>
        <w:rPr>
          <w:rFonts w:asciiTheme="minorHAnsi" w:hAnsiTheme="minorHAnsi" w:eastAsiaTheme="minorEastAsia" w:cstheme="minorBidi"/>
          <w:szCs w:val="22"/>
        </w:rPr>
      </w:pPr>
      <w:r>
        <w:fldChar w:fldCharType="begin"/>
      </w:r>
      <w:r>
        <w:instrText xml:space="preserve"> HYPERLINK \l "_Toc232443342" </w:instrText>
      </w:r>
      <w:r>
        <w:fldChar w:fldCharType="separate"/>
      </w:r>
      <w:r>
        <w:rPr>
          <w:rStyle w:val="97"/>
          <w:rFonts w:ascii="黑体" w:hAnsi="黑体"/>
        </w:rPr>
        <w:t>3.2 服务范围</w:t>
      </w:r>
      <w:r>
        <w:tab/>
      </w:r>
      <w:r>
        <w:fldChar w:fldCharType="begin"/>
      </w:r>
      <w:r>
        <w:instrText xml:space="preserve"> PAGEREF _Toc232443342 \h </w:instrText>
      </w:r>
      <w:r>
        <w:fldChar w:fldCharType="separate"/>
      </w:r>
      <w:r>
        <w:t>4</w:t>
      </w:r>
      <w:r>
        <w:fldChar w:fldCharType="end"/>
      </w:r>
      <w:r>
        <w:fldChar w:fldCharType="end"/>
      </w:r>
    </w:p>
    <w:p w14:paraId="4BEBC7A6">
      <w:pPr>
        <w:pStyle w:val="71"/>
        <w:rPr>
          <w:rFonts w:asciiTheme="minorHAnsi" w:hAnsiTheme="minorHAnsi" w:eastAsiaTheme="minorEastAsia" w:cstheme="minorBidi"/>
          <w:szCs w:val="22"/>
        </w:rPr>
      </w:pPr>
      <w:r>
        <w:fldChar w:fldCharType="begin"/>
      </w:r>
      <w:r>
        <w:instrText xml:space="preserve"> HYPERLINK \l "_Toc232443343" </w:instrText>
      </w:r>
      <w:r>
        <w:fldChar w:fldCharType="separate"/>
      </w:r>
      <w:r>
        <w:rPr>
          <w:rStyle w:val="97"/>
          <w:rFonts w:ascii="黑体" w:hAnsi="黑体"/>
        </w:rPr>
        <w:t>3.3 供货范围</w:t>
      </w:r>
      <w:r>
        <w:tab/>
      </w:r>
      <w:r>
        <w:fldChar w:fldCharType="begin"/>
      </w:r>
      <w:r>
        <w:instrText xml:space="preserve"> PAGEREF _Toc232443343 \h </w:instrText>
      </w:r>
      <w:r>
        <w:fldChar w:fldCharType="separate"/>
      </w:r>
      <w:r>
        <w:t>5</w:t>
      </w:r>
      <w:r>
        <w:fldChar w:fldCharType="end"/>
      </w:r>
      <w:r>
        <w:fldChar w:fldCharType="end"/>
      </w:r>
    </w:p>
    <w:p w14:paraId="2F571122">
      <w:pPr>
        <w:pStyle w:val="56"/>
        <w:spacing w:before="78" w:after="78"/>
        <w:rPr>
          <w:rFonts w:asciiTheme="minorHAnsi" w:hAnsiTheme="minorHAnsi" w:eastAsiaTheme="minorEastAsia" w:cstheme="minorBidi"/>
          <w:b w:val="0"/>
          <w:szCs w:val="22"/>
        </w:rPr>
      </w:pPr>
      <w:r>
        <w:fldChar w:fldCharType="begin"/>
      </w:r>
      <w:r>
        <w:instrText xml:space="preserve"> HYPERLINK \l "_Toc232443344" </w:instrText>
      </w:r>
      <w:r>
        <w:fldChar w:fldCharType="separate"/>
      </w:r>
      <w:r>
        <w:rPr>
          <w:rStyle w:val="97"/>
          <w:b w:val="0"/>
        </w:rPr>
        <w:t>4 应遵循的主要标准</w:t>
      </w:r>
      <w:r>
        <w:tab/>
      </w:r>
      <w:r>
        <w:fldChar w:fldCharType="begin"/>
      </w:r>
      <w:r>
        <w:instrText xml:space="preserve"> PAGEREF _Toc232443344 \h </w:instrText>
      </w:r>
      <w:r>
        <w:fldChar w:fldCharType="separate"/>
      </w:r>
      <w:r>
        <w:t>8</w:t>
      </w:r>
      <w:r>
        <w:fldChar w:fldCharType="end"/>
      </w:r>
      <w:r>
        <w:fldChar w:fldCharType="end"/>
      </w:r>
    </w:p>
    <w:p w14:paraId="3A39196C">
      <w:pPr>
        <w:pStyle w:val="56"/>
        <w:spacing w:before="78" w:after="78"/>
        <w:rPr>
          <w:rFonts w:asciiTheme="minorHAnsi" w:hAnsiTheme="minorHAnsi" w:eastAsiaTheme="minorEastAsia" w:cstheme="minorBidi"/>
          <w:b w:val="0"/>
          <w:szCs w:val="22"/>
        </w:rPr>
      </w:pPr>
      <w:r>
        <w:fldChar w:fldCharType="begin"/>
      </w:r>
      <w:r>
        <w:instrText xml:space="preserve"> HYPERLINK \l "_Toc232443345" </w:instrText>
      </w:r>
      <w:r>
        <w:fldChar w:fldCharType="separate"/>
      </w:r>
      <w:r>
        <w:rPr>
          <w:rStyle w:val="97"/>
          <w:b w:val="0"/>
        </w:rPr>
        <w:t>5 本技术规范书使用条件</w:t>
      </w:r>
      <w:r>
        <w:tab/>
      </w:r>
      <w:r>
        <w:fldChar w:fldCharType="begin"/>
      </w:r>
      <w:r>
        <w:instrText xml:space="preserve"> PAGEREF _Toc232443345 \h </w:instrText>
      </w:r>
      <w:r>
        <w:fldChar w:fldCharType="separate"/>
      </w:r>
      <w:r>
        <w:t>9</w:t>
      </w:r>
      <w:r>
        <w:fldChar w:fldCharType="end"/>
      </w:r>
      <w:r>
        <w:fldChar w:fldCharType="end"/>
      </w:r>
    </w:p>
    <w:p w14:paraId="3B91166E">
      <w:pPr>
        <w:pStyle w:val="71"/>
        <w:rPr>
          <w:rFonts w:asciiTheme="minorHAnsi" w:hAnsiTheme="minorHAnsi" w:eastAsiaTheme="minorEastAsia" w:cstheme="minorBidi"/>
          <w:szCs w:val="22"/>
        </w:rPr>
      </w:pPr>
      <w:r>
        <w:fldChar w:fldCharType="begin"/>
      </w:r>
      <w:r>
        <w:instrText xml:space="preserve"> HYPERLINK \l "_Toc232443346" </w:instrText>
      </w:r>
      <w:r>
        <w:fldChar w:fldCharType="separate"/>
      </w:r>
      <w:r>
        <w:rPr>
          <w:rStyle w:val="97"/>
        </w:rPr>
        <w:t>5.1 工程概况</w:t>
      </w:r>
      <w:r>
        <w:tab/>
      </w:r>
      <w:r>
        <w:fldChar w:fldCharType="begin"/>
      </w:r>
      <w:r>
        <w:instrText xml:space="preserve"> PAGEREF _Toc232443346 \h </w:instrText>
      </w:r>
      <w:r>
        <w:fldChar w:fldCharType="separate"/>
      </w:r>
      <w:r>
        <w:t>9</w:t>
      </w:r>
      <w:r>
        <w:fldChar w:fldCharType="end"/>
      </w:r>
      <w:r>
        <w:fldChar w:fldCharType="end"/>
      </w:r>
    </w:p>
    <w:p w14:paraId="48165DC4">
      <w:pPr>
        <w:pStyle w:val="71"/>
        <w:rPr>
          <w:rFonts w:asciiTheme="minorHAnsi" w:hAnsiTheme="minorHAnsi" w:eastAsiaTheme="minorEastAsia" w:cstheme="minorBidi"/>
          <w:szCs w:val="22"/>
        </w:rPr>
      </w:pPr>
      <w:r>
        <w:fldChar w:fldCharType="begin"/>
      </w:r>
      <w:r>
        <w:instrText xml:space="preserve"> HYPERLINK \l "_Toc232443347" </w:instrText>
      </w:r>
      <w:r>
        <w:fldChar w:fldCharType="separate"/>
      </w:r>
      <w:r>
        <w:rPr>
          <w:rStyle w:val="97"/>
          <w:rFonts w:ascii="黑体" w:hAnsi="黑体"/>
        </w:rPr>
        <w:t>5.2 环境条件</w:t>
      </w:r>
      <w:r>
        <w:tab/>
      </w:r>
      <w:r>
        <w:fldChar w:fldCharType="begin"/>
      </w:r>
      <w:r>
        <w:instrText xml:space="preserve"> PAGEREF _Toc232443347 \h </w:instrText>
      </w:r>
      <w:r>
        <w:fldChar w:fldCharType="separate"/>
      </w:r>
      <w:r>
        <w:t>10</w:t>
      </w:r>
      <w:r>
        <w:fldChar w:fldCharType="end"/>
      </w:r>
      <w:r>
        <w:fldChar w:fldCharType="end"/>
      </w:r>
    </w:p>
    <w:p w14:paraId="1D17FFF2">
      <w:pPr>
        <w:pStyle w:val="71"/>
        <w:rPr>
          <w:rFonts w:asciiTheme="minorHAnsi" w:hAnsiTheme="minorHAnsi" w:eastAsiaTheme="minorEastAsia" w:cstheme="minorBidi"/>
          <w:szCs w:val="22"/>
        </w:rPr>
      </w:pPr>
      <w:r>
        <w:fldChar w:fldCharType="begin"/>
      </w:r>
      <w:r>
        <w:instrText xml:space="preserve"> HYPERLINK \l "_Toc232443348" </w:instrText>
      </w:r>
      <w:r>
        <w:fldChar w:fldCharType="separate"/>
      </w:r>
      <w:r>
        <w:rPr>
          <w:rStyle w:val="97"/>
          <w:rFonts w:ascii="黑体" w:hAnsi="黑体"/>
        </w:rPr>
        <w:t>5.3 工程条件</w:t>
      </w:r>
      <w:r>
        <w:tab/>
      </w:r>
      <w:r>
        <w:fldChar w:fldCharType="begin"/>
      </w:r>
      <w:r>
        <w:instrText xml:space="preserve"> PAGEREF _Toc232443348 \h </w:instrText>
      </w:r>
      <w:r>
        <w:fldChar w:fldCharType="separate"/>
      </w:r>
      <w:r>
        <w:t>16</w:t>
      </w:r>
      <w:r>
        <w:fldChar w:fldCharType="end"/>
      </w:r>
      <w:r>
        <w:fldChar w:fldCharType="end"/>
      </w:r>
    </w:p>
    <w:p w14:paraId="3CC2B54A">
      <w:pPr>
        <w:pStyle w:val="56"/>
        <w:spacing w:before="78" w:after="78"/>
        <w:rPr>
          <w:rFonts w:asciiTheme="minorHAnsi" w:hAnsiTheme="minorHAnsi" w:eastAsiaTheme="minorEastAsia" w:cstheme="minorBidi"/>
          <w:b w:val="0"/>
          <w:szCs w:val="22"/>
        </w:rPr>
      </w:pPr>
      <w:r>
        <w:fldChar w:fldCharType="begin"/>
      </w:r>
      <w:r>
        <w:instrText xml:space="preserve"> HYPERLINK \l "_Toc232443349" </w:instrText>
      </w:r>
      <w:r>
        <w:fldChar w:fldCharType="separate"/>
      </w:r>
      <w:r>
        <w:rPr>
          <w:rStyle w:val="97"/>
          <w:b w:val="0"/>
        </w:rPr>
        <w:t>6 技术要求</w:t>
      </w:r>
      <w:r>
        <w:tab/>
      </w:r>
      <w:r>
        <w:fldChar w:fldCharType="begin"/>
      </w:r>
      <w:r>
        <w:instrText xml:space="preserve"> PAGEREF _Toc232443349 \h </w:instrText>
      </w:r>
      <w:r>
        <w:fldChar w:fldCharType="separate"/>
      </w:r>
      <w:r>
        <w:t>19</w:t>
      </w:r>
      <w:r>
        <w:fldChar w:fldCharType="end"/>
      </w:r>
      <w:r>
        <w:fldChar w:fldCharType="end"/>
      </w:r>
    </w:p>
    <w:p w14:paraId="14B1B193">
      <w:pPr>
        <w:pStyle w:val="71"/>
        <w:rPr>
          <w:rFonts w:asciiTheme="minorHAnsi" w:hAnsiTheme="minorHAnsi" w:eastAsiaTheme="minorEastAsia" w:cstheme="minorBidi"/>
          <w:szCs w:val="22"/>
        </w:rPr>
      </w:pPr>
      <w:r>
        <w:fldChar w:fldCharType="begin"/>
      </w:r>
      <w:r>
        <w:instrText xml:space="preserve"> HYPERLINK \l "_Toc232443350" </w:instrText>
      </w:r>
      <w:r>
        <w:fldChar w:fldCharType="separate"/>
      </w:r>
      <w:r>
        <w:rPr>
          <w:rStyle w:val="97"/>
        </w:rPr>
        <w:t>6.1 基本设计要求</w:t>
      </w:r>
      <w:r>
        <w:tab/>
      </w:r>
      <w:r>
        <w:fldChar w:fldCharType="begin"/>
      </w:r>
      <w:r>
        <w:instrText xml:space="preserve"> PAGEREF _Toc232443350 \h </w:instrText>
      </w:r>
      <w:r>
        <w:fldChar w:fldCharType="separate"/>
      </w:r>
      <w:r>
        <w:t>19</w:t>
      </w:r>
      <w:r>
        <w:fldChar w:fldCharType="end"/>
      </w:r>
      <w:r>
        <w:fldChar w:fldCharType="end"/>
      </w:r>
    </w:p>
    <w:p w14:paraId="7FF61822">
      <w:pPr>
        <w:pStyle w:val="71"/>
        <w:rPr>
          <w:rFonts w:asciiTheme="minorHAnsi" w:hAnsiTheme="minorHAnsi" w:eastAsiaTheme="minorEastAsia" w:cstheme="minorBidi"/>
          <w:szCs w:val="22"/>
        </w:rPr>
      </w:pPr>
      <w:r>
        <w:fldChar w:fldCharType="begin"/>
      </w:r>
      <w:r>
        <w:instrText xml:space="preserve"> HYPERLINK \l "_Toc232443351" </w:instrText>
      </w:r>
      <w:r>
        <w:fldChar w:fldCharType="separate"/>
      </w:r>
      <w:r>
        <w:rPr>
          <w:rStyle w:val="97"/>
        </w:rPr>
        <w:t>6.2 工作特性</w:t>
      </w:r>
      <w:r>
        <w:tab/>
      </w:r>
      <w:r>
        <w:fldChar w:fldCharType="begin"/>
      </w:r>
      <w:r>
        <w:instrText xml:space="preserve"> PAGEREF _Toc232443351 \h </w:instrText>
      </w:r>
      <w:r>
        <w:fldChar w:fldCharType="separate"/>
      </w:r>
      <w:r>
        <w:t>19</w:t>
      </w:r>
      <w:r>
        <w:fldChar w:fldCharType="end"/>
      </w:r>
      <w:r>
        <w:fldChar w:fldCharType="end"/>
      </w:r>
    </w:p>
    <w:p w14:paraId="1F08D859">
      <w:pPr>
        <w:pStyle w:val="71"/>
        <w:rPr>
          <w:rFonts w:asciiTheme="minorHAnsi" w:hAnsiTheme="minorHAnsi" w:eastAsiaTheme="minorEastAsia" w:cstheme="minorBidi"/>
          <w:szCs w:val="22"/>
        </w:rPr>
      </w:pPr>
      <w:r>
        <w:fldChar w:fldCharType="begin"/>
      </w:r>
      <w:r>
        <w:instrText xml:space="preserve"> HYPERLINK \l "_Toc232443352" </w:instrText>
      </w:r>
      <w:r>
        <w:fldChar w:fldCharType="separate"/>
      </w:r>
      <w:r>
        <w:rPr>
          <w:rStyle w:val="97"/>
        </w:rPr>
        <w:t>6.3 型式与技术性能要求</w:t>
      </w:r>
      <w:r>
        <w:tab/>
      </w:r>
      <w:r>
        <w:fldChar w:fldCharType="begin"/>
      </w:r>
      <w:r>
        <w:instrText xml:space="preserve"> PAGEREF _Toc232443352 \h </w:instrText>
      </w:r>
      <w:r>
        <w:fldChar w:fldCharType="separate"/>
      </w:r>
      <w:r>
        <w:t>20</w:t>
      </w:r>
      <w:r>
        <w:fldChar w:fldCharType="end"/>
      </w:r>
      <w:r>
        <w:fldChar w:fldCharType="end"/>
      </w:r>
    </w:p>
    <w:p w14:paraId="31609BE2">
      <w:pPr>
        <w:pStyle w:val="71"/>
        <w:rPr>
          <w:rFonts w:asciiTheme="minorHAnsi" w:hAnsiTheme="minorHAnsi" w:eastAsiaTheme="minorEastAsia" w:cstheme="minorBidi"/>
          <w:szCs w:val="22"/>
        </w:rPr>
      </w:pPr>
      <w:r>
        <w:fldChar w:fldCharType="begin"/>
      </w:r>
      <w:r>
        <w:instrText xml:space="preserve"> HYPERLINK \l "_Toc232443353" </w:instrText>
      </w:r>
      <w:r>
        <w:fldChar w:fldCharType="separate"/>
      </w:r>
      <w:r>
        <w:rPr>
          <w:rStyle w:val="97"/>
        </w:rPr>
        <w:t>6.4 电缆结构及材料</w:t>
      </w:r>
      <w:r>
        <w:tab/>
      </w:r>
      <w:r>
        <w:fldChar w:fldCharType="begin"/>
      </w:r>
      <w:r>
        <w:instrText xml:space="preserve"> PAGEREF _Toc232443353 \h </w:instrText>
      </w:r>
      <w:r>
        <w:fldChar w:fldCharType="separate"/>
      </w:r>
      <w:r>
        <w:t>21</w:t>
      </w:r>
      <w:r>
        <w:fldChar w:fldCharType="end"/>
      </w:r>
      <w:r>
        <w:fldChar w:fldCharType="end"/>
      </w:r>
    </w:p>
    <w:p w14:paraId="624906DD">
      <w:pPr>
        <w:pStyle w:val="71"/>
        <w:rPr>
          <w:rFonts w:asciiTheme="minorHAnsi" w:hAnsiTheme="minorHAnsi" w:eastAsiaTheme="minorEastAsia" w:cstheme="minorBidi"/>
          <w:szCs w:val="22"/>
        </w:rPr>
      </w:pPr>
      <w:r>
        <w:fldChar w:fldCharType="begin"/>
      </w:r>
      <w:r>
        <w:instrText xml:space="preserve"> HYPERLINK \l "_Toc232443354" </w:instrText>
      </w:r>
      <w:r>
        <w:fldChar w:fldCharType="separate"/>
      </w:r>
      <w:r>
        <w:rPr>
          <w:rStyle w:val="97"/>
        </w:rPr>
        <w:t>6.5 复合光缆</w:t>
      </w:r>
      <w:r>
        <w:tab/>
      </w:r>
      <w:r>
        <w:fldChar w:fldCharType="begin"/>
      </w:r>
      <w:r>
        <w:instrText xml:space="preserve"> PAGEREF _Toc232443354 \h </w:instrText>
      </w:r>
      <w:r>
        <w:fldChar w:fldCharType="separate"/>
      </w:r>
      <w:r>
        <w:t>27</w:t>
      </w:r>
      <w:r>
        <w:fldChar w:fldCharType="end"/>
      </w:r>
      <w:r>
        <w:fldChar w:fldCharType="end"/>
      </w:r>
    </w:p>
    <w:p w14:paraId="26993D5B">
      <w:pPr>
        <w:pStyle w:val="71"/>
        <w:rPr>
          <w:rFonts w:asciiTheme="minorHAnsi" w:hAnsiTheme="minorHAnsi" w:eastAsiaTheme="minorEastAsia" w:cstheme="minorBidi"/>
          <w:szCs w:val="22"/>
        </w:rPr>
      </w:pPr>
      <w:r>
        <w:fldChar w:fldCharType="begin"/>
      </w:r>
      <w:r>
        <w:instrText xml:space="preserve"> HYPERLINK \l "_Toc232443355" </w:instrText>
      </w:r>
      <w:r>
        <w:fldChar w:fldCharType="separate"/>
      </w:r>
      <w:r>
        <w:rPr>
          <w:rStyle w:val="97"/>
        </w:rPr>
        <w:t>6.6 电缆附件</w:t>
      </w:r>
      <w:r>
        <w:tab/>
      </w:r>
      <w:r>
        <w:fldChar w:fldCharType="begin"/>
      </w:r>
      <w:r>
        <w:instrText xml:space="preserve"> PAGEREF _Toc232443355 \h </w:instrText>
      </w:r>
      <w:r>
        <w:fldChar w:fldCharType="separate"/>
      </w:r>
      <w:r>
        <w:t>29</w:t>
      </w:r>
      <w:r>
        <w:fldChar w:fldCharType="end"/>
      </w:r>
      <w:r>
        <w:fldChar w:fldCharType="end"/>
      </w:r>
    </w:p>
    <w:p w14:paraId="5FD38334">
      <w:pPr>
        <w:pStyle w:val="71"/>
        <w:rPr>
          <w:rFonts w:asciiTheme="minorHAnsi" w:hAnsiTheme="minorHAnsi" w:eastAsiaTheme="minorEastAsia" w:cstheme="minorBidi"/>
          <w:szCs w:val="22"/>
        </w:rPr>
      </w:pPr>
      <w:r>
        <w:fldChar w:fldCharType="begin"/>
      </w:r>
      <w:r>
        <w:instrText xml:space="preserve"> HYPERLINK \l "_Toc232443356" </w:instrText>
      </w:r>
      <w:r>
        <w:fldChar w:fldCharType="separate"/>
      </w:r>
      <w:r>
        <w:rPr>
          <w:rStyle w:val="97"/>
          <w:rFonts w:hAnsi="黑体"/>
          <w:bCs/>
        </w:rPr>
        <w:t>6.7 技术特性参数表</w:t>
      </w:r>
      <w:r>
        <w:tab/>
      </w:r>
      <w:r>
        <w:fldChar w:fldCharType="begin"/>
      </w:r>
      <w:r>
        <w:instrText xml:space="preserve"> PAGEREF _Toc232443356 \h </w:instrText>
      </w:r>
      <w:r>
        <w:fldChar w:fldCharType="separate"/>
      </w:r>
      <w:r>
        <w:t>34</w:t>
      </w:r>
      <w:r>
        <w:fldChar w:fldCharType="end"/>
      </w:r>
      <w:r>
        <w:fldChar w:fldCharType="end"/>
      </w:r>
    </w:p>
    <w:p w14:paraId="505D561B">
      <w:pPr>
        <w:pStyle w:val="71"/>
        <w:rPr>
          <w:rFonts w:asciiTheme="minorHAnsi" w:hAnsiTheme="minorHAnsi" w:eastAsiaTheme="minorEastAsia" w:cstheme="minorBidi"/>
          <w:szCs w:val="22"/>
        </w:rPr>
      </w:pPr>
      <w:r>
        <w:fldChar w:fldCharType="begin"/>
      </w:r>
      <w:r>
        <w:instrText xml:space="preserve"> HYPERLINK \l "_Toc232443357" </w:instrText>
      </w:r>
      <w:r>
        <w:fldChar w:fldCharType="separate"/>
      </w:r>
      <w:r>
        <w:rPr>
          <w:rStyle w:val="97"/>
        </w:rPr>
        <w:t>6.8 主要元器件来源（主要材料耗材来源）</w:t>
      </w:r>
      <w:r>
        <w:tab/>
      </w:r>
      <w:r>
        <w:fldChar w:fldCharType="begin"/>
      </w:r>
      <w:r>
        <w:instrText xml:space="preserve"> PAGEREF _Toc232443357 \h </w:instrText>
      </w:r>
      <w:r>
        <w:fldChar w:fldCharType="separate"/>
      </w:r>
      <w:r>
        <w:t>48</w:t>
      </w:r>
      <w:r>
        <w:fldChar w:fldCharType="end"/>
      </w:r>
      <w:r>
        <w:fldChar w:fldCharType="end"/>
      </w:r>
    </w:p>
    <w:p w14:paraId="27BD1916">
      <w:pPr>
        <w:pStyle w:val="71"/>
        <w:rPr>
          <w:rFonts w:asciiTheme="minorHAnsi" w:hAnsiTheme="minorHAnsi" w:eastAsiaTheme="minorEastAsia" w:cstheme="minorBidi"/>
          <w:szCs w:val="22"/>
        </w:rPr>
      </w:pPr>
      <w:r>
        <w:fldChar w:fldCharType="begin"/>
      </w:r>
      <w:r>
        <w:instrText xml:space="preserve"> HYPERLINK \l "_Toc232443358" </w:instrText>
      </w:r>
      <w:r>
        <w:fldChar w:fldCharType="separate"/>
      </w:r>
      <w:r>
        <w:rPr>
          <w:rStyle w:val="97"/>
        </w:rPr>
        <w:t>6.9 备品备件、专用工具和仪器仪表供货表</w:t>
      </w:r>
      <w:r>
        <w:tab/>
      </w:r>
      <w:r>
        <w:fldChar w:fldCharType="begin"/>
      </w:r>
      <w:r>
        <w:instrText xml:space="preserve"> PAGEREF _Toc232443358 \h </w:instrText>
      </w:r>
      <w:r>
        <w:fldChar w:fldCharType="separate"/>
      </w:r>
      <w:r>
        <w:t>49</w:t>
      </w:r>
      <w:r>
        <w:fldChar w:fldCharType="end"/>
      </w:r>
      <w:r>
        <w:fldChar w:fldCharType="end"/>
      </w:r>
    </w:p>
    <w:p w14:paraId="1C781B37">
      <w:pPr>
        <w:pStyle w:val="56"/>
        <w:spacing w:before="78" w:after="78"/>
        <w:rPr>
          <w:rFonts w:asciiTheme="minorHAnsi" w:hAnsiTheme="minorHAnsi" w:eastAsiaTheme="minorEastAsia" w:cstheme="minorBidi"/>
          <w:b w:val="0"/>
          <w:szCs w:val="22"/>
        </w:rPr>
      </w:pPr>
      <w:r>
        <w:fldChar w:fldCharType="begin"/>
      </w:r>
      <w:r>
        <w:instrText xml:space="preserve"> HYPERLINK \l "_Toc232443359" </w:instrText>
      </w:r>
      <w:r>
        <w:fldChar w:fldCharType="separate"/>
      </w:r>
      <w:r>
        <w:rPr>
          <w:rStyle w:val="97"/>
          <w:b w:val="0"/>
        </w:rPr>
        <w:t>7 试验</w:t>
      </w:r>
      <w:r>
        <w:tab/>
      </w:r>
      <w:r>
        <w:fldChar w:fldCharType="begin"/>
      </w:r>
      <w:r>
        <w:instrText xml:space="preserve"> PAGEREF _Toc232443359 \h </w:instrText>
      </w:r>
      <w:r>
        <w:fldChar w:fldCharType="separate"/>
      </w:r>
      <w:r>
        <w:t>49</w:t>
      </w:r>
      <w:r>
        <w:fldChar w:fldCharType="end"/>
      </w:r>
      <w:r>
        <w:fldChar w:fldCharType="end"/>
      </w:r>
    </w:p>
    <w:p w14:paraId="46B8C5A0">
      <w:pPr>
        <w:pStyle w:val="71"/>
        <w:rPr>
          <w:rFonts w:asciiTheme="minorHAnsi" w:hAnsiTheme="minorHAnsi" w:eastAsiaTheme="minorEastAsia" w:cstheme="minorBidi"/>
          <w:szCs w:val="22"/>
        </w:rPr>
      </w:pPr>
      <w:r>
        <w:fldChar w:fldCharType="begin"/>
      </w:r>
      <w:r>
        <w:instrText xml:space="preserve"> HYPERLINK \l "_Toc232443360" </w:instrText>
      </w:r>
      <w:r>
        <w:fldChar w:fldCharType="separate"/>
      </w:r>
      <w:r>
        <w:rPr>
          <w:rStyle w:val="97"/>
        </w:rPr>
        <w:t>7.1 型式试验</w:t>
      </w:r>
      <w:r>
        <w:tab/>
      </w:r>
      <w:r>
        <w:fldChar w:fldCharType="begin"/>
      </w:r>
      <w:r>
        <w:instrText xml:space="preserve"> PAGEREF _Toc232443360 \h </w:instrText>
      </w:r>
      <w:r>
        <w:fldChar w:fldCharType="separate"/>
      </w:r>
      <w:r>
        <w:t>49</w:t>
      </w:r>
      <w:r>
        <w:fldChar w:fldCharType="end"/>
      </w:r>
      <w:r>
        <w:fldChar w:fldCharType="end"/>
      </w:r>
    </w:p>
    <w:p w14:paraId="39827141">
      <w:pPr>
        <w:pStyle w:val="71"/>
        <w:rPr>
          <w:rFonts w:asciiTheme="minorHAnsi" w:hAnsiTheme="minorHAnsi" w:eastAsiaTheme="minorEastAsia" w:cstheme="minorBidi"/>
          <w:szCs w:val="22"/>
        </w:rPr>
      </w:pPr>
      <w:r>
        <w:fldChar w:fldCharType="begin"/>
      </w:r>
      <w:r>
        <w:instrText xml:space="preserve"> HYPERLINK \l "_Toc232443361" </w:instrText>
      </w:r>
      <w:r>
        <w:fldChar w:fldCharType="separate"/>
      </w:r>
      <w:r>
        <w:rPr>
          <w:rStyle w:val="97"/>
        </w:rPr>
        <w:t>7.2 预鉴定试验</w:t>
      </w:r>
      <w:r>
        <w:tab/>
      </w:r>
      <w:r>
        <w:fldChar w:fldCharType="begin"/>
      </w:r>
      <w:r>
        <w:instrText xml:space="preserve"> PAGEREF _Toc232443361 \h </w:instrText>
      </w:r>
      <w:r>
        <w:fldChar w:fldCharType="separate"/>
      </w:r>
      <w:r>
        <w:t>49</w:t>
      </w:r>
      <w:r>
        <w:fldChar w:fldCharType="end"/>
      </w:r>
      <w:r>
        <w:fldChar w:fldCharType="end"/>
      </w:r>
    </w:p>
    <w:p w14:paraId="5C3F9431">
      <w:pPr>
        <w:pStyle w:val="71"/>
        <w:rPr>
          <w:rFonts w:asciiTheme="minorHAnsi" w:hAnsiTheme="minorHAnsi" w:eastAsiaTheme="minorEastAsia" w:cstheme="minorBidi"/>
          <w:szCs w:val="22"/>
        </w:rPr>
      </w:pPr>
      <w:r>
        <w:fldChar w:fldCharType="begin"/>
      </w:r>
      <w:r>
        <w:instrText xml:space="preserve"> HYPERLINK \l "_Toc232443362" </w:instrText>
      </w:r>
      <w:r>
        <w:fldChar w:fldCharType="separate"/>
      </w:r>
      <w:r>
        <w:rPr>
          <w:rStyle w:val="97"/>
        </w:rPr>
        <w:t>7.3 例行试验</w:t>
      </w:r>
      <w:r>
        <w:tab/>
      </w:r>
      <w:r>
        <w:fldChar w:fldCharType="begin"/>
      </w:r>
      <w:r>
        <w:instrText xml:space="preserve"> PAGEREF _Toc232443362 \h </w:instrText>
      </w:r>
      <w:r>
        <w:fldChar w:fldCharType="separate"/>
      </w:r>
      <w:r>
        <w:t>49</w:t>
      </w:r>
      <w:r>
        <w:fldChar w:fldCharType="end"/>
      </w:r>
      <w:r>
        <w:fldChar w:fldCharType="end"/>
      </w:r>
    </w:p>
    <w:p w14:paraId="0E2503E1">
      <w:pPr>
        <w:pStyle w:val="71"/>
        <w:rPr>
          <w:rFonts w:asciiTheme="minorHAnsi" w:hAnsiTheme="minorHAnsi" w:eastAsiaTheme="minorEastAsia" w:cstheme="minorBidi"/>
          <w:szCs w:val="22"/>
        </w:rPr>
      </w:pPr>
      <w:r>
        <w:fldChar w:fldCharType="begin"/>
      </w:r>
      <w:r>
        <w:instrText xml:space="preserve"> HYPERLINK \l "_Toc232443363" </w:instrText>
      </w:r>
      <w:r>
        <w:fldChar w:fldCharType="separate"/>
      </w:r>
      <w:r>
        <w:rPr>
          <w:rStyle w:val="97"/>
        </w:rPr>
        <w:t>7.4 抽样试验</w:t>
      </w:r>
      <w:r>
        <w:tab/>
      </w:r>
      <w:r>
        <w:fldChar w:fldCharType="begin"/>
      </w:r>
      <w:r>
        <w:instrText xml:space="preserve"> PAGEREF _Toc232443363 \h </w:instrText>
      </w:r>
      <w:r>
        <w:fldChar w:fldCharType="separate"/>
      </w:r>
      <w:r>
        <w:t>49</w:t>
      </w:r>
      <w:r>
        <w:fldChar w:fldCharType="end"/>
      </w:r>
      <w:r>
        <w:fldChar w:fldCharType="end"/>
      </w:r>
    </w:p>
    <w:p w14:paraId="3D128DAE">
      <w:pPr>
        <w:pStyle w:val="71"/>
        <w:rPr>
          <w:rFonts w:asciiTheme="minorHAnsi" w:hAnsiTheme="minorHAnsi" w:eastAsiaTheme="minorEastAsia" w:cstheme="minorBidi"/>
          <w:szCs w:val="22"/>
        </w:rPr>
      </w:pPr>
      <w:r>
        <w:fldChar w:fldCharType="begin"/>
      </w:r>
      <w:r>
        <w:instrText xml:space="preserve"> HYPERLINK \l "_Toc232443364" </w:instrText>
      </w:r>
      <w:r>
        <w:fldChar w:fldCharType="separate"/>
      </w:r>
      <w:r>
        <w:rPr>
          <w:rStyle w:val="97"/>
        </w:rPr>
        <w:t>7.5 现场海缆运输前验收试验、施工前验收试验与施工时持续试验</w:t>
      </w:r>
      <w:r>
        <w:tab/>
      </w:r>
      <w:r>
        <w:fldChar w:fldCharType="begin"/>
      </w:r>
      <w:r>
        <w:instrText xml:space="preserve"> PAGEREF _Toc232443364 \h </w:instrText>
      </w:r>
      <w:r>
        <w:fldChar w:fldCharType="separate"/>
      </w:r>
      <w:r>
        <w:t>51</w:t>
      </w:r>
      <w:r>
        <w:fldChar w:fldCharType="end"/>
      </w:r>
      <w:r>
        <w:fldChar w:fldCharType="end"/>
      </w:r>
    </w:p>
    <w:p w14:paraId="0BD215DE">
      <w:pPr>
        <w:pStyle w:val="71"/>
        <w:rPr>
          <w:rFonts w:asciiTheme="minorHAnsi" w:hAnsiTheme="minorHAnsi" w:eastAsiaTheme="minorEastAsia" w:cstheme="minorBidi"/>
          <w:szCs w:val="22"/>
        </w:rPr>
      </w:pPr>
      <w:r>
        <w:fldChar w:fldCharType="begin"/>
      </w:r>
      <w:r>
        <w:instrText xml:space="preserve"> HYPERLINK \l "_Toc232443365" </w:instrText>
      </w:r>
      <w:r>
        <w:fldChar w:fldCharType="separate"/>
      </w:r>
      <w:r>
        <w:rPr>
          <w:rStyle w:val="97"/>
        </w:rPr>
        <w:t>7.6 竣工试验</w:t>
      </w:r>
      <w:r>
        <w:tab/>
      </w:r>
      <w:r>
        <w:fldChar w:fldCharType="begin"/>
      </w:r>
      <w:r>
        <w:instrText xml:space="preserve"> PAGEREF _Toc232443365 \h </w:instrText>
      </w:r>
      <w:r>
        <w:fldChar w:fldCharType="separate"/>
      </w:r>
      <w:r>
        <w:t>51</w:t>
      </w:r>
      <w:r>
        <w:fldChar w:fldCharType="end"/>
      </w:r>
      <w:r>
        <w:fldChar w:fldCharType="end"/>
      </w:r>
    </w:p>
    <w:p w14:paraId="159DAE55">
      <w:pPr>
        <w:pStyle w:val="71"/>
        <w:rPr>
          <w:rFonts w:asciiTheme="minorHAnsi" w:hAnsiTheme="minorHAnsi" w:eastAsiaTheme="minorEastAsia" w:cstheme="minorBidi"/>
          <w:szCs w:val="22"/>
        </w:rPr>
      </w:pPr>
      <w:r>
        <w:fldChar w:fldCharType="begin"/>
      </w:r>
      <w:r>
        <w:instrText xml:space="preserve"> HYPERLINK \l "_Toc232443366" </w:instrText>
      </w:r>
      <w:r>
        <w:fldChar w:fldCharType="separate"/>
      </w:r>
      <w:r>
        <w:rPr>
          <w:rStyle w:val="97"/>
        </w:rPr>
        <w:t>7.7 海缆保护完成后试验</w:t>
      </w:r>
      <w:r>
        <w:tab/>
      </w:r>
      <w:r>
        <w:fldChar w:fldCharType="begin"/>
      </w:r>
      <w:r>
        <w:instrText xml:space="preserve"> PAGEREF _Toc232443366 \h </w:instrText>
      </w:r>
      <w:r>
        <w:fldChar w:fldCharType="separate"/>
      </w:r>
      <w:r>
        <w:t>52</w:t>
      </w:r>
      <w:r>
        <w:fldChar w:fldCharType="end"/>
      </w:r>
      <w:r>
        <w:fldChar w:fldCharType="end"/>
      </w:r>
    </w:p>
    <w:p w14:paraId="5D35ADB2">
      <w:pPr>
        <w:pStyle w:val="71"/>
        <w:rPr>
          <w:rFonts w:asciiTheme="minorHAnsi" w:hAnsiTheme="minorHAnsi" w:eastAsiaTheme="minorEastAsia" w:cstheme="minorBidi"/>
          <w:szCs w:val="22"/>
        </w:rPr>
      </w:pPr>
      <w:r>
        <w:fldChar w:fldCharType="begin"/>
      </w:r>
      <w:r>
        <w:instrText xml:space="preserve"> HYPERLINK \l "_Toc232443367" </w:instrText>
      </w:r>
      <w:r>
        <w:fldChar w:fldCharType="separate"/>
      </w:r>
      <w:r>
        <w:rPr>
          <w:rStyle w:val="97"/>
        </w:rPr>
        <w:t>7.8 大长度挤出验证</w:t>
      </w:r>
      <w:r>
        <w:tab/>
      </w:r>
      <w:r>
        <w:fldChar w:fldCharType="begin"/>
      </w:r>
      <w:r>
        <w:instrText xml:space="preserve"> PAGEREF _Toc232443367 \h </w:instrText>
      </w:r>
      <w:r>
        <w:fldChar w:fldCharType="separate"/>
      </w:r>
      <w:r>
        <w:t>52</w:t>
      </w:r>
      <w:r>
        <w:fldChar w:fldCharType="end"/>
      </w:r>
      <w:r>
        <w:fldChar w:fldCharType="end"/>
      </w:r>
    </w:p>
    <w:p w14:paraId="6F55760E">
      <w:pPr>
        <w:pStyle w:val="71"/>
        <w:rPr>
          <w:rFonts w:asciiTheme="minorHAnsi" w:hAnsiTheme="minorHAnsi" w:eastAsiaTheme="minorEastAsia" w:cstheme="minorBidi"/>
          <w:szCs w:val="22"/>
        </w:rPr>
      </w:pPr>
      <w:r>
        <w:fldChar w:fldCharType="begin"/>
      </w:r>
      <w:r>
        <w:instrText xml:space="preserve"> HYPERLINK \l "_Toc232443368" </w:instrText>
      </w:r>
      <w:r>
        <w:fldChar w:fldCharType="separate"/>
      </w:r>
      <w:r>
        <w:rPr>
          <w:rStyle w:val="97"/>
        </w:rPr>
        <w:t>7.9 现场试验设备</w:t>
      </w:r>
      <w:r>
        <w:tab/>
      </w:r>
      <w:r>
        <w:fldChar w:fldCharType="begin"/>
      </w:r>
      <w:r>
        <w:instrText xml:space="preserve"> PAGEREF _Toc232443368 \h </w:instrText>
      </w:r>
      <w:r>
        <w:fldChar w:fldCharType="separate"/>
      </w:r>
      <w:r>
        <w:t>52</w:t>
      </w:r>
      <w:r>
        <w:fldChar w:fldCharType="end"/>
      </w:r>
      <w:r>
        <w:fldChar w:fldCharType="end"/>
      </w:r>
    </w:p>
    <w:p w14:paraId="3C9EE29C">
      <w:pPr>
        <w:pStyle w:val="56"/>
        <w:spacing w:before="78" w:after="78"/>
        <w:rPr>
          <w:rFonts w:asciiTheme="minorHAnsi" w:hAnsiTheme="minorHAnsi" w:eastAsiaTheme="minorEastAsia" w:cstheme="minorBidi"/>
          <w:b w:val="0"/>
          <w:szCs w:val="22"/>
        </w:rPr>
      </w:pPr>
      <w:r>
        <w:fldChar w:fldCharType="begin"/>
      </w:r>
      <w:r>
        <w:instrText xml:space="preserve"> HYPERLINK \l "_Toc232443369" </w:instrText>
      </w:r>
      <w:r>
        <w:fldChar w:fldCharType="separate"/>
      </w:r>
      <w:r>
        <w:rPr>
          <w:rStyle w:val="97"/>
          <w:b w:val="0"/>
        </w:rPr>
        <w:t>8 产品对环境的影响</w:t>
      </w:r>
      <w:r>
        <w:tab/>
      </w:r>
      <w:r>
        <w:fldChar w:fldCharType="begin"/>
      </w:r>
      <w:r>
        <w:instrText xml:space="preserve"> PAGEREF _Toc232443369 \h </w:instrText>
      </w:r>
      <w:r>
        <w:fldChar w:fldCharType="separate"/>
      </w:r>
      <w:r>
        <w:t>53</w:t>
      </w:r>
      <w:r>
        <w:fldChar w:fldCharType="end"/>
      </w:r>
      <w:r>
        <w:fldChar w:fldCharType="end"/>
      </w:r>
    </w:p>
    <w:p w14:paraId="36684753">
      <w:pPr>
        <w:pStyle w:val="56"/>
        <w:spacing w:before="78" w:after="78"/>
        <w:rPr>
          <w:rFonts w:asciiTheme="minorHAnsi" w:hAnsiTheme="minorHAnsi" w:eastAsiaTheme="minorEastAsia" w:cstheme="minorBidi"/>
          <w:b w:val="0"/>
          <w:szCs w:val="22"/>
        </w:rPr>
      </w:pPr>
      <w:r>
        <w:fldChar w:fldCharType="begin"/>
      </w:r>
      <w:r>
        <w:instrText xml:space="preserve"> HYPERLINK \l "_Toc232443370" </w:instrText>
      </w:r>
      <w:r>
        <w:fldChar w:fldCharType="separate"/>
      </w:r>
      <w:r>
        <w:rPr>
          <w:rStyle w:val="97"/>
          <w:b w:val="0"/>
        </w:rPr>
        <w:t>9 技术文件要求</w:t>
      </w:r>
      <w:r>
        <w:tab/>
      </w:r>
      <w:r>
        <w:fldChar w:fldCharType="begin"/>
      </w:r>
      <w:r>
        <w:instrText xml:space="preserve"> PAGEREF _Toc232443370 \h </w:instrText>
      </w:r>
      <w:r>
        <w:fldChar w:fldCharType="separate"/>
      </w:r>
      <w:r>
        <w:t>53</w:t>
      </w:r>
      <w:r>
        <w:fldChar w:fldCharType="end"/>
      </w:r>
      <w:r>
        <w:fldChar w:fldCharType="end"/>
      </w:r>
    </w:p>
    <w:p w14:paraId="59850E06">
      <w:pPr>
        <w:pStyle w:val="71"/>
        <w:rPr>
          <w:rFonts w:asciiTheme="minorHAnsi" w:hAnsiTheme="minorHAnsi" w:eastAsiaTheme="minorEastAsia" w:cstheme="minorBidi"/>
          <w:szCs w:val="22"/>
        </w:rPr>
      </w:pPr>
      <w:r>
        <w:fldChar w:fldCharType="begin"/>
      </w:r>
      <w:r>
        <w:instrText xml:space="preserve"> HYPERLINK \l "_Toc232443371" </w:instrText>
      </w:r>
      <w:r>
        <w:fldChar w:fldCharType="separate"/>
      </w:r>
      <w:r>
        <w:rPr>
          <w:rStyle w:val="97"/>
        </w:rPr>
        <w:t>9.1 一般要求</w:t>
      </w:r>
      <w:r>
        <w:tab/>
      </w:r>
      <w:r>
        <w:fldChar w:fldCharType="begin"/>
      </w:r>
      <w:r>
        <w:instrText xml:space="preserve"> PAGEREF _Toc232443371 \h </w:instrText>
      </w:r>
      <w:r>
        <w:fldChar w:fldCharType="separate"/>
      </w:r>
      <w:r>
        <w:t>53</w:t>
      </w:r>
      <w:r>
        <w:fldChar w:fldCharType="end"/>
      </w:r>
      <w:r>
        <w:fldChar w:fldCharType="end"/>
      </w:r>
    </w:p>
    <w:p w14:paraId="6077D1F9">
      <w:pPr>
        <w:pStyle w:val="71"/>
        <w:rPr>
          <w:rFonts w:asciiTheme="minorHAnsi" w:hAnsiTheme="minorHAnsi" w:eastAsiaTheme="minorEastAsia" w:cstheme="minorBidi"/>
          <w:szCs w:val="22"/>
        </w:rPr>
      </w:pPr>
      <w:r>
        <w:fldChar w:fldCharType="begin"/>
      </w:r>
      <w:r>
        <w:instrText xml:space="preserve"> HYPERLINK \l "_Toc232443372" </w:instrText>
      </w:r>
      <w:r>
        <w:fldChar w:fldCharType="separate"/>
      </w:r>
      <w:r>
        <w:rPr>
          <w:rStyle w:val="97"/>
        </w:rPr>
        <w:t>9.2 投标时应提供的技术资料和图纸</w:t>
      </w:r>
      <w:r>
        <w:tab/>
      </w:r>
      <w:r>
        <w:fldChar w:fldCharType="begin"/>
      </w:r>
      <w:r>
        <w:instrText xml:space="preserve"> PAGEREF _Toc232443372 \h </w:instrText>
      </w:r>
      <w:r>
        <w:fldChar w:fldCharType="separate"/>
      </w:r>
      <w:r>
        <w:t>54</w:t>
      </w:r>
      <w:r>
        <w:fldChar w:fldCharType="end"/>
      </w:r>
      <w:r>
        <w:fldChar w:fldCharType="end"/>
      </w:r>
    </w:p>
    <w:p w14:paraId="6FBF1678">
      <w:pPr>
        <w:pStyle w:val="71"/>
        <w:rPr>
          <w:rFonts w:asciiTheme="minorHAnsi" w:hAnsiTheme="minorHAnsi" w:eastAsiaTheme="minorEastAsia" w:cstheme="minorBidi"/>
          <w:szCs w:val="22"/>
        </w:rPr>
      </w:pPr>
      <w:r>
        <w:fldChar w:fldCharType="begin"/>
      </w:r>
      <w:r>
        <w:instrText xml:space="preserve"> HYPERLINK \l "_Toc232443373" </w:instrText>
      </w:r>
      <w:r>
        <w:fldChar w:fldCharType="separate"/>
      </w:r>
      <w:r>
        <w:rPr>
          <w:rStyle w:val="97"/>
        </w:rPr>
        <w:t>9.3 中标后应提供的技术资料和图纸</w:t>
      </w:r>
      <w:r>
        <w:tab/>
      </w:r>
      <w:r>
        <w:fldChar w:fldCharType="begin"/>
      </w:r>
      <w:r>
        <w:instrText xml:space="preserve"> PAGEREF _Toc232443373 \h </w:instrText>
      </w:r>
      <w:r>
        <w:fldChar w:fldCharType="separate"/>
      </w:r>
      <w:r>
        <w:t>55</w:t>
      </w:r>
      <w:r>
        <w:fldChar w:fldCharType="end"/>
      </w:r>
      <w:r>
        <w:fldChar w:fldCharType="end"/>
      </w:r>
    </w:p>
    <w:p w14:paraId="10CDF1B5">
      <w:pPr>
        <w:pStyle w:val="71"/>
        <w:rPr>
          <w:rFonts w:asciiTheme="minorHAnsi" w:hAnsiTheme="minorHAnsi" w:eastAsiaTheme="minorEastAsia" w:cstheme="minorBidi"/>
          <w:szCs w:val="22"/>
        </w:rPr>
      </w:pPr>
      <w:r>
        <w:fldChar w:fldCharType="begin"/>
      </w:r>
      <w:r>
        <w:instrText xml:space="preserve"> HYPERLINK \l "_Toc232443374" </w:instrText>
      </w:r>
      <w:r>
        <w:fldChar w:fldCharType="separate"/>
      </w:r>
      <w:r>
        <w:rPr>
          <w:rStyle w:val="97"/>
        </w:rPr>
        <w:t>9.4 设计联络</w:t>
      </w:r>
      <w:r>
        <w:tab/>
      </w:r>
      <w:r>
        <w:fldChar w:fldCharType="begin"/>
      </w:r>
      <w:r>
        <w:instrText xml:space="preserve"> PAGEREF _Toc232443374 \h </w:instrText>
      </w:r>
      <w:r>
        <w:fldChar w:fldCharType="separate"/>
      </w:r>
      <w:r>
        <w:t>55</w:t>
      </w:r>
      <w:r>
        <w:fldChar w:fldCharType="end"/>
      </w:r>
      <w:r>
        <w:fldChar w:fldCharType="end"/>
      </w:r>
    </w:p>
    <w:p w14:paraId="47BE66D3">
      <w:pPr>
        <w:pStyle w:val="71"/>
        <w:rPr>
          <w:rFonts w:asciiTheme="minorHAnsi" w:hAnsiTheme="minorHAnsi" w:eastAsiaTheme="minorEastAsia" w:cstheme="minorBidi"/>
          <w:szCs w:val="22"/>
        </w:rPr>
      </w:pPr>
      <w:r>
        <w:fldChar w:fldCharType="begin"/>
      </w:r>
      <w:r>
        <w:instrText xml:space="preserve"> HYPERLINK \l "_Toc232443375" </w:instrText>
      </w:r>
      <w:r>
        <w:fldChar w:fldCharType="separate"/>
      </w:r>
      <w:r>
        <w:rPr>
          <w:rStyle w:val="97"/>
        </w:rPr>
        <w:t>9.5 自主可控海缆研发机制</w:t>
      </w:r>
      <w:r>
        <w:tab/>
      </w:r>
      <w:r>
        <w:fldChar w:fldCharType="begin"/>
      </w:r>
      <w:r>
        <w:instrText xml:space="preserve"> PAGEREF _Toc232443375 \h </w:instrText>
      </w:r>
      <w:r>
        <w:fldChar w:fldCharType="separate"/>
      </w:r>
      <w:r>
        <w:t>55</w:t>
      </w:r>
      <w:r>
        <w:fldChar w:fldCharType="end"/>
      </w:r>
      <w:r>
        <w:fldChar w:fldCharType="end"/>
      </w:r>
    </w:p>
    <w:p w14:paraId="6E7B7DB9">
      <w:pPr>
        <w:pStyle w:val="56"/>
        <w:spacing w:before="78" w:after="78"/>
        <w:rPr>
          <w:rFonts w:asciiTheme="minorHAnsi" w:hAnsiTheme="minorHAnsi" w:eastAsiaTheme="minorEastAsia" w:cstheme="minorBidi"/>
          <w:b w:val="0"/>
          <w:szCs w:val="22"/>
        </w:rPr>
      </w:pPr>
      <w:r>
        <w:fldChar w:fldCharType="begin"/>
      </w:r>
      <w:r>
        <w:instrText xml:space="preserve"> HYPERLINK \l "_Toc232443376" </w:instrText>
      </w:r>
      <w:r>
        <w:fldChar w:fldCharType="separate"/>
      </w:r>
      <w:r>
        <w:rPr>
          <w:rStyle w:val="97"/>
          <w:b w:val="0"/>
        </w:rPr>
        <w:t>10 监造、包装、运输、安装及质量保证</w:t>
      </w:r>
      <w:r>
        <w:tab/>
      </w:r>
      <w:r>
        <w:fldChar w:fldCharType="begin"/>
      </w:r>
      <w:r>
        <w:instrText xml:space="preserve"> PAGEREF _Toc232443376 \h </w:instrText>
      </w:r>
      <w:r>
        <w:fldChar w:fldCharType="separate"/>
      </w:r>
      <w:r>
        <w:t>56</w:t>
      </w:r>
      <w:r>
        <w:fldChar w:fldCharType="end"/>
      </w:r>
      <w:r>
        <w:fldChar w:fldCharType="end"/>
      </w:r>
    </w:p>
    <w:p w14:paraId="12931094">
      <w:pPr>
        <w:pStyle w:val="71"/>
        <w:rPr>
          <w:rFonts w:asciiTheme="minorHAnsi" w:hAnsiTheme="minorHAnsi" w:eastAsiaTheme="minorEastAsia" w:cstheme="minorBidi"/>
          <w:szCs w:val="22"/>
        </w:rPr>
      </w:pPr>
      <w:r>
        <w:fldChar w:fldCharType="begin"/>
      </w:r>
      <w:r>
        <w:instrText xml:space="preserve"> HYPERLINK \l "_Toc232443377" </w:instrText>
      </w:r>
      <w:r>
        <w:fldChar w:fldCharType="separate"/>
      </w:r>
      <w:r>
        <w:rPr>
          <w:rStyle w:val="97"/>
        </w:rPr>
        <w:t>10.1 监造</w:t>
      </w:r>
      <w:r>
        <w:tab/>
      </w:r>
      <w:r>
        <w:fldChar w:fldCharType="begin"/>
      </w:r>
      <w:r>
        <w:instrText xml:space="preserve"> PAGEREF _Toc232443377 \h </w:instrText>
      </w:r>
      <w:r>
        <w:fldChar w:fldCharType="separate"/>
      </w:r>
      <w:r>
        <w:t>56</w:t>
      </w:r>
      <w:r>
        <w:fldChar w:fldCharType="end"/>
      </w:r>
      <w:r>
        <w:fldChar w:fldCharType="end"/>
      </w:r>
    </w:p>
    <w:p w14:paraId="2EEFC6AC">
      <w:pPr>
        <w:pStyle w:val="71"/>
        <w:rPr>
          <w:rFonts w:asciiTheme="minorHAnsi" w:hAnsiTheme="minorHAnsi" w:eastAsiaTheme="minorEastAsia" w:cstheme="minorBidi"/>
          <w:szCs w:val="22"/>
        </w:rPr>
      </w:pPr>
      <w:r>
        <w:fldChar w:fldCharType="begin"/>
      </w:r>
      <w:r>
        <w:instrText xml:space="preserve"> HYPERLINK \l "_Toc232443378" </w:instrText>
      </w:r>
      <w:r>
        <w:fldChar w:fldCharType="separate"/>
      </w:r>
      <w:r>
        <w:rPr>
          <w:rStyle w:val="97"/>
        </w:rPr>
        <w:t>10.2 包装</w:t>
      </w:r>
      <w:r>
        <w:tab/>
      </w:r>
      <w:r>
        <w:fldChar w:fldCharType="begin"/>
      </w:r>
      <w:r>
        <w:instrText xml:space="preserve"> PAGEREF _Toc232443378 \h </w:instrText>
      </w:r>
      <w:r>
        <w:fldChar w:fldCharType="separate"/>
      </w:r>
      <w:r>
        <w:t>60</w:t>
      </w:r>
      <w:r>
        <w:fldChar w:fldCharType="end"/>
      </w:r>
      <w:r>
        <w:fldChar w:fldCharType="end"/>
      </w:r>
    </w:p>
    <w:p w14:paraId="3FA58435">
      <w:pPr>
        <w:pStyle w:val="71"/>
        <w:rPr>
          <w:rFonts w:asciiTheme="minorHAnsi" w:hAnsiTheme="minorHAnsi" w:eastAsiaTheme="minorEastAsia" w:cstheme="minorBidi"/>
          <w:szCs w:val="22"/>
        </w:rPr>
      </w:pPr>
      <w:r>
        <w:fldChar w:fldCharType="begin"/>
      </w:r>
      <w:r>
        <w:instrText xml:space="preserve"> HYPERLINK \l "_Toc232443379" </w:instrText>
      </w:r>
      <w:r>
        <w:fldChar w:fldCharType="separate"/>
      </w:r>
      <w:r>
        <w:rPr>
          <w:rStyle w:val="97"/>
        </w:rPr>
        <w:t>10.3 运输</w:t>
      </w:r>
      <w:r>
        <w:tab/>
      </w:r>
      <w:r>
        <w:fldChar w:fldCharType="begin"/>
      </w:r>
      <w:r>
        <w:instrText xml:space="preserve"> PAGEREF _Toc232443379 \h </w:instrText>
      </w:r>
      <w:r>
        <w:fldChar w:fldCharType="separate"/>
      </w:r>
      <w:r>
        <w:t>61</w:t>
      </w:r>
      <w:r>
        <w:fldChar w:fldCharType="end"/>
      </w:r>
      <w:r>
        <w:fldChar w:fldCharType="end"/>
      </w:r>
    </w:p>
    <w:p w14:paraId="4BCDC948">
      <w:pPr>
        <w:pStyle w:val="71"/>
        <w:rPr>
          <w:rFonts w:asciiTheme="minorHAnsi" w:hAnsiTheme="minorHAnsi" w:eastAsiaTheme="minorEastAsia" w:cstheme="minorBidi"/>
          <w:szCs w:val="22"/>
        </w:rPr>
      </w:pPr>
      <w:r>
        <w:fldChar w:fldCharType="begin"/>
      </w:r>
      <w:r>
        <w:instrText xml:space="preserve"> HYPERLINK \l "_Toc232443380" </w:instrText>
      </w:r>
      <w:r>
        <w:fldChar w:fldCharType="separate"/>
      </w:r>
      <w:r>
        <w:rPr>
          <w:rStyle w:val="97"/>
        </w:rPr>
        <w:t>10.4 现场技术服务</w:t>
      </w:r>
      <w:r>
        <w:tab/>
      </w:r>
      <w:r>
        <w:fldChar w:fldCharType="begin"/>
      </w:r>
      <w:r>
        <w:instrText xml:space="preserve"> PAGEREF _Toc232443380 \h </w:instrText>
      </w:r>
      <w:r>
        <w:fldChar w:fldCharType="separate"/>
      </w:r>
      <w:r>
        <w:t>61</w:t>
      </w:r>
      <w:r>
        <w:fldChar w:fldCharType="end"/>
      </w:r>
      <w:r>
        <w:fldChar w:fldCharType="end"/>
      </w:r>
    </w:p>
    <w:p w14:paraId="30AFBBCE">
      <w:pPr>
        <w:pStyle w:val="71"/>
        <w:rPr>
          <w:rFonts w:asciiTheme="minorHAnsi" w:hAnsiTheme="minorHAnsi" w:eastAsiaTheme="minorEastAsia" w:cstheme="minorBidi"/>
          <w:szCs w:val="22"/>
        </w:rPr>
      </w:pPr>
      <w:r>
        <w:fldChar w:fldCharType="begin"/>
      </w:r>
      <w:r>
        <w:instrText xml:space="preserve"> HYPERLINK \l "_Toc232443381" </w:instrText>
      </w:r>
      <w:r>
        <w:fldChar w:fldCharType="separate"/>
      </w:r>
      <w:r>
        <w:rPr>
          <w:rStyle w:val="97"/>
        </w:rPr>
        <w:t>10.5 全生命周期质量保证</w:t>
      </w:r>
      <w:r>
        <w:tab/>
      </w:r>
      <w:r>
        <w:fldChar w:fldCharType="begin"/>
      </w:r>
      <w:r>
        <w:instrText xml:space="preserve"> PAGEREF _Toc232443381 \h </w:instrText>
      </w:r>
      <w:r>
        <w:fldChar w:fldCharType="separate"/>
      </w:r>
      <w:r>
        <w:t>61</w:t>
      </w:r>
      <w:r>
        <w:fldChar w:fldCharType="end"/>
      </w:r>
      <w:r>
        <w:fldChar w:fldCharType="end"/>
      </w:r>
    </w:p>
    <w:p w14:paraId="60C48FD9">
      <w:pPr>
        <w:pStyle w:val="71"/>
        <w:rPr>
          <w:rFonts w:asciiTheme="minorHAnsi" w:hAnsiTheme="minorHAnsi" w:eastAsiaTheme="minorEastAsia" w:cstheme="minorBidi"/>
          <w:szCs w:val="22"/>
        </w:rPr>
      </w:pPr>
      <w:r>
        <w:fldChar w:fldCharType="begin"/>
      </w:r>
      <w:r>
        <w:instrText xml:space="preserve"> HYPERLINK \l "_Toc232443382" </w:instrText>
      </w:r>
      <w:r>
        <w:fldChar w:fldCharType="separate"/>
      </w:r>
      <w:r>
        <w:rPr>
          <w:rStyle w:val="97"/>
        </w:rPr>
        <w:t>10.6 培训</w:t>
      </w:r>
      <w:r>
        <w:tab/>
      </w:r>
      <w:r>
        <w:fldChar w:fldCharType="begin"/>
      </w:r>
      <w:r>
        <w:instrText xml:space="preserve"> PAGEREF _Toc232443382 \h </w:instrText>
      </w:r>
      <w:r>
        <w:fldChar w:fldCharType="separate"/>
      </w:r>
      <w:r>
        <w:t>63</w:t>
      </w:r>
      <w:r>
        <w:fldChar w:fldCharType="end"/>
      </w:r>
      <w:r>
        <w:fldChar w:fldCharType="end"/>
      </w:r>
    </w:p>
    <w:p w14:paraId="6FCF52A4">
      <w:pPr>
        <w:pStyle w:val="71"/>
        <w:rPr>
          <w:rFonts w:asciiTheme="minorHAnsi" w:hAnsiTheme="minorHAnsi" w:eastAsiaTheme="minorEastAsia" w:cstheme="minorBidi"/>
          <w:szCs w:val="22"/>
        </w:rPr>
      </w:pPr>
      <w:r>
        <w:fldChar w:fldCharType="begin"/>
      </w:r>
      <w:r>
        <w:instrText xml:space="preserve"> HYPERLINK \l "_Toc232443383" </w:instrText>
      </w:r>
      <w:r>
        <w:fldChar w:fldCharType="separate"/>
      </w:r>
      <w:r>
        <w:rPr>
          <w:rStyle w:val="97"/>
        </w:rPr>
        <w:t>10.7 海缆现场到货验收</w:t>
      </w:r>
      <w:r>
        <w:tab/>
      </w:r>
      <w:r>
        <w:fldChar w:fldCharType="begin"/>
      </w:r>
      <w:r>
        <w:instrText xml:space="preserve"> PAGEREF _Toc232443383 \h </w:instrText>
      </w:r>
      <w:r>
        <w:fldChar w:fldCharType="separate"/>
      </w:r>
      <w:r>
        <w:t>64</w:t>
      </w:r>
      <w:r>
        <w:fldChar w:fldCharType="end"/>
      </w:r>
      <w:r>
        <w:fldChar w:fldCharType="end"/>
      </w:r>
    </w:p>
    <w:p w14:paraId="7FA26379">
      <w:pPr>
        <w:pStyle w:val="71"/>
        <w:rPr>
          <w:rFonts w:asciiTheme="minorHAnsi" w:hAnsiTheme="minorHAnsi" w:eastAsiaTheme="minorEastAsia" w:cstheme="minorBidi"/>
          <w:szCs w:val="22"/>
        </w:rPr>
      </w:pPr>
      <w:r>
        <w:fldChar w:fldCharType="begin"/>
      </w:r>
      <w:r>
        <w:instrText xml:space="preserve"> HYPERLINK \l "_Toc232443384" </w:instrText>
      </w:r>
      <w:r>
        <w:fldChar w:fldCharType="separate"/>
      </w:r>
      <w:r>
        <w:rPr>
          <w:rStyle w:val="97"/>
        </w:rPr>
        <w:t>10.8 备用缆及备用附件存储服务</w:t>
      </w:r>
      <w:r>
        <w:tab/>
      </w:r>
      <w:r>
        <w:fldChar w:fldCharType="begin"/>
      </w:r>
      <w:r>
        <w:instrText xml:space="preserve"> PAGEREF _Toc232443384 \h </w:instrText>
      </w:r>
      <w:r>
        <w:fldChar w:fldCharType="separate"/>
      </w:r>
      <w:r>
        <w:t>64</w:t>
      </w:r>
      <w:r>
        <w:fldChar w:fldCharType="end"/>
      </w:r>
      <w:r>
        <w:fldChar w:fldCharType="end"/>
      </w:r>
    </w:p>
    <w:p w14:paraId="13CF0994">
      <w:pPr>
        <w:pStyle w:val="71"/>
        <w:rPr>
          <w:rFonts w:asciiTheme="minorHAnsi" w:hAnsiTheme="minorHAnsi" w:eastAsiaTheme="minorEastAsia" w:cstheme="minorBidi"/>
          <w:szCs w:val="22"/>
        </w:rPr>
      </w:pPr>
      <w:r>
        <w:fldChar w:fldCharType="begin"/>
      </w:r>
      <w:r>
        <w:instrText xml:space="preserve"> HYPERLINK \l "_Toc232443385" </w:instrText>
      </w:r>
      <w:r>
        <w:fldChar w:fldCharType="separate"/>
      </w:r>
      <w:r>
        <w:rPr>
          <w:rStyle w:val="97"/>
        </w:rPr>
        <w:t>10.9 海缆抢修服务</w:t>
      </w:r>
      <w:r>
        <w:tab/>
      </w:r>
      <w:r>
        <w:fldChar w:fldCharType="begin"/>
      </w:r>
      <w:r>
        <w:instrText xml:space="preserve"> PAGEREF _Toc232443385 \h </w:instrText>
      </w:r>
      <w:r>
        <w:fldChar w:fldCharType="separate"/>
      </w:r>
      <w:r>
        <w:t>64</w:t>
      </w:r>
      <w:r>
        <w:fldChar w:fldCharType="end"/>
      </w:r>
      <w:r>
        <w:fldChar w:fldCharType="end"/>
      </w:r>
    </w:p>
    <w:p w14:paraId="08AF268B">
      <w:pPr>
        <w:pStyle w:val="56"/>
        <w:spacing w:before="78" w:after="78"/>
        <w:rPr>
          <w:rFonts w:asciiTheme="minorHAnsi" w:hAnsiTheme="minorHAnsi" w:eastAsiaTheme="minorEastAsia" w:cstheme="minorBidi"/>
          <w:b w:val="0"/>
          <w:szCs w:val="22"/>
        </w:rPr>
      </w:pPr>
      <w:r>
        <w:fldChar w:fldCharType="begin"/>
      </w:r>
      <w:r>
        <w:instrText xml:space="preserve"> HYPERLINK \l "_Toc232443386" </w:instrText>
      </w:r>
      <w:r>
        <w:fldChar w:fldCharType="separate"/>
      </w:r>
      <w:r>
        <w:rPr>
          <w:rStyle w:val="97"/>
          <w:b w:val="0"/>
        </w:rPr>
        <w:t>11 与其他专业接口要求</w:t>
      </w:r>
      <w:r>
        <w:tab/>
      </w:r>
      <w:r>
        <w:fldChar w:fldCharType="begin"/>
      </w:r>
      <w:r>
        <w:instrText xml:space="preserve"> PAGEREF _Toc232443386 \h </w:instrText>
      </w:r>
      <w:r>
        <w:fldChar w:fldCharType="separate"/>
      </w:r>
      <w:r>
        <w:t>65</w:t>
      </w:r>
      <w:r>
        <w:fldChar w:fldCharType="end"/>
      </w:r>
      <w:r>
        <w:fldChar w:fldCharType="end"/>
      </w:r>
    </w:p>
    <w:p w14:paraId="426669AE">
      <w:pPr>
        <w:pStyle w:val="71"/>
        <w:rPr>
          <w:rFonts w:asciiTheme="minorHAnsi" w:hAnsiTheme="minorHAnsi" w:eastAsiaTheme="minorEastAsia" w:cstheme="minorBidi"/>
          <w:szCs w:val="22"/>
        </w:rPr>
      </w:pPr>
      <w:r>
        <w:fldChar w:fldCharType="begin"/>
      </w:r>
      <w:r>
        <w:instrText xml:space="preserve"> HYPERLINK \l "_Toc232443387" </w:instrText>
      </w:r>
      <w:r>
        <w:fldChar w:fldCharType="separate"/>
      </w:r>
      <w:r>
        <w:rPr>
          <w:rStyle w:val="97"/>
        </w:rPr>
        <w:t>11.1 变电专业接口</w:t>
      </w:r>
      <w:r>
        <w:tab/>
      </w:r>
      <w:r>
        <w:fldChar w:fldCharType="begin"/>
      </w:r>
      <w:r>
        <w:instrText xml:space="preserve"> PAGEREF _Toc232443387 \h </w:instrText>
      </w:r>
      <w:r>
        <w:fldChar w:fldCharType="separate"/>
      </w:r>
      <w:r>
        <w:t>65</w:t>
      </w:r>
      <w:r>
        <w:fldChar w:fldCharType="end"/>
      </w:r>
      <w:r>
        <w:fldChar w:fldCharType="end"/>
      </w:r>
    </w:p>
    <w:p w14:paraId="6DF1011D">
      <w:pPr>
        <w:pStyle w:val="71"/>
        <w:rPr>
          <w:rFonts w:asciiTheme="minorHAnsi" w:hAnsiTheme="minorHAnsi" w:eastAsiaTheme="minorEastAsia" w:cstheme="minorBidi"/>
          <w:szCs w:val="22"/>
        </w:rPr>
      </w:pPr>
      <w:r>
        <w:fldChar w:fldCharType="begin"/>
      </w:r>
      <w:r>
        <w:instrText xml:space="preserve"> HYPERLINK \l "_Toc232443388" </w:instrText>
      </w:r>
      <w:r>
        <w:fldChar w:fldCharType="separate"/>
      </w:r>
      <w:r>
        <w:rPr>
          <w:rStyle w:val="97"/>
        </w:rPr>
        <w:t>11.2 陆上土建接口</w:t>
      </w:r>
      <w:r>
        <w:tab/>
      </w:r>
      <w:r>
        <w:fldChar w:fldCharType="begin"/>
      </w:r>
      <w:r>
        <w:instrText xml:space="preserve"> PAGEREF _Toc232443388 \h </w:instrText>
      </w:r>
      <w:r>
        <w:fldChar w:fldCharType="separate"/>
      </w:r>
      <w:r>
        <w:t>65</w:t>
      </w:r>
      <w:r>
        <w:fldChar w:fldCharType="end"/>
      </w:r>
      <w:r>
        <w:fldChar w:fldCharType="end"/>
      </w:r>
    </w:p>
    <w:p w14:paraId="51C4AB9F">
      <w:pPr>
        <w:pStyle w:val="71"/>
        <w:rPr>
          <w:rFonts w:asciiTheme="minorHAnsi" w:hAnsiTheme="minorHAnsi" w:eastAsiaTheme="minorEastAsia" w:cstheme="minorBidi"/>
          <w:szCs w:val="22"/>
        </w:rPr>
      </w:pPr>
      <w:r>
        <w:fldChar w:fldCharType="begin"/>
      </w:r>
      <w:r>
        <w:instrText xml:space="preserve"> HYPERLINK \l "_Toc232443389" </w:instrText>
      </w:r>
      <w:r>
        <w:fldChar w:fldCharType="separate"/>
      </w:r>
      <w:r>
        <w:rPr>
          <w:rStyle w:val="97"/>
        </w:rPr>
        <w:t>11.3 海缆设备厂家与海缆施工厂家接口</w:t>
      </w:r>
      <w:r>
        <w:tab/>
      </w:r>
      <w:r>
        <w:fldChar w:fldCharType="begin"/>
      </w:r>
      <w:r>
        <w:instrText xml:space="preserve"> PAGEREF _Toc232443389 \h </w:instrText>
      </w:r>
      <w:r>
        <w:fldChar w:fldCharType="separate"/>
      </w:r>
      <w:r>
        <w:t>65</w:t>
      </w:r>
      <w:r>
        <w:fldChar w:fldCharType="end"/>
      </w:r>
      <w:r>
        <w:fldChar w:fldCharType="end"/>
      </w:r>
    </w:p>
    <w:p w14:paraId="00F8D6CC">
      <w:pPr>
        <w:pStyle w:val="56"/>
        <w:spacing w:before="78" w:after="78"/>
        <w:rPr>
          <w:rFonts w:asciiTheme="minorHAnsi" w:hAnsiTheme="minorHAnsi" w:eastAsiaTheme="minorEastAsia" w:cstheme="minorBidi"/>
          <w:b w:val="0"/>
          <w:szCs w:val="22"/>
        </w:rPr>
      </w:pPr>
      <w:r>
        <w:fldChar w:fldCharType="begin"/>
      </w:r>
      <w:r>
        <w:instrText xml:space="preserve"> HYPERLINK \l "_Toc232443390" </w:instrText>
      </w:r>
      <w:r>
        <w:fldChar w:fldCharType="separate"/>
      </w:r>
      <w:r>
        <w:rPr>
          <w:rStyle w:val="97"/>
          <w:b w:val="0"/>
        </w:rPr>
        <w:t>12 投标方技术偏差</w:t>
      </w:r>
      <w:r>
        <w:tab/>
      </w:r>
      <w:r>
        <w:fldChar w:fldCharType="begin"/>
      </w:r>
      <w:r>
        <w:instrText xml:space="preserve"> PAGEREF _Toc232443390 \h </w:instrText>
      </w:r>
      <w:r>
        <w:fldChar w:fldCharType="separate"/>
      </w:r>
      <w:r>
        <w:t>67</w:t>
      </w:r>
      <w:r>
        <w:fldChar w:fldCharType="end"/>
      </w:r>
      <w:r>
        <w:fldChar w:fldCharType="end"/>
      </w:r>
    </w:p>
    <w:p w14:paraId="6554F007">
      <w:pPr>
        <w:pStyle w:val="71"/>
        <w:rPr>
          <w:rFonts w:asciiTheme="minorHAnsi" w:hAnsiTheme="minorHAnsi" w:eastAsiaTheme="minorEastAsia" w:cstheme="minorBidi"/>
          <w:szCs w:val="22"/>
        </w:rPr>
      </w:pPr>
      <w:r>
        <w:fldChar w:fldCharType="begin"/>
      </w:r>
      <w:r>
        <w:instrText xml:space="preserve"> HYPERLINK \l "_Toc232443391" </w:instrText>
      </w:r>
      <w:r>
        <w:fldChar w:fldCharType="separate"/>
      </w:r>
      <w:r>
        <w:rPr>
          <w:rStyle w:val="97"/>
        </w:rPr>
        <w:t>12.1 投标方技术偏差</w:t>
      </w:r>
      <w:r>
        <w:tab/>
      </w:r>
      <w:r>
        <w:fldChar w:fldCharType="begin"/>
      </w:r>
      <w:r>
        <w:instrText xml:space="preserve"> PAGEREF _Toc232443391 \h </w:instrText>
      </w:r>
      <w:r>
        <w:fldChar w:fldCharType="separate"/>
      </w:r>
      <w:r>
        <w:t>67</w:t>
      </w:r>
      <w:r>
        <w:fldChar w:fldCharType="end"/>
      </w:r>
      <w:r>
        <w:fldChar w:fldCharType="end"/>
      </w:r>
    </w:p>
    <w:p w14:paraId="068924EC">
      <w:pPr>
        <w:pStyle w:val="71"/>
        <w:rPr>
          <w:rFonts w:asciiTheme="minorHAnsi" w:hAnsiTheme="minorHAnsi" w:eastAsiaTheme="minorEastAsia" w:cstheme="minorBidi"/>
          <w:szCs w:val="22"/>
        </w:rPr>
      </w:pPr>
      <w:r>
        <w:fldChar w:fldCharType="begin"/>
      </w:r>
      <w:r>
        <w:instrText xml:space="preserve"> HYPERLINK \l "_Toc232443392" </w:instrText>
      </w:r>
      <w:r>
        <w:fldChar w:fldCharType="separate"/>
      </w:r>
      <w:r>
        <w:rPr>
          <w:rStyle w:val="97"/>
        </w:rPr>
        <w:t>12.2 投标方需说明的其他问题</w:t>
      </w:r>
      <w:r>
        <w:tab/>
      </w:r>
      <w:r>
        <w:fldChar w:fldCharType="begin"/>
      </w:r>
      <w:r>
        <w:instrText xml:space="preserve"> PAGEREF _Toc232443392 \h </w:instrText>
      </w:r>
      <w:r>
        <w:fldChar w:fldCharType="separate"/>
      </w:r>
      <w:r>
        <w:t>67</w:t>
      </w:r>
      <w:r>
        <w:fldChar w:fldCharType="end"/>
      </w:r>
      <w:r>
        <w:fldChar w:fldCharType="end"/>
      </w:r>
    </w:p>
    <w:p w14:paraId="565A31A6">
      <w:pPr>
        <w:pStyle w:val="56"/>
        <w:spacing w:before="78" w:after="78"/>
        <w:rPr>
          <w:rFonts w:asciiTheme="minorHAnsi" w:hAnsiTheme="minorHAnsi" w:eastAsiaTheme="minorEastAsia" w:cstheme="minorBidi"/>
          <w:b w:val="0"/>
          <w:szCs w:val="22"/>
        </w:rPr>
      </w:pPr>
      <w:r>
        <w:fldChar w:fldCharType="begin"/>
      </w:r>
      <w:r>
        <w:instrText xml:space="preserve"> HYPERLINK \l "_Toc232443393" </w:instrText>
      </w:r>
      <w:r>
        <w:fldChar w:fldCharType="separate"/>
      </w:r>
      <w:r>
        <w:rPr>
          <w:rStyle w:val="97"/>
          <w:b w:val="0"/>
        </w:rPr>
        <w:t>附件一 广东侧海缆定向钻登陆纵断面</w:t>
      </w:r>
      <w:r>
        <w:tab/>
      </w:r>
      <w:r>
        <w:fldChar w:fldCharType="begin"/>
      </w:r>
      <w:r>
        <w:instrText xml:space="preserve"> PAGEREF _Toc232443393 \h </w:instrText>
      </w:r>
      <w:r>
        <w:fldChar w:fldCharType="separate"/>
      </w:r>
      <w:r>
        <w:t>68</w:t>
      </w:r>
      <w:r>
        <w:fldChar w:fldCharType="end"/>
      </w:r>
      <w:r>
        <w:fldChar w:fldCharType="end"/>
      </w:r>
    </w:p>
    <w:p w14:paraId="5D2F84D2">
      <w:pPr>
        <w:pStyle w:val="56"/>
        <w:spacing w:before="78" w:after="78"/>
        <w:rPr>
          <w:rFonts w:asciiTheme="minorHAnsi" w:hAnsiTheme="minorHAnsi" w:eastAsiaTheme="minorEastAsia" w:cstheme="minorBidi"/>
          <w:b w:val="0"/>
          <w:szCs w:val="22"/>
        </w:rPr>
      </w:pPr>
      <w:r>
        <w:fldChar w:fldCharType="begin"/>
      </w:r>
      <w:r>
        <w:instrText xml:space="preserve"> HYPERLINK \l "_Toc232443394" </w:instrText>
      </w:r>
      <w:r>
        <w:fldChar w:fldCharType="separate"/>
      </w:r>
      <w:r>
        <w:rPr>
          <w:rStyle w:val="97"/>
          <w:b w:val="0"/>
        </w:rPr>
        <w:t>附件二 海南侧海缆定向钻登陆纵断面</w:t>
      </w:r>
      <w:r>
        <w:tab/>
      </w:r>
      <w:r>
        <w:fldChar w:fldCharType="begin"/>
      </w:r>
      <w:r>
        <w:instrText xml:space="preserve"> PAGEREF _Toc232443394 \h </w:instrText>
      </w:r>
      <w:r>
        <w:fldChar w:fldCharType="separate"/>
      </w:r>
      <w:r>
        <w:t>68</w:t>
      </w:r>
      <w:r>
        <w:fldChar w:fldCharType="end"/>
      </w:r>
      <w:r>
        <w:fldChar w:fldCharType="end"/>
      </w:r>
    </w:p>
    <w:p w14:paraId="03074C20">
      <w:pPr>
        <w:pStyle w:val="56"/>
        <w:spacing w:before="78" w:after="78"/>
        <w:rPr>
          <w:rFonts w:asciiTheme="minorHAnsi" w:hAnsiTheme="minorHAnsi" w:eastAsiaTheme="minorEastAsia" w:cstheme="minorBidi"/>
          <w:b w:val="0"/>
          <w:szCs w:val="22"/>
        </w:rPr>
      </w:pPr>
      <w:r>
        <w:fldChar w:fldCharType="begin"/>
      </w:r>
      <w:r>
        <w:instrText xml:space="preserve"> HYPERLINK \l "_Toc232443395" </w:instrText>
      </w:r>
      <w:r>
        <w:fldChar w:fldCharType="separate"/>
      </w:r>
      <w:r>
        <w:rPr>
          <w:rStyle w:val="97"/>
          <w:b w:val="0"/>
        </w:rPr>
        <w:t>附录一  设计联络会</w:t>
      </w:r>
      <w:r>
        <w:tab/>
      </w:r>
      <w:r>
        <w:fldChar w:fldCharType="begin"/>
      </w:r>
      <w:r>
        <w:instrText xml:space="preserve"> PAGEREF _Toc232443395 \h </w:instrText>
      </w:r>
      <w:r>
        <w:fldChar w:fldCharType="separate"/>
      </w:r>
      <w:r>
        <w:t>69</w:t>
      </w:r>
      <w:r>
        <w:fldChar w:fldCharType="end"/>
      </w:r>
      <w:r>
        <w:fldChar w:fldCharType="end"/>
      </w:r>
    </w:p>
    <w:p w14:paraId="4A002750">
      <w:pPr>
        <w:pStyle w:val="56"/>
        <w:spacing w:before="78" w:after="78"/>
        <w:rPr>
          <w:rFonts w:asciiTheme="minorHAnsi" w:hAnsiTheme="minorHAnsi" w:eastAsiaTheme="minorEastAsia" w:cstheme="minorBidi"/>
          <w:b w:val="0"/>
          <w:szCs w:val="22"/>
        </w:rPr>
      </w:pPr>
      <w:r>
        <w:fldChar w:fldCharType="begin"/>
      </w:r>
      <w:r>
        <w:instrText xml:space="preserve"> HYPERLINK \l "_Toc232443396" </w:instrText>
      </w:r>
      <w:r>
        <w:fldChar w:fldCharType="separate"/>
      </w:r>
      <w:r>
        <w:rPr>
          <w:rStyle w:val="97"/>
          <w:b w:val="0"/>
        </w:rPr>
        <w:t>附录二  自主可控料海缆研发会议说明</w:t>
      </w:r>
      <w:r>
        <w:tab/>
      </w:r>
      <w:r>
        <w:fldChar w:fldCharType="begin"/>
      </w:r>
      <w:r>
        <w:instrText xml:space="preserve"> PAGEREF _Toc232443396 \h </w:instrText>
      </w:r>
      <w:r>
        <w:fldChar w:fldCharType="separate"/>
      </w:r>
      <w:r>
        <w:t>71</w:t>
      </w:r>
      <w:r>
        <w:fldChar w:fldCharType="end"/>
      </w:r>
      <w:r>
        <w:fldChar w:fldCharType="end"/>
      </w:r>
    </w:p>
    <w:p w14:paraId="53AF2586">
      <w:r>
        <w:fldChar w:fldCharType="end"/>
      </w:r>
    </w:p>
    <w:p w14:paraId="013F6511">
      <w:pPr>
        <w:jc w:val="center"/>
        <w:rPr>
          <w:rFonts w:ascii="黑体" w:hAnsi="黑体" w:eastAsia="黑体"/>
          <w:sz w:val="36"/>
          <w:szCs w:val="36"/>
        </w:rPr>
      </w:pPr>
    </w:p>
    <w:p w14:paraId="7814F96A">
      <w:pPr>
        <w:tabs>
          <w:tab w:val="center" w:pos="4357"/>
        </w:tabs>
        <w:rPr>
          <w:rFonts w:ascii="黑体" w:hAnsi="黑体" w:eastAsia="黑体"/>
          <w:sz w:val="36"/>
          <w:szCs w:val="36"/>
        </w:rPr>
        <w:sectPr>
          <w:footerReference r:id="rId5" w:type="first"/>
          <w:headerReference r:id="rId3" w:type="default"/>
          <w:footerReference r:id="rId4" w:type="default"/>
          <w:pgSz w:w="11906" w:h="16838"/>
          <w:pgMar w:top="1440" w:right="1616" w:bottom="1440" w:left="1575" w:header="851" w:footer="992" w:gutter="0"/>
          <w:pgNumType w:fmt="lowerRoman"/>
          <w:cols w:space="720" w:num="1"/>
          <w:titlePg/>
          <w:docGrid w:type="lines" w:linePitch="312" w:charSpace="0"/>
        </w:sectPr>
      </w:pPr>
      <w:r>
        <w:rPr>
          <w:rFonts w:ascii="黑体" w:hAnsi="黑体" w:eastAsia="黑体"/>
          <w:sz w:val="36"/>
          <w:szCs w:val="36"/>
        </w:rPr>
        <w:tab/>
      </w:r>
    </w:p>
    <w:p w14:paraId="57B15935">
      <w:pPr>
        <w:pStyle w:val="3"/>
        <w:numPr>
          <w:ilvl w:val="0"/>
          <w:numId w:val="7"/>
        </w:numPr>
        <w:ind w:left="0" w:firstLine="0"/>
        <w:rPr>
          <w:rFonts w:ascii="黑体" w:hAnsi="黑体" w:eastAsia="黑体"/>
          <w:b/>
          <w:sz w:val="21"/>
          <w:szCs w:val="21"/>
        </w:rPr>
      </w:pPr>
      <w:bookmarkStart w:id="1" w:name="_Toc226123928"/>
      <w:bookmarkStart w:id="2" w:name="_Toc232443335"/>
      <w:bookmarkStart w:id="3" w:name="_Toc22302704"/>
      <w:bookmarkStart w:id="4" w:name="_Toc322681847"/>
      <w:r>
        <w:rPr>
          <w:rFonts w:hint="eastAsia" w:ascii="黑体" w:hAnsi="黑体" w:eastAsia="黑体"/>
          <w:b/>
          <w:sz w:val="21"/>
          <w:szCs w:val="21"/>
        </w:rPr>
        <w:t>总则</w:t>
      </w:r>
      <w:bookmarkEnd w:id="1"/>
      <w:bookmarkEnd w:id="2"/>
      <w:bookmarkEnd w:id="3"/>
      <w:bookmarkEnd w:id="4"/>
    </w:p>
    <w:p w14:paraId="49B83BD1">
      <w:pPr>
        <w:pStyle w:val="43"/>
        <w:adjustRightInd w:val="0"/>
        <w:snapToGrid w:val="0"/>
        <w:spacing w:line="360" w:lineRule="auto"/>
        <w:rPr>
          <w:rFonts w:cs="Times New Roman" w:asciiTheme="minorEastAsia" w:hAnsiTheme="minorEastAsia" w:eastAsiaTheme="minorEastAsia"/>
          <w:szCs w:val="24"/>
        </w:rPr>
      </w:pPr>
      <w:r>
        <w:rPr>
          <w:rFonts w:cs="Times New Roman" w:asciiTheme="minorEastAsia" w:hAnsiTheme="minorEastAsia" w:eastAsiaTheme="minorEastAsia"/>
          <w:szCs w:val="24"/>
        </w:rPr>
        <w:t>1.1 本技术规范书适用于海南-广东电力灵活互济工程500kV海缆线路新建工程中，500kV交流用交联聚乙烯绝缘光纤复合海底电缆系统设备的采购</w:t>
      </w:r>
      <w:r>
        <w:rPr>
          <w:rFonts w:hint="eastAsia" w:cs="Times New Roman" w:asciiTheme="minorEastAsia" w:hAnsiTheme="minorEastAsia" w:eastAsiaTheme="minorEastAsia"/>
          <w:szCs w:val="24"/>
        </w:rPr>
        <w:t>，</w:t>
      </w:r>
      <w:r>
        <w:rPr>
          <w:rFonts w:cs="Times New Roman" w:asciiTheme="minorEastAsia" w:hAnsiTheme="minorEastAsia" w:eastAsiaTheme="minorEastAsia"/>
          <w:szCs w:val="24"/>
        </w:rPr>
        <w:t>规定海底电缆系统设备（以下简称“设备”） 的设计、结构、性能、</w:t>
      </w:r>
      <w:r>
        <w:rPr>
          <w:rFonts w:hint="eastAsia" w:cs="Times New Roman" w:asciiTheme="minorEastAsia" w:hAnsiTheme="minorEastAsia" w:eastAsiaTheme="minorEastAsia"/>
          <w:szCs w:val="24"/>
        </w:rPr>
        <w:t>部分附件安装、</w:t>
      </w:r>
      <w:r>
        <w:rPr>
          <w:rFonts w:cs="Times New Roman" w:asciiTheme="minorEastAsia" w:hAnsiTheme="minorEastAsia" w:eastAsiaTheme="minorEastAsia"/>
          <w:szCs w:val="24"/>
        </w:rPr>
        <w:t>试验及验收等方面的技术要求。</w:t>
      </w:r>
    </w:p>
    <w:p w14:paraId="3BDB9A8A">
      <w:pPr>
        <w:pStyle w:val="43"/>
        <w:adjustRightInd w:val="0"/>
        <w:snapToGrid w:val="0"/>
        <w:spacing w:line="360" w:lineRule="auto"/>
        <w:rPr>
          <w:rFonts w:hAnsi="仿宋_GB2312"/>
        </w:rPr>
      </w:pPr>
      <w:r>
        <w:rPr>
          <w:rFonts w:hint="eastAsia" w:cs="Times New Roman" w:asciiTheme="minorEastAsia" w:hAnsiTheme="minorEastAsia" w:eastAsiaTheme="minorEastAsia"/>
          <w:szCs w:val="24"/>
        </w:rPr>
        <w:t>1.2</w:t>
      </w:r>
      <w:r>
        <w:rPr>
          <w:rFonts w:cs="Times New Roman" w:asciiTheme="minorEastAsia" w:hAnsiTheme="minorEastAsia" w:eastAsiaTheme="minorEastAsia"/>
          <w:szCs w:val="24"/>
        </w:rPr>
        <w:t xml:space="preserve"> </w:t>
      </w:r>
      <w:r>
        <w:rPr>
          <w:rFonts w:hint="eastAsia" w:cs="Times New Roman" w:asciiTheme="minorEastAsia" w:hAnsiTheme="minorEastAsia" w:eastAsiaTheme="minorEastAsia"/>
          <w:szCs w:val="24"/>
        </w:rPr>
        <w:t>本技术规范书接受使用自主可控原材料（绝缘料与屏蔽料）的海缆。若使用自主可控海缆方案</w:t>
      </w:r>
      <w:r>
        <w:rPr>
          <w:rFonts w:hint="eastAsia" w:ascii="Segoe UI" w:hAnsi="Segoe UI" w:cs="Segoe UI"/>
          <w:color w:val="0F1115"/>
          <w:shd w:val="clear" w:color="auto" w:fill="FFFFFF"/>
        </w:rPr>
        <w:t>，海缆产品应满足以下要求：</w:t>
      </w:r>
      <w:r>
        <w:rPr>
          <w:rFonts w:hint="eastAsia" w:cs="Times New Roman" w:asciiTheme="minorEastAsia" w:hAnsiTheme="minorEastAsia" w:eastAsiaTheme="minorEastAsia"/>
          <w:szCs w:val="24"/>
        </w:rPr>
        <w:t>绝缘料的基料、配方和工艺等全链条均需实现自主可控，至少应实现整根三相海缆应用自主可控绝缘料，</w:t>
      </w:r>
      <w:r>
        <w:rPr>
          <w:rFonts w:hint="eastAsia" w:hAnsi="仿宋_GB2312"/>
        </w:rPr>
        <w:t>每相工厂接头数量不超2个。鼓励使用自主可控屏蔽料，若使用，根据应用方案在后续设计联络中确定是否增加接头数，若增加不超过1个，并制定必要的控制措施。</w:t>
      </w:r>
    </w:p>
    <w:p w14:paraId="72C48343">
      <w:pPr>
        <w:pStyle w:val="43"/>
        <w:adjustRightInd w:val="0"/>
        <w:snapToGrid w:val="0"/>
        <w:spacing w:line="360" w:lineRule="auto"/>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1</w:t>
      </w:r>
      <w:r>
        <w:rPr>
          <w:rFonts w:cs="Times New Roman" w:asciiTheme="minorEastAsia" w:hAnsiTheme="minorEastAsia" w:eastAsiaTheme="minorEastAsia"/>
          <w:szCs w:val="24"/>
        </w:rPr>
        <w:t xml:space="preserve">.3 </w:t>
      </w:r>
      <w:r>
        <w:rPr>
          <w:rFonts w:hint="eastAsia" w:cs="Times New Roman" w:asciiTheme="minorEastAsia" w:hAnsiTheme="minorEastAsia" w:eastAsiaTheme="minorEastAsia"/>
          <w:szCs w:val="24"/>
        </w:rPr>
        <w:t>如使用自主可控海缆方案。在2028年7月30日前，根据自主可控海缆最新研发及试验进展，明确工程海缆应用方案（详见 附录二 自主可控海缆研发会议说明）。如投标方提供的最终海缆产品未达到投标方投标时提交的自主可控海缆方案要求，按照合同相关条款约定执行。</w:t>
      </w:r>
    </w:p>
    <w:p w14:paraId="77EC8717">
      <w:pPr>
        <w:pStyle w:val="43"/>
        <w:adjustRightInd w:val="0"/>
        <w:snapToGrid w:val="0"/>
        <w:spacing w:line="360" w:lineRule="auto"/>
        <w:rPr>
          <w:rFonts w:cs="Times New Roman" w:asciiTheme="minorEastAsia" w:hAnsiTheme="minorEastAsia" w:eastAsiaTheme="minorEastAsia"/>
          <w:szCs w:val="24"/>
        </w:rPr>
      </w:pPr>
      <w:r>
        <w:rPr>
          <w:rFonts w:cs="Times New Roman" w:asciiTheme="minorEastAsia" w:hAnsiTheme="minorEastAsia" w:eastAsiaTheme="minorEastAsia"/>
          <w:szCs w:val="24"/>
        </w:rPr>
        <w:t>1.</w:t>
      </w:r>
      <w:r>
        <w:rPr>
          <w:rFonts w:hint="eastAsia" w:cs="Times New Roman" w:asciiTheme="minorEastAsia" w:hAnsiTheme="minorEastAsia" w:eastAsiaTheme="minorEastAsia"/>
          <w:szCs w:val="24"/>
          <w:lang w:val="en-US" w:eastAsia="zh-CN"/>
        </w:rPr>
        <w:t>4</w:t>
      </w:r>
      <w:r>
        <w:rPr>
          <w:rFonts w:hint="eastAsia" w:cs="Times New Roman" w:asciiTheme="minorEastAsia" w:hAnsiTheme="minorEastAsia" w:eastAsiaTheme="minorEastAsia"/>
          <w:szCs w:val="24"/>
        </w:rPr>
        <w:t>本设备技术规范书提出的是最低限度的技术要求。凡本技术规范书中未规定，但在相关设备的行业标准、国家标准或</w:t>
      </w:r>
      <w:r>
        <w:rPr>
          <w:rFonts w:cs="Times New Roman" w:asciiTheme="minorEastAsia" w:hAnsiTheme="minorEastAsia" w:eastAsiaTheme="minorEastAsia"/>
          <w:szCs w:val="24"/>
        </w:rPr>
        <w:t>IEC</w:t>
      </w:r>
      <w:r>
        <w:rPr>
          <w:rFonts w:hint="eastAsia" w:cs="Times New Roman" w:asciiTheme="minorEastAsia" w:hAnsiTheme="minorEastAsia" w:eastAsiaTheme="minorEastAsia"/>
          <w:szCs w:val="24"/>
        </w:rPr>
        <w:t>标准中有规定的规范条文，投标方应按相应标准的条文进行设备设计、制造、试验和安装。对国家有关安全、环保等强制性标准，必须满足其要求。</w:t>
      </w:r>
    </w:p>
    <w:p w14:paraId="480770F8">
      <w:pPr>
        <w:pStyle w:val="43"/>
        <w:adjustRightInd w:val="0"/>
        <w:snapToGrid w:val="0"/>
        <w:spacing w:line="360" w:lineRule="auto"/>
        <w:rPr>
          <w:rFonts w:cs="Times New Roman" w:asciiTheme="minorEastAsia" w:hAnsiTheme="minorEastAsia" w:eastAsiaTheme="minorEastAsia"/>
          <w:szCs w:val="24"/>
        </w:rPr>
      </w:pPr>
      <w:r>
        <w:rPr>
          <w:rFonts w:cs="Times New Roman" w:asciiTheme="minorEastAsia" w:hAnsiTheme="minorEastAsia" w:eastAsiaTheme="minorEastAsia"/>
          <w:szCs w:val="24"/>
        </w:rPr>
        <w:t>1.</w:t>
      </w:r>
      <w:r>
        <w:rPr>
          <w:rFonts w:hint="eastAsia" w:cs="Times New Roman" w:asciiTheme="minorEastAsia" w:hAnsiTheme="minorEastAsia" w:eastAsiaTheme="minorEastAsia"/>
          <w:szCs w:val="24"/>
          <w:lang w:val="en-US" w:eastAsia="zh-CN"/>
        </w:rPr>
        <w:t>5</w:t>
      </w:r>
      <w:r>
        <w:rPr>
          <w:rFonts w:hint="eastAsia" w:cs="Times New Roman" w:asciiTheme="minorEastAsia" w:hAnsiTheme="minorEastAsia" w:eastAsiaTheme="minorEastAsia"/>
          <w:szCs w:val="24"/>
        </w:rPr>
        <w:t>投标方须对本技术规范书的要求进行逐条核实，如投标方未以书面形式对本技术规范书的条文提出异议，则意味着投标方提供的设备完全符合本技术规范书的要求。如有任何异议，即使影响极度微小，均应在报价书中以“对技术规范书的意见和同技术规范书的差异”为标题的专门章节中详细描述。</w:t>
      </w:r>
    </w:p>
    <w:p w14:paraId="6085BE6C">
      <w:pPr>
        <w:pStyle w:val="43"/>
        <w:adjustRightInd w:val="0"/>
        <w:snapToGrid w:val="0"/>
        <w:spacing w:line="360" w:lineRule="auto"/>
        <w:rPr>
          <w:rFonts w:cs="Times New Roman" w:asciiTheme="minorEastAsia" w:hAnsiTheme="minorEastAsia" w:eastAsiaTheme="minorEastAsia"/>
          <w:szCs w:val="24"/>
        </w:rPr>
      </w:pPr>
      <w:r>
        <w:rPr>
          <w:rFonts w:cs="Times New Roman" w:asciiTheme="minorEastAsia" w:hAnsiTheme="minorEastAsia" w:eastAsiaTheme="minorEastAsia"/>
          <w:szCs w:val="24"/>
        </w:rPr>
        <w:t>1.</w:t>
      </w:r>
      <w:r>
        <w:rPr>
          <w:rFonts w:hint="eastAsia" w:cs="Times New Roman" w:asciiTheme="minorEastAsia" w:hAnsiTheme="minorEastAsia" w:eastAsiaTheme="minorEastAsia"/>
          <w:szCs w:val="24"/>
          <w:lang w:val="en-US" w:eastAsia="zh-CN"/>
        </w:rPr>
        <w:t>6</w:t>
      </w:r>
      <w:r>
        <w:rPr>
          <w:rFonts w:hint="eastAsia" w:cs="Times New Roman" w:asciiTheme="minorEastAsia" w:hAnsiTheme="minorEastAsia" w:eastAsiaTheme="minorEastAsia"/>
          <w:szCs w:val="24"/>
        </w:rPr>
        <w:t>本技术规范书所使用的标准如遇与投标方所执行的标准不一致时，按较高标准执行。</w:t>
      </w:r>
    </w:p>
    <w:p w14:paraId="05E71765">
      <w:pPr>
        <w:pStyle w:val="43"/>
        <w:adjustRightInd w:val="0"/>
        <w:snapToGrid w:val="0"/>
        <w:spacing w:line="360" w:lineRule="auto"/>
        <w:rPr>
          <w:rFonts w:cs="Times New Roman" w:asciiTheme="minorEastAsia" w:hAnsiTheme="minorEastAsia" w:eastAsiaTheme="minorEastAsia"/>
          <w:szCs w:val="24"/>
        </w:rPr>
      </w:pPr>
      <w:r>
        <w:rPr>
          <w:rFonts w:cs="Times New Roman" w:asciiTheme="minorEastAsia" w:hAnsiTheme="minorEastAsia" w:eastAsiaTheme="minorEastAsia"/>
          <w:szCs w:val="24"/>
        </w:rPr>
        <w:t>1.</w:t>
      </w:r>
      <w:r>
        <w:rPr>
          <w:rFonts w:hint="eastAsia" w:cs="Times New Roman" w:asciiTheme="minorEastAsia" w:hAnsiTheme="minorEastAsia" w:eastAsiaTheme="minorEastAsia"/>
          <w:szCs w:val="24"/>
          <w:lang w:val="en-US" w:eastAsia="zh-CN"/>
        </w:rPr>
        <w:t>7</w:t>
      </w:r>
      <w:r>
        <w:rPr>
          <w:rFonts w:hint="eastAsia" w:cs="Times New Roman" w:asciiTheme="minorEastAsia" w:hAnsiTheme="minorEastAsia" w:eastAsiaTheme="minorEastAsia"/>
          <w:szCs w:val="24"/>
        </w:rPr>
        <w:t>本技术规范书未尽事宜，由招标方与投标方双方协商确定。</w:t>
      </w:r>
    </w:p>
    <w:p w14:paraId="0D792F39">
      <w:pPr>
        <w:pStyle w:val="43"/>
        <w:adjustRightInd w:val="0"/>
        <w:snapToGrid w:val="0"/>
        <w:spacing w:line="360" w:lineRule="auto"/>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1.</w:t>
      </w:r>
      <w:r>
        <w:rPr>
          <w:rFonts w:hint="eastAsia" w:cs="Times New Roman" w:asciiTheme="minorEastAsia" w:hAnsiTheme="minorEastAsia" w:eastAsiaTheme="minorEastAsia"/>
          <w:szCs w:val="24"/>
          <w:lang w:val="en-US" w:eastAsia="zh-CN"/>
        </w:rPr>
        <w:t>8</w:t>
      </w:r>
      <w:r>
        <w:rPr>
          <w:rFonts w:hint="eastAsia" w:cs="Times New Roman" w:asciiTheme="minorEastAsia" w:hAnsiTheme="minorEastAsia" w:eastAsiaTheme="minorEastAsia"/>
          <w:szCs w:val="24"/>
        </w:rPr>
        <w:t>投标方在应标技术规范书中设备技术部分应如实反映应标产品与本技术规范书的技术差异。若投标方未提出技术差异，而在执行合同的过程中，招标方发现投标方提供的产品与其应标技术规范书的条文存在差异，招标方有权利要求退货，并保留进一步追索违约责任的权利。</w:t>
      </w:r>
    </w:p>
    <w:p w14:paraId="7D1553A7">
      <w:pPr>
        <w:pStyle w:val="43"/>
        <w:adjustRightInd w:val="0"/>
        <w:snapToGrid w:val="0"/>
        <w:spacing w:line="360" w:lineRule="auto"/>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1.</w:t>
      </w:r>
      <w:r>
        <w:rPr>
          <w:rFonts w:hint="eastAsia" w:cs="Times New Roman" w:asciiTheme="minorEastAsia" w:hAnsiTheme="minorEastAsia" w:eastAsiaTheme="minorEastAsia"/>
          <w:szCs w:val="24"/>
          <w:lang w:val="en-US" w:eastAsia="zh-CN"/>
        </w:rPr>
        <w:t>9</w:t>
      </w:r>
      <w:r>
        <w:rPr>
          <w:rFonts w:hint="eastAsia" w:cs="Times New Roman" w:asciiTheme="minorEastAsia" w:hAnsiTheme="minorEastAsia" w:eastAsiaTheme="minorEastAsia"/>
          <w:szCs w:val="24"/>
        </w:rPr>
        <w:t>投标方应在应标设备技术部分按本技术规范书的要求如实详细的填写应标设备的标准配置表，并在应标商务部分按此标准配置进行报价，如发现二者有矛盾之处，将对评标工作有不同程度的影响。</w:t>
      </w:r>
    </w:p>
    <w:p w14:paraId="3637257B">
      <w:pPr>
        <w:pStyle w:val="43"/>
        <w:adjustRightInd w:val="0"/>
        <w:snapToGrid w:val="0"/>
        <w:spacing w:line="360" w:lineRule="auto"/>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1.</w:t>
      </w:r>
      <w:r>
        <w:rPr>
          <w:rFonts w:hint="eastAsia" w:cs="Times New Roman" w:asciiTheme="minorEastAsia" w:hAnsiTheme="minorEastAsia" w:eastAsiaTheme="minorEastAsia"/>
          <w:szCs w:val="24"/>
          <w:lang w:val="en-US" w:eastAsia="zh-CN"/>
        </w:rPr>
        <w:t>10</w:t>
      </w:r>
      <w:r>
        <w:rPr>
          <w:rFonts w:hint="eastAsia" w:cs="Times New Roman" w:asciiTheme="minorEastAsia" w:hAnsiTheme="minorEastAsia" w:eastAsiaTheme="minorEastAsia"/>
          <w:szCs w:val="24"/>
        </w:rPr>
        <w:t>投标方应充分理解本技术规范书并按本技术规范书的具体条款、格式要求填写应标的设备部分技术文件，如发现应标的技术文件条款、格式不符合本技术规范书的要求，则认为应标不严肃，在评标时将有不同程度的扣分。</w:t>
      </w:r>
    </w:p>
    <w:p w14:paraId="799AC014">
      <w:pPr>
        <w:pStyle w:val="3"/>
        <w:numPr>
          <w:ilvl w:val="0"/>
          <w:numId w:val="7"/>
        </w:numPr>
        <w:ind w:left="0" w:firstLine="0"/>
        <w:rPr>
          <w:rFonts w:ascii="黑体" w:hAnsi="黑体" w:eastAsia="黑体"/>
          <w:b/>
          <w:sz w:val="21"/>
          <w:szCs w:val="21"/>
        </w:rPr>
      </w:pPr>
      <w:bookmarkStart w:id="5" w:name="_Toc226123929"/>
      <w:bookmarkStart w:id="6" w:name="_Toc232443336"/>
      <w:r>
        <w:rPr>
          <w:rFonts w:hint="eastAsia" w:ascii="黑体" w:hAnsi="黑体" w:eastAsia="黑体"/>
          <w:b/>
          <w:sz w:val="21"/>
          <w:szCs w:val="21"/>
        </w:rPr>
        <w:t>工程概况</w:t>
      </w:r>
      <w:bookmarkEnd w:id="5"/>
      <w:bookmarkEnd w:id="6"/>
    </w:p>
    <w:p w14:paraId="40C7AC49">
      <w:pPr>
        <w:pStyle w:val="4"/>
        <w:keepNext w:val="0"/>
        <w:tabs>
          <w:tab w:val="left" w:pos="576"/>
        </w:tabs>
        <w:topLinePunct w:val="0"/>
        <w:adjustRightInd w:val="0"/>
        <w:snapToGrid w:val="0"/>
        <w:spacing w:line="360" w:lineRule="auto"/>
        <w:ind w:left="0"/>
        <w:rPr>
          <w:rFonts w:ascii="黑体" w:hAnsi="黑体"/>
        </w:rPr>
      </w:pPr>
      <w:bookmarkStart w:id="7" w:name="_Toc232443337"/>
      <w:bookmarkStart w:id="8" w:name="_Toc226123930"/>
      <w:r>
        <w:rPr>
          <w:rFonts w:hint="eastAsia" w:ascii="黑体" w:hAnsi="黑体"/>
        </w:rPr>
        <w:t>2.1</w:t>
      </w:r>
      <w:r>
        <w:rPr>
          <w:rFonts w:ascii="黑体" w:hAnsi="黑体"/>
        </w:rPr>
        <w:t xml:space="preserve"> </w:t>
      </w:r>
      <w:r>
        <w:rPr>
          <w:rFonts w:hint="eastAsia" w:ascii="黑体" w:hAnsi="黑体"/>
        </w:rPr>
        <w:t>工程概况及建设规模</w:t>
      </w:r>
      <w:bookmarkEnd w:id="7"/>
      <w:bookmarkEnd w:id="8"/>
    </w:p>
    <w:p w14:paraId="47295173">
      <w:pPr>
        <w:snapToGrid w:val="0"/>
        <w:spacing w:line="360" w:lineRule="auto"/>
        <w:ind w:firstLine="420" w:firstLineChars="200"/>
      </w:pPr>
      <w:r>
        <w:t>新建福山~徐闻500kV</w:t>
      </w:r>
      <w:r>
        <w:rPr>
          <w:rFonts w:hint="eastAsia"/>
        </w:rPr>
        <w:t>海缆</w:t>
      </w:r>
      <w:r>
        <w:t>线路</w:t>
      </w:r>
      <w:r>
        <w:rPr>
          <w:rFonts w:hint="eastAsia"/>
        </w:rPr>
        <w:t>二回，西侧海缆为R8，东侧海缆为R9。</w:t>
      </w:r>
    </w:p>
    <w:p w14:paraId="172675F5">
      <w:pPr>
        <w:snapToGrid w:val="0"/>
        <w:spacing w:line="360" w:lineRule="auto"/>
        <w:ind w:firstLine="420" w:firstLineChars="200"/>
      </w:pPr>
      <w:r>
        <w:rPr>
          <w:rFonts w:hint="eastAsia"/>
        </w:rPr>
        <w:t>本技术规范书相关约定适用于东侧海缆R9</w:t>
      </w:r>
      <w:r>
        <w:t>。</w:t>
      </w:r>
    </w:p>
    <w:p w14:paraId="3987EEED">
      <w:pPr>
        <w:snapToGrid w:val="0"/>
        <w:spacing w:line="360" w:lineRule="auto"/>
        <w:ind w:firstLine="420" w:firstLineChars="200"/>
      </w:pPr>
      <w:r>
        <w:t>具体方案示意图如下：</w:t>
      </w:r>
    </w:p>
    <w:p w14:paraId="2EE5D968">
      <w:pPr>
        <w:pStyle w:val="382"/>
        <w:spacing w:after="156" w:line="360" w:lineRule="auto"/>
        <w:rPr>
          <w:rFonts w:ascii="宋体" w:hAnsi="宋体" w:eastAsia="宋体" w:cstheme="majorBidi"/>
        </w:rPr>
      </w:pPr>
      <w:r>
        <w:drawing>
          <wp:inline distT="0" distB="0" distL="114300" distR="114300">
            <wp:extent cx="4003040" cy="3027680"/>
            <wp:effectExtent l="0" t="0" r="5080" b="5080"/>
            <wp:docPr id="4" name="图片 4" descr="c68e877623b109fab8bacbd645043376_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68e877623b109fab8bacbd645043376_origin"/>
                    <pic:cNvPicPr>
                      <a:picLocks noChangeAspect="1"/>
                    </pic:cNvPicPr>
                  </pic:nvPicPr>
                  <pic:blipFill>
                    <a:blip r:embed="rId16"/>
                    <a:stretch>
                      <a:fillRect/>
                    </a:stretch>
                  </pic:blipFill>
                  <pic:spPr>
                    <a:xfrm>
                      <a:off x="0" y="0"/>
                      <a:ext cx="4003040" cy="3027680"/>
                    </a:xfrm>
                    <a:prstGeom prst="rect">
                      <a:avLst/>
                    </a:prstGeom>
                  </pic:spPr>
                </pic:pic>
              </a:graphicData>
            </a:graphic>
          </wp:inline>
        </w:drawing>
      </w:r>
    </w:p>
    <w:p w14:paraId="42D2466B">
      <w:pPr>
        <w:pStyle w:val="382"/>
        <w:spacing w:after="156" w:line="360" w:lineRule="auto"/>
        <w:rPr>
          <w:rFonts w:ascii="宋体" w:hAnsi="宋体" w:eastAsia="宋体" w:cstheme="majorBidi"/>
          <w:color w:val="000000"/>
        </w:rPr>
      </w:pPr>
      <w:r>
        <w:rPr>
          <w:rFonts w:ascii="宋体" w:hAnsi="宋体" w:eastAsia="宋体" w:cstheme="majorBidi"/>
        </w:rPr>
        <w:t xml:space="preserve">图2.1-1 </w:t>
      </w:r>
      <w:r>
        <w:rPr>
          <w:rFonts w:ascii="宋体" w:hAnsi="宋体" w:eastAsia="宋体" w:cstheme="majorBidi"/>
          <w:color w:val="000000"/>
        </w:rPr>
        <w:t>海南～广东电力灵活互济工程系统方案示意图</w:t>
      </w:r>
    </w:p>
    <w:p w14:paraId="17E45655">
      <w:pPr>
        <w:snapToGrid w:val="0"/>
        <w:spacing w:line="360" w:lineRule="auto"/>
        <w:ind w:firstLine="420" w:firstLineChars="200"/>
      </w:pPr>
      <w:r>
        <w:t>本工程海上部分主要包含广东侧新建海缆终端站、海南侧林诗岛扩建海缆终端站、以及两者之间的2回海底电缆。</w:t>
      </w:r>
    </w:p>
    <w:p w14:paraId="2DD0BE17">
      <w:pPr>
        <w:snapToGrid w:val="0"/>
        <w:spacing w:line="360" w:lineRule="auto"/>
        <w:ind w:firstLine="420" w:firstLineChars="200"/>
      </w:pPr>
      <w:r>
        <w:t>跨海峡500kV海缆线路，新建林诗岛终端场~东莞村终端场</w:t>
      </w:r>
      <w:r>
        <w:rPr>
          <w:rFonts w:hint="eastAsia"/>
        </w:rPr>
        <w:t>两</w:t>
      </w:r>
      <w:r>
        <w:t>回海缆，路由长度约36.8km。海缆单回设计输送容量600MW。海南-广东电力灵活互济工程项目海缆工程位于广东省湛江市徐闻县与海南省澄迈县中间海域，位于琼州海峡范围内，推荐海缆路由大致自海南省澄迈县桥头镇北部林诗岛终端站起，海缆入海后平行于现状海南联网一回二回海缆线路东侧敷设，大致自南向北，穿越海南省澄迈县桥头镇附近海域与琼州海峡中央深槽，至广东海域后在现状徐闻养殖用海地块附近向东北走线，在徐闻县角尾湾东北角登陆，最终接入湛江市徐闻县迈陈镇南部新建东莞村海缆终端站。拟建</w:t>
      </w:r>
      <w:r>
        <w:rPr>
          <w:rFonts w:hint="eastAsia"/>
        </w:rPr>
        <w:t>两回</w:t>
      </w:r>
      <w:r>
        <w:t>海缆线路全长均约36.8km，其中海上部分长约36.29km（海南侧定向钻段0.6km，广东侧定向钻段0.2km，海中段35.49km），陆上敷设段长约0.51</w:t>
      </w:r>
      <w:r>
        <w:rPr>
          <w:rFonts w:hint="eastAsia"/>
        </w:rPr>
        <w:t>（广东侧陆上段</w:t>
      </w:r>
      <w:r>
        <w:t>0.19</w:t>
      </w:r>
      <w:r>
        <w:rPr>
          <w:rFonts w:hint="eastAsia"/>
        </w:rPr>
        <w:t>km，海南侧陆上段</w:t>
      </w:r>
      <w:r>
        <w:t>0.32km</w:t>
      </w:r>
      <w:r>
        <w:rPr>
          <w:rFonts w:hint="eastAsia"/>
        </w:rPr>
        <w:t>）</w:t>
      </w:r>
      <w:r>
        <w:t>。</w:t>
      </w:r>
    </w:p>
    <w:p w14:paraId="3C194F93">
      <w:pPr>
        <w:pStyle w:val="2"/>
        <w:jc w:val="center"/>
      </w:pPr>
      <w:r>
        <w:drawing>
          <wp:inline distT="0" distB="0" distL="0" distR="0">
            <wp:extent cx="5274310" cy="1393825"/>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74310" cy="1393825"/>
                    </a:xfrm>
                    <a:prstGeom prst="rect">
                      <a:avLst/>
                    </a:prstGeom>
                    <a:noFill/>
                    <a:ln>
                      <a:noFill/>
                    </a:ln>
                  </pic:spPr>
                </pic:pic>
              </a:graphicData>
            </a:graphic>
          </wp:inline>
        </w:drawing>
      </w:r>
    </w:p>
    <w:p w14:paraId="320E7E5D">
      <w:pPr>
        <w:pStyle w:val="2"/>
        <w:jc w:val="center"/>
      </w:pPr>
      <w:r>
        <w:rPr>
          <w:rFonts w:ascii="宋体" w:hAnsi="宋体" w:cstheme="majorBidi"/>
        </w:rPr>
        <w:t>图2.1-</w:t>
      </w:r>
      <w:r>
        <w:rPr>
          <w:rFonts w:hint="eastAsia" w:ascii="宋体" w:hAnsi="宋体" w:cstheme="majorBidi"/>
        </w:rPr>
        <w:t>2</w:t>
      </w:r>
      <w:r>
        <w:rPr>
          <w:rFonts w:ascii="宋体" w:hAnsi="宋体" w:cstheme="majorBidi"/>
        </w:rPr>
        <w:t xml:space="preserve"> </w:t>
      </w:r>
      <w:r>
        <w:rPr>
          <w:rFonts w:ascii="宋体" w:hAnsi="宋体" w:cstheme="majorBidi"/>
          <w:color w:val="000000"/>
        </w:rPr>
        <w:t>海南～广东电力灵活互济工程</w:t>
      </w:r>
      <w:r>
        <w:rPr>
          <w:rFonts w:hint="eastAsia" w:ascii="宋体" w:hAnsi="宋体" w:cstheme="majorBidi"/>
          <w:color w:val="000000"/>
        </w:rPr>
        <w:t>海缆</w:t>
      </w:r>
      <w:r>
        <w:rPr>
          <w:rFonts w:ascii="宋体" w:hAnsi="宋体" w:cstheme="majorBidi"/>
          <w:color w:val="000000"/>
        </w:rPr>
        <w:t>系统</w:t>
      </w:r>
      <w:r>
        <w:rPr>
          <w:rFonts w:hint="eastAsia" w:ascii="宋体" w:hAnsi="宋体" w:cstheme="majorBidi"/>
          <w:color w:val="000000"/>
        </w:rPr>
        <w:t>电流分布图</w:t>
      </w:r>
    </w:p>
    <w:p w14:paraId="711285F5">
      <w:pPr>
        <w:snapToGrid w:val="0"/>
        <w:spacing w:line="360" w:lineRule="auto"/>
        <w:ind w:firstLine="420" w:firstLineChars="200"/>
      </w:pPr>
      <w:r>
        <w:t>交流海底电缆因为单位长度分布电容较大，海缆两端的电容电流要大于线路中点区域的电容电流，因此需对电缆全线电流分布进行计算和校验。通过对本工程系统接线全线进行系统建模仿真，考虑线路两端均接入大电网，经过无功补偿后，在N-1系统工况下的沿线最大电流分布计算值如</w:t>
      </w:r>
      <w:r>
        <w:rPr>
          <w:rFonts w:hint="eastAsia"/>
        </w:rPr>
        <w:t>上</w:t>
      </w:r>
      <w:r>
        <w:t>图所示。从计算结果中可以看出，海缆系统电流分布呈现两头高、中间低的趋势，其中在林诗岛侧电流为727A、东莞村一侧为730A、海中段最低为652A，</w:t>
      </w:r>
      <w:r>
        <w:rPr>
          <w:rFonts w:hint="eastAsia"/>
        </w:rPr>
        <w:t>尽管在电流分布示意图中，在输送容量为6</w:t>
      </w:r>
      <w:r>
        <w:t>00MW</w:t>
      </w:r>
      <w:r>
        <w:rPr>
          <w:rFonts w:hint="eastAsia"/>
        </w:rPr>
        <w:t>的条件下，海中段最低仅要求载流量为6</w:t>
      </w:r>
      <w:r>
        <w:t>52A</w:t>
      </w:r>
      <w:r>
        <w:rPr>
          <w:rFonts w:hint="eastAsia"/>
        </w:rPr>
        <w:t>，但本工程海中段海缆载流量仍按全线7</w:t>
      </w:r>
      <w:r>
        <w:t>30A</w:t>
      </w:r>
      <w:r>
        <w:rPr>
          <w:rFonts w:hint="eastAsia"/>
        </w:rPr>
        <w:t>要求校核</w:t>
      </w:r>
      <w:r>
        <w:t>。</w:t>
      </w:r>
    </w:p>
    <w:p w14:paraId="6EA9EF7A">
      <w:pPr>
        <w:pStyle w:val="2"/>
        <w:jc w:val="center"/>
      </w:pPr>
    </w:p>
    <w:p w14:paraId="085515AF">
      <w:pPr>
        <w:pStyle w:val="4"/>
        <w:keepNext w:val="0"/>
        <w:tabs>
          <w:tab w:val="left" w:pos="576"/>
        </w:tabs>
        <w:topLinePunct w:val="0"/>
        <w:adjustRightInd w:val="0"/>
        <w:snapToGrid w:val="0"/>
        <w:spacing w:line="360" w:lineRule="auto"/>
        <w:ind w:left="0"/>
        <w:rPr>
          <w:rFonts w:ascii="黑体" w:hAnsi="黑体"/>
        </w:rPr>
      </w:pPr>
      <w:bookmarkStart w:id="9" w:name="_Toc232443338"/>
      <w:bookmarkStart w:id="10" w:name="_Toc226123931"/>
      <w:r>
        <w:rPr>
          <w:rFonts w:hint="eastAsia" w:ascii="黑体" w:hAnsi="黑体"/>
        </w:rPr>
        <w:t>2.2</w:t>
      </w:r>
      <w:r>
        <w:rPr>
          <w:rFonts w:ascii="黑体" w:hAnsi="黑体"/>
        </w:rPr>
        <w:t xml:space="preserve"> </w:t>
      </w:r>
      <w:r>
        <w:rPr>
          <w:rFonts w:hint="eastAsia" w:ascii="黑体" w:hAnsi="黑体"/>
        </w:rPr>
        <w:t>海缆结构与参数</w:t>
      </w:r>
      <w:bookmarkEnd w:id="9"/>
      <w:bookmarkEnd w:id="10"/>
    </w:p>
    <w:p w14:paraId="432D7F84">
      <w:pPr>
        <w:snapToGrid w:val="0"/>
        <w:spacing w:line="360" w:lineRule="auto"/>
        <w:ind w:firstLine="420" w:firstLineChars="200"/>
        <w:rPr>
          <w:rFonts w:ascii="宋体" w:hAnsi="宋体" w:cstheme="majorBidi"/>
        </w:rPr>
      </w:pPr>
      <w:r>
        <w:t>本工程500kV交流海底电缆推荐型号按照海中段、与两侧近岸段进行区分。海中段推荐为500kV铜芯交联聚乙烯绝缘分相铅套粗圆钢丝铠装聚丙烯纤维外被层光电复合3芯海底电缆、导体截面为3×1000mm2、内置光缆为3×96芯，型号为HYJQF41-F 290/500 3×1000+3×96B1；两侧近岸段推荐采用500kV铜芯交联聚乙烯绝缘分相铅套铜丝铠装聚丙烯纤维外被层光电复合3芯海底电缆、导体截面为3×1000mm2、内置光缆为3×96芯，型号为HYJQF71-F 290/500 3×1000+3×96B1。</w:t>
      </w:r>
    </w:p>
    <w:p w14:paraId="4381B37C">
      <w:pPr>
        <w:tabs>
          <w:tab w:val="center" w:pos="4515"/>
          <w:tab w:val="right" w:pos="9072"/>
        </w:tabs>
        <w:adjustRightInd w:val="0"/>
        <w:snapToGrid w:val="0"/>
        <w:spacing w:line="360" w:lineRule="auto"/>
        <w:jc w:val="center"/>
        <w:rPr>
          <w:rFonts w:ascii="宋体" w:hAnsi="宋体" w:cstheme="majorBidi"/>
          <w:snapToGrid w:val="0"/>
          <w:kern w:val="0"/>
          <w:sz w:val="24"/>
        </w:rPr>
      </w:pP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"C:\\Users\\g3491.GEDI\\WXWork\\1688854406624167\\Cache\\Image\\2025-03\\电缆.jpg"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"C:\\..\\..\\..\\..\\..\\..\\..\\WXWork\\1688854406624167\\Cache\\Image\\2025-03\\电缆.jpg"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"C:\\..\\..\\..\\..\\..\\WXWork\\1688854406624167\\Cache\\Image\\2025-03\\电缆.jpg"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w:instrText>
      </w:r>
      <w:r>
        <w:rPr>
          <w:rFonts w:hint="eastAsia" w:ascii="宋体" w:hAnsi="宋体" w:cstheme="majorBidi"/>
        </w:rPr>
        <w:instrText xml:space="preserve">INCLUDEPICTURE  "F:\\..\\..\\..\\..\\..\\WXWork\\1688854406624167\\Cache\\Image\\2025-03\\电缆.jpg" \* MERGEFORMATINET</w:instrText>
      </w:r>
      <w:r>
        <w:rPr>
          <w:rFonts w:ascii="宋体" w:hAnsi="宋体" w:cstheme="majorBidi"/>
        </w:rPr>
        <w:instrText xml:space="preserve">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hint="eastAsia" w:ascii="宋体" w:hAnsi="宋体" w:cstheme="majorBidi"/>
        </w:rPr>
        <w:fldChar w:fldCharType="begin"/>
      </w:r>
      <w:r>
        <w:rPr>
          <w:rFonts w:hint="eastAsia" w:ascii="宋体" w:hAnsi="宋体" w:cstheme="majorBidi"/>
        </w:rPr>
        <w:instrText xml:space="preserve"> INCLUDEPICTURE  "F:\\..\\..\\..\\..\\..\\WXWork\\1688854406624167\\Cache\\Image\\2025-03\\电缆.jpg" \* MERGEFORMATINET </w:instrText>
      </w:r>
      <w:r>
        <w:rPr>
          <w:rFonts w:hint="eastAsia"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"F:\\WXWork\\1688854406624167\\Cache\\Image\\2025-03\\电缆.jpg"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"C:\\Users\\g8703\\Desktop\\海南联网三期\\Image\\2025-03\\电缆.jpg"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"E:\\【项目相关】\\【海南工程】\\海南联网第三期\\Image\\2025-03\\电缆.jpg"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fldChar w:fldCharType="begin"/>
      </w:r>
      <w:r>
        <w:rPr>
          <w:rFonts w:ascii="宋体" w:hAnsi="宋体" w:cstheme="majorBidi"/>
        </w:rPr>
        <w:instrText xml:space="preserve"> INCLUDEPICTURE  "D:\\WXwork\\WXWork\\1688854406624167\\Cache\\Image\\2025-03\\电缆.jpg" \* MERGEFORMATINET </w:instrText>
      </w:r>
      <w:r>
        <w:rPr>
          <w:rFonts w:ascii="宋体" w:hAnsi="宋体" w:cstheme="majorBidi"/>
        </w:rPr>
        <w:fldChar w:fldCharType="separate"/>
      </w:r>
      <w:r>
        <w:rPr>
          <w:rFonts w:ascii="宋体" w:hAnsi="宋体" w:cstheme="majorBidi"/>
        </w:rPr>
        <w:pict>
          <v:shape id="_x0000_i1025" o:spt="75" type="#_x0000_t75" style="height:254.7pt;width:406.2pt;" filled="f" o:preferrelative="t" stroked="f" coordsize="21600,21600">
            <v:path/>
            <v:fill on="f" focussize="0,0"/>
            <v:stroke on="f" joinstyle="miter"/>
            <v:imagedata r:id="rId18" r:href="rId19" o:title=""/>
            <o:lock v:ext="edit" aspectratio="t"/>
            <w10:wrap type="none"/>
            <w10:anchorlock/>
          </v:shape>
        </w:pict>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hint="eastAsia"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r>
        <w:rPr>
          <w:rFonts w:ascii="宋体" w:hAnsi="宋体" w:cstheme="majorBidi"/>
        </w:rPr>
        <w:fldChar w:fldCharType="end"/>
      </w:r>
    </w:p>
    <w:p w14:paraId="61CF6F4A">
      <w:pPr>
        <w:pStyle w:val="382"/>
        <w:spacing w:after="156" w:line="360" w:lineRule="auto"/>
        <w:rPr>
          <w:rFonts w:ascii="宋体" w:hAnsi="宋体" w:eastAsia="宋体" w:cstheme="majorBidi"/>
        </w:rPr>
      </w:pPr>
      <w:r>
        <w:rPr>
          <w:rFonts w:ascii="宋体" w:hAnsi="宋体" w:eastAsia="宋体" w:cstheme="majorBidi"/>
        </w:rPr>
        <w:t>图2.2-1 推荐海底电缆结构示意图（钢丝铠装）</w:t>
      </w:r>
    </w:p>
    <w:p w14:paraId="6DED6284">
      <w:pPr>
        <w:snapToGrid w:val="0"/>
        <w:spacing w:line="360" w:lineRule="auto"/>
        <w:ind w:firstLine="420" w:firstLineChars="200"/>
      </w:pPr>
      <w:r>
        <w:t>列举推荐型号交流海底电缆结构参数如下表所示。</w:t>
      </w:r>
    </w:p>
    <w:p w14:paraId="46E94CBA">
      <w:pPr>
        <w:pStyle w:val="382"/>
        <w:spacing w:after="156" w:line="360" w:lineRule="auto"/>
        <w:rPr>
          <w:rFonts w:ascii="宋体" w:hAnsi="宋体" w:eastAsia="宋体" w:cstheme="majorBidi"/>
        </w:rPr>
      </w:pPr>
      <w:r>
        <w:rPr>
          <w:rFonts w:ascii="宋体" w:hAnsi="宋体" w:eastAsia="宋体" w:cstheme="majorBidi"/>
        </w:rPr>
        <w:t>表2.2-1 典型交联聚乙烯交流海缆参数</w:t>
      </w:r>
    </w:p>
    <w:tbl>
      <w:tblPr>
        <w:tblStyle w:val="401"/>
        <w:tblW w:w="4963" w:type="pct"/>
        <w:jc w:val="center"/>
        <w:tblLayout w:type="fixed"/>
        <w:tblCellMar>
          <w:top w:w="0" w:type="dxa"/>
          <w:left w:w="0" w:type="dxa"/>
          <w:bottom w:w="0" w:type="dxa"/>
          <w:right w:w="0" w:type="dxa"/>
        </w:tblCellMar>
      </w:tblPr>
      <w:tblGrid>
        <w:gridCol w:w="1073"/>
        <w:gridCol w:w="2962"/>
        <w:gridCol w:w="2404"/>
        <w:gridCol w:w="2586"/>
      </w:tblGrid>
      <w:tr w14:paraId="6B134C29">
        <w:tblPrEx>
          <w:tblCellMar>
            <w:top w:w="0" w:type="dxa"/>
            <w:left w:w="0" w:type="dxa"/>
            <w:bottom w:w="0" w:type="dxa"/>
            <w:right w:w="0" w:type="dxa"/>
          </w:tblCellMar>
        </w:tblPrEx>
        <w:trPr>
          <w:trHeight w:val="20" w:hRule="atLeast"/>
          <w:jc w:val="center"/>
        </w:trPr>
        <w:tc>
          <w:tcPr>
            <w:tcW w:w="978" w:type="dxa"/>
            <w:vMerge w:val="restart"/>
            <w:tcBorders>
              <w:top w:val="single" w:color="000000" w:sz="8" w:space="0"/>
              <w:left w:val="single" w:color="000000" w:sz="8" w:space="0"/>
              <w:right w:val="single" w:color="000000" w:sz="8" w:space="0"/>
            </w:tcBorders>
            <w:vAlign w:val="center"/>
          </w:tcPr>
          <w:p w14:paraId="7F314F43">
            <w:pPr>
              <w:snapToGrid w:val="0"/>
              <w:spacing w:line="360" w:lineRule="auto"/>
              <w:jc w:val="center"/>
              <w:rPr>
                <w:rFonts w:asciiTheme="minorHAnsi" w:hAnsiTheme="minorHAnsi" w:eastAsiaTheme="minorEastAsia" w:cstheme="minorBidi"/>
                <w:lang w:eastAsia="zh-CN"/>
              </w:rPr>
            </w:pPr>
          </w:p>
        </w:tc>
        <w:tc>
          <w:tcPr>
            <w:tcW w:w="2698" w:type="dxa"/>
            <w:vMerge w:val="restart"/>
            <w:tcBorders>
              <w:top w:val="single" w:color="000000" w:sz="8" w:space="0"/>
              <w:left w:val="single" w:color="000000" w:sz="8" w:space="0"/>
              <w:right w:val="single" w:color="000000" w:sz="8" w:space="0"/>
            </w:tcBorders>
            <w:vAlign w:val="center"/>
          </w:tcPr>
          <w:p w14:paraId="21BAB96C">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结构</w:t>
            </w:r>
          </w:p>
        </w:tc>
        <w:tc>
          <w:tcPr>
            <w:tcW w:w="4546" w:type="dxa"/>
            <w:gridSpan w:val="2"/>
            <w:tcBorders>
              <w:top w:val="single" w:color="000000" w:sz="8" w:space="0"/>
              <w:left w:val="single" w:color="000000" w:sz="8" w:space="0"/>
              <w:bottom w:val="single" w:color="000000" w:sz="8" w:space="0"/>
              <w:right w:val="single" w:color="000000" w:sz="10" w:space="0"/>
            </w:tcBorders>
            <w:vAlign w:val="center"/>
          </w:tcPr>
          <w:p w14:paraId="13683649">
            <w:pPr>
              <w:pStyle w:val="400"/>
              <w:spacing w:line="360" w:lineRule="auto"/>
              <w:ind w:firstLine="420"/>
              <w:rPr>
                <w:rFonts w:ascii="Times New Roman" w:hAnsi="Times New Roman" w:eastAsia="宋体" w:cs="Times New Roman"/>
                <w:sz w:val="21"/>
                <w:lang w:eastAsia="en-US"/>
              </w:rPr>
            </w:pPr>
            <w:r>
              <w:rPr>
                <w:rFonts w:ascii="Times New Roman" w:hAnsi="Times New Roman" w:eastAsia="宋体" w:cs="Times New Roman"/>
                <w:sz w:val="21"/>
                <w:lang w:eastAsia="en-US"/>
              </w:rPr>
              <w:t>290/500千伏</w:t>
            </w:r>
          </w:p>
          <w:p w14:paraId="1FF73E07">
            <w:pPr>
              <w:pStyle w:val="400"/>
              <w:spacing w:line="360" w:lineRule="auto"/>
              <w:ind w:firstLine="420"/>
              <w:rPr>
                <w:rFonts w:ascii="Times New Roman" w:hAnsi="Times New Roman" w:eastAsia="宋体" w:cs="Times New Roman"/>
                <w:sz w:val="21"/>
                <w:lang w:eastAsia="en-US"/>
              </w:rPr>
            </w:pPr>
            <w:r>
              <w:rPr>
                <w:rFonts w:ascii="Times New Roman" w:hAnsi="Times New Roman" w:eastAsia="宋体" w:cs="Times New Roman"/>
                <w:sz w:val="21"/>
                <w:lang w:eastAsia="en-US"/>
              </w:rPr>
              <w:t>3×1000平方毫米</w:t>
            </w:r>
          </w:p>
        </w:tc>
      </w:tr>
      <w:tr w14:paraId="32C6E20A">
        <w:tblPrEx>
          <w:tblCellMar>
            <w:top w:w="0" w:type="dxa"/>
            <w:left w:w="0" w:type="dxa"/>
            <w:bottom w:w="0" w:type="dxa"/>
            <w:right w:w="0" w:type="dxa"/>
          </w:tblCellMar>
        </w:tblPrEx>
        <w:trPr>
          <w:trHeight w:val="20" w:hRule="atLeast"/>
          <w:jc w:val="center"/>
        </w:trPr>
        <w:tc>
          <w:tcPr>
            <w:tcW w:w="978" w:type="dxa"/>
            <w:vMerge w:val="continue"/>
            <w:tcBorders>
              <w:left w:val="single" w:color="000000" w:sz="8" w:space="0"/>
              <w:bottom w:val="single" w:color="000000" w:sz="8" w:space="0"/>
              <w:right w:val="single" w:color="000000" w:sz="8" w:space="0"/>
            </w:tcBorders>
            <w:vAlign w:val="center"/>
          </w:tcPr>
          <w:p w14:paraId="5E5DB4E2">
            <w:pPr>
              <w:snapToGrid w:val="0"/>
              <w:spacing w:line="360" w:lineRule="auto"/>
              <w:jc w:val="center"/>
              <w:rPr>
                <w:rFonts w:asciiTheme="minorHAnsi" w:hAnsiTheme="minorHAnsi" w:eastAsiaTheme="minorEastAsia" w:cstheme="minorBidi"/>
                <w:lang w:eastAsia="en-US"/>
              </w:rPr>
            </w:pPr>
          </w:p>
        </w:tc>
        <w:tc>
          <w:tcPr>
            <w:tcW w:w="2698" w:type="dxa"/>
            <w:vMerge w:val="continue"/>
            <w:tcBorders>
              <w:left w:val="single" w:color="000000" w:sz="8" w:space="0"/>
              <w:bottom w:val="single" w:color="000000" w:sz="8" w:space="0"/>
              <w:right w:val="single" w:color="000000" w:sz="8" w:space="0"/>
            </w:tcBorders>
            <w:vAlign w:val="center"/>
          </w:tcPr>
          <w:p w14:paraId="4BF122D5">
            <w:pPr>
              <w:snapToGrid w:val="0"/>
              <w:spacing w:line="360" w:lineRule="auto"/>
              <w:jc w:val="center"/>
              <w:rPr>
                <w:rFonts w:asciiTheme="minorHAnsi" w:hAnsiTheme="minorHAnsi" w:eastAsiaTheme="minorEastAsia" w:cstheme="minorBidi"/>
                <w:lang w:eastAsia="en-US"/>
              </w:rPr>
            </w:pPr>
          </w:p>
        </w:tc>
        <w:tc>
          <w:tcPr>
            <w:tcW w:w="2190" w:type="dxa"/>
            <w:tcBorders>
              <w:top w:val="single" w:color="000000" w:sz="8" w:space="0"/>
              <w:left w:val="single" w:color="000000" w:sz="8" w:space="0"/>
              <w:bottom w:val="single" w:color="000000" w:sz="8" w:space="0"/>
              <w:right w:val="single" w:color="000000" w:sz="8" w:space="0"/>
            </w:tcBorders>
            <w:vAlign w:val="center"/>
          </w:tcPr>
          <w:p w14:paraId="7CD23252">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标称厚度（毫米）</w:t>
            </w:r>
          </w:p>
        </w:tc>
        <w:tc>
          <w:tcPr>
            <w:tcW w:w="2356" w:type="dxa"/>
            <w:tcBorders>
              <w:top w:val="single" w:color="000000" w:sz="8" w:space="0"/>
              <w:left w:val="single" w:color="000000" w:sz="8" w:space="0"/>
              <w:bottom w:val="single" w:color="000000" w:sz="8" w:space="0"/>
              <w:right w:val="single" w:color="000000" w:sz="10" w:space="0"/>
            </w:tcBorders>
            <w:vAlign w:val="center"/>
          </w:tcPr>
          <w:p w14:paraId="26E1780A">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近似外径（毫米）</w:t>
            </w:r>
          </w:p>
        </w:tc>
      </w:tr>
      <w:tr w14:paraId="0FD2874D">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12DA5B46">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w:t>
            </w:r>
          </w:p>
        </w:tc>
        <w:tc>
          <w:tcPr>
            <w:tcW w:w="2698" w:type="dxa"/>
            <w:tcBorders>
              <w:top w:val="single" w:color="000000" w:sz="8" w:space="0"/>
              <w:left w:val="single" w:color="000000" w:sz="8" w:space="0"/>
              <w:bottom w:val="single" w:color="000000" w:sz="8" w:space="0"/>
              <w:right w:val="single" w:color="000000" w:sz="8" w:space="0"/>
            </w:tcBorders>
            <w:vAlign w:val="center"/>
          </w:tcPr>
          <w:p w14:paraId="5DEC4466">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阻水铜导体</w:t>
            </w:r>
          </w:p>
        </w:tc>
        <w:tc>
          <w:tcPr>
            <w:tcW w:w="2190" w:type="dxa"/>
            <w:tcBorders>
              <w:top w:val="single" w:color="000000" w:sz="8" w:space="0"/>
              <w:left w:val="single" w:color="000000" w:sz="8" w:space="0"/>
              <w:bottom w:val="single" w:color="000000" w:sz="8" w:space="0"/>
              <w:right w:val="single" w:color="000000" w:sz="8" w:space="0"/>
            </w:tcBorders>
            <w:vAlign w:val="center"/>
          </w:tcPr>
          <w:p w14:paraId="4C08F131">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w:t>
            </w:r>
          </w:p>
        </w:tc>
        <w:tc>
          <w:tcPr>
            <w:tcW w:w="2356" w:type="dxa"/>
            <w:tcBorders>
              <w:top w:val="single" w:color="000000" w:sz="8" w:space="0"/>
              <w:left w:val="single" w:color="000000" w:sz="8" w:space="0"/>
              <w:bottom w:val="single" w:color="000000" w:sz="8" w:space="0"/>
              <w:right w:val="single" w:color="000000" w:sz="10" w:space="0"/>
            </w:tcBorders>
            <w:vAlign w:val="center"/>
          </w:tcPr>
          <w:p w14:paraId="0E19D379">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38.1</w:t>
            </w:r>
          </w:p>
        </w:tc>
      </w:tr>
      <w:tr w14:paraId="5AF89133">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1A9D4D3F">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2</w:t>
            </w:r>
          </w:p>
        </w:tc>
        <w:tc>
          <w:tcPr>
            <w:tcW w:w="2698" w:type="dxa"/>
            <w:tcBorders>
              <w:top w:val="single" w:color="000000" w:sz="8" w:space="0"/>
              <w:left w:val="single" w:color="000000" w:sz="8" w:space="0"/>
              <w:bottom w:val="single" w:color="000000" w:sz="8" w:space="0"/>
              <w:right w:val="single" w:color="000000" w:sz="8" w:space="0"/>
            </w:tcBorders>
            <w:vAlign w:val="center"/>
          </w:tcPr>
          <w:p w14:paraId="1FA92D2D">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半导电带包带</w:t>
            </w:r>
          </w:p>
        </w:tc>
        <w:tc>
          <w:tcPr>
            <w:tcW w:w="2190" w:type="dxa"/>
            <w:tcBorders>
              <w:top w:val="single" w:color="000000" w:sz="8" w:space="0"/>
              <w:left w:val="single" w:color="000000" w:sz="8" w:space="0"/>
              <w:bottom w:val="single" w:color="000000" w:sz="8" w:space="0"/>
              <w:right w:val="single" w:color="000000" w:sz="8" w:space="0"/>
            </w:tcBorders>
            <w:vAlign w:val="center"/>
          </w:tcPr>
          <w:p w14:paraId="3836CF2C">
            <w:pPr>
              <w:snapToGrid w:val="0"/>
              <w:spacing w:line="360" w:lineRule="auto"/>
              <w:jc w:val="center"/>
              <w:rPr>
                <w:rFonts w:asciiTheme="minorHAnsi" w:hAnsiTheme="minorHAnsi" w:eastAsiaTheme="minorEastAsia" w:cstheme="minorBidi"/>
                <w:lang w:eastAsia="en-US"/>
              </w:rPr>
            </w:pPr>
            <w:r>
              <w:rPr>
                <w:rFonts w:hint="eastAsia" w:asciiTheme="minorHAnsi" w:hAnsiTheme="minorHAnsi" w:eastAsiaTheme="minorEastAsia" w:cstheme="minorBidi"/>
                <w:lang w:eastAsia="en-US"/>
              </w:rPr>
              <w:t>0.5</w:t>
            </w:r>
          </w:p>
        </w:tc>
        <w:tc>
          <w:tcPr>
            <w:tcW w:w="2356" w:type="dxa"/>
            <w:tcBorders>
              <w:top w:val="single" w:color="000000" w:sz="8" w:space="0"/>
              <w:left w:val="single" w:color="000000" w:sz="8" w:space="0"/>
              <w:bottom w:val="single" w:color="000000" w:sz="8" w:space="0"/>
              <w:right w:val="single" w:color="000000" w:sz="10" w:space="0"/>
            </w:tcBorders>
            <w:vAlign w:val="center"/>
          </w:tcPr>
          <w:p w14:paraId="29B68AD3">
            <w:pPr>
              <w:snapToGrid w:val="0"/>
              <w:spacing w:line="360" w:lineRule="auto"/>
              <w:jc w:val="center"/>
              <w:rPr>
                <w:rFonts w:asciiTheme="minorHAnsi" w:hAnsiTheme="minorHAnsi" w:eastAsiaTheme="minorEastAsia" w:cstheme="minorBidi"/>
                <w:lang w:eastAsia="en-US"/>
              </w:rPr>
            </w:pPr>
            <w:r>
              <w:rPr>
                <w:rFonts w:hint="eastAsia" w:asciiTheme="minorHAnsi" w:hAnsiTheme="minorHAnsi" w:eastAsiaTheme="minorEastAsia" w:cstheme="minorBidi"/>
                <w:lang w:eastAsia="en-US"/>
              </w:rPr>
              <w:t>39.1</w:t>
            </w:r>
          </w:p>
        </w:tc>
      </w:tr>
      <w:tr w14:paraId="15131B55">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0CE7357C">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3</w:t>
            </w:r>
          </w:p>
        </w:tc>
        <w:tc>
          <w:tcPr>
            <w:tcW w:w="2698" w:type="dxa"/>
            <w:tcBorders>
              <w:top w:val="single" w:color="000000" w:sz="8" w:space="0"/>
              <w:left w:val="single" w:color="000000" w:sz="8" w:space="0"/>
              <w:bottom w:val="single" w:color="000000" w:sz="8" w:space="0"/>
              <w:right w:val="single" w:color="000000" w:sz="8" w:space="0"/>
            </w:tcBorders>
            <w:vAlign w:val="center"/>
          </w:tcPr>
          <w:p w14:paraId="1CFB955D">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挤出半导电屏蔽</w:t>
            </w:r>
          </w:p>
        </w:tc>
        <w:tc>
          <w:tcPr>
            <w:tcW w:w="2190" w:type="dxa"/>
            <w:tcBorders>
              <w:top w:val="single" w:color="000000" w:sz="8" w:space="0"/>
              <w:left w:val="single" w:color="000000" w:sz="8" w:space="0"/>
              <w:bottom w:val="single" w:color="000000" w:sz="8" w:space="0"/>
              <w:right w:val="single" w:color="000000" w:sz="8" w:space="0"/>
            </w:tcBorders>
            <w:vAlign w:val="center"/>
          </w:tcPr>
          <w:p w14:paraId="7A9DD6EA">
            <w:pPr>
              <w:snapToGrid w:val="0"/>
              <w:spacing w:line="360" w:lineRule="auto"/>
              <w:jc w:val="center"/>
              <w:rPr>
                <w:rFonts w:asciiTheme="minorHAnsi" w:hAnsiTheme="minorHAnsi" w:eastAsiaTheme="minorEastAsia" w:cstheme="minorBidi"/>
                <w:lang w:eastAsia="en-US"/>
              </w:rPr>
            </w:pPr>
            <w:r>
              <w:rPr>
                <w:rFonts w:hint="eastAsia" w:asciiTheme="minorHAnsi" w:hAnsiTheme="minorHAnsi" w:eastAsiaTheme="minorEastAsia" w:cstheme="minorBidi"/>
                <w:lang w:eastAsia="en-US"/>
              </w:rPr>
              <w:t>2</w:t>
            </w:r>
          </w:p>
        </w:tc>
        <w:tc>
          <w:tcPr>
            <w:tcW w:w="2356" w:type="dxa"/>
            <w:tcBorders>
              <w:top w:val="single" w:color="000000" w:sz="8" w:space="0"/>
              <w:left w:val="single" w:color="000000" w:sz="8" w:space="0"/>
              <w:bottom w:val="single" w:color="000000" w:sz="8" w:space="0"/>
              <w:right w:val="single" w:color="000000" w:sz="10" w:space="0"/>
            </w:tcBorders>
            <w:vAlign w:val="center"/>
          </w:tcPr>
          <w:p w14:paraId="144ACFD0">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4</w:t>
            </w:r>
            <w:r>
              <w:rPr>
                <w:rFonts w:hint="eastAsia" w:asciiTheme="minorHAnsi" w:hAnsiTheme="minorHAnsi" w:eastAsiaTheme="minorEastAsia" w:cstheme="minorBidi"/>
                <w:lang w:eastAsia="en-US"/>
              </w:rPr>
              <w:t>3.1</w:t>
            </w:r>
          </w:p>
        </w:tc>
      </w:tr>
      <w:tr w14:paraId="3F9768A9">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190C4B45">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4</w:t>
            </w:r>
          </w:p>
        </w:tc>
        <w:tc>
          <w:tcPr>
            <w:tcW w:w="2698" w:type="dxa"/>
            <w:tcBorders>
              <w:top w:val="single" w:color="000000" w:sz="8" w:space="0"/>
              <w:left w:val="single" w:color="000000" w:sz="8" w:space="0"/>
              <w:bottom w:val="single" w:color="000000" w:sz="8" w:space="0"/>
              <w:right w:val="single" w:color="000000" w:sz="8" w:space="0"/>
            </w:tcBorders>
            <w:vAlign w:val="center"/>
          </w:tcPr>
          <w:p w14:paraId="07B0632C">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交联聚乙烯绝缘</w:t>
            </w:r>
          </w:p>
        </w:tc>
        <w:tc>
          <w:tcPr>
            <w:tcW w:w="2190" w:type="dxa"/>
            <w:tcBorders>
              <w:top w:val="single" w:color="000000" w:sz="8" w:space="0"/>
              <w:left w:val="single" w:color="000000" w:sz="8" w:space="0"/>
              <w:bottom w:val="single" w:color="000000" w:sz="8" w:space="0"/>
              <w:right w:val="single" w:color="000000" w:sz="8" w:space="0"/>
            </w:tcBorders>
            <w:vAlign w:val="center"/>
          </w:tcPr>
          <w:p w14:paraId="14D93EF1">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33.0</w:t>
            </w:r>
          </w:p>
        </w:tc>
        <w:tc>
          <w:tcPr>
            <w:tcW w:w="2356" w:type="dxa"/>
            <w:tcBorders>
              <w:top w:val="single" w:color="000000" w:sz="8" w:space="0"/>
              <w:left w:val="single" w:color="000000" w:sz="8" w:space="0"/>
              <w:bottom w:val="single" w:color="000000" w:sz="8" w:space="0"/>
              <w:right w:val="single" w:color="000000" w:sz="10" w:space="0"/>
            </w:tcBorders>
            <w:vAlign w:val="center"/>
          </w:tcPr>
          <w:p w14:paraId="6D50609D">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10</w:t>
            </w:r>
            <w:r>
              <w:rPr>
                <w:rFonts w:hint="eastAsia" w:asciiTheme="minorHAnsi" w:hAnsiTheme="minorHAnsi" w:eastAsiaTheme="minorEastAsia" w:cstheme="minorBidi"/>
                <w:lang w:eastAsia="en-US"/>
              </w:rPr>
              <w:t>9.1</w:t>
            </w:r>
          </w:p>
        </w:tc>
      </w:tr>
      <w:tr w14:paraId="01A8DA63">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2E96FE87">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5</w:t>
            </w:r>
          </w:p>
        </w:tc>
        <w:tc>
          <w:tcPr>
            <w:tcW w:w="2698" w:type="dxa"/>
            <w:tcBorders>
              <w:top w:val="single" w:color="000000" w:sz="8" w:space="0"/>
              <w:left w:val="single" w:color="000000" w:sz="8" w:space="0"/>
              <w:bottom w:val="single" w:color="000000" w:sz="8" w:space="0"/>
              <w:right w:val="single" w:color="000000" w:sz="8" w:space="0"/>
            </w:tcBorders>
            <w:vAlign w:val="center"/>
          </w:tcPr>
          <w:p w14:paraId="71AF406E">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绝缘屏蔽</w:t>
            </w:r>
          </w:p>
        </w:tc>
        <w:tc>
          <w:tcPr>
            <w:tcW w:w="2190" w:type="dxa"/>
            <w:tcBorders>
              <w:top w:val="single" w:color="000000" w:sz="8" w:space="0"/>
              <w:left w:val="single" w:color="000000" w:sz="8" w:space="0"/>
              <w:bottom w:val="single" w:color="000000" w:sz="8" w:space="0"/>
              <w:right w:val="single" w:color="000000" w:sz="8" w:space="0"/>
            </w:tcBorders>
            <w:vAlign w:val="center"/>
          </w:tcPr>
          <w:p w14:paraId="6B47AF6C">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w:t>
            </w:r>
          </w:p>
        </w:tc>
        <w:tc>
          <w:tcPr>
            <w:tcW w:w="2356" w:type="dxa"/>
            <w:tcBorders>
              <w:top w:val="single" w:color="000000" w:sz="8" w:space="0"/>
              <w:left w:val="single" w:color="000000" w:sz="8" w:space="0"/>
              <w:bottom w:val="single" w:color="000000" w:sz="8" w:space="0"/>
              <w:right w:val="single" w:color="000000" w:sz="10" w:space="0"/>
            </w:tcBorders>
            <w:vAlign w:val="center"/>
          </w:tcPr>
          <w:p w14:paraId="3821BEFE">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11</w:t>
            </w:r>
            <w:r>
              <w:rPr>
                <w:rFonts w:hint="eastAsia" w:asciiTheme="minorHAnsi" w:hAnsiTheme="minorHAnsi" w:eastAsiaTheme="minorEastAsia" w:cstheme="minorBidi"/>
                <w:lang w:eastAsia="en-US"/>
              </w:rPr>
              <w:t>1.1</w:t>
            </w:r>
          </w:p>
        </w:tc>
      </w:tr>
      <w:tr w14:paraId="6C0B0A41">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45CEBFB6">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6</w:t>
            </w:r>
          </w:p>
        </w:tc>
        <w:tc>
          <w:tcPr>
            <w:tcW w:w="2698" w:type="dxa"/>
            <w:tcBorders>
              <w:top w:val="single" w:color="000000" w:sz="8" w:space="0"/>
              <w:left w:val="single" w:color="000000" w:sz="8" w:space="0"/>
              <w:bottom w:val="single" w:color="000000" w:sz="8" w:space="0"/>
              <w:right w:val="single" w:color="000000" w:sz="8" w:space="0"/>
            </w:tcBorders>
            <w:vAlign w:val="center"/>
          </w:tcPr>
          <w:p w14:paraId="279D885B">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半导电阻水带</w:t>
            </w:r>
          </w:p>
        </w:tc>
        <w:tc>
          <w:tcPr>
            <w:tcW w:w="2190" w:type="dxa"/>
            <w:tcBorders>
              <w:top w:val="single" w:color="000000" w:sz="8" w:space="0"/>
              <w:left w:val="single" w:color="000000" w:sz="8" w:space="0"/>
              <w:bottom w:val="single" w:color="000000" w:sz="8" w:space="0"/>
              <w:right w:val="single" w:color="000000" w:sz="8" w:space="0"/>
            </w:tcBorders>
            <w:vAlign w:val="center"/>
          </w:tcPr>
          <w:p w14:paraId="6184C4D4">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2×1.0</w:t>
            </w:r>
          </w:p>
        </w:tc>
        <w:tc>
          <w:tcPr>
            <w:tcW w:w="2356" w:type="dxa"/>
            <w:tcBorders>
              <w:top w:val="single" w:color="000000" w:sz="8" w:space="0"/>
              <w:left w:val="single" w:color="000000" w:sz="8" w:space="0"/>
              <w:bottom w:val="single" w:color="000000" w:sz="8" w:space="0"/>
              <w:right w:val="single" w:color="000000" w:sz="10" w:space="0"/>
            </w:tcBorders>
            <w:vAlign w:val="center"/>
          </w:tcPr>
          <w:p w14:paraId="3D7FD494">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11</w:t>
            </w:r>
            <w:r>
              <w:rPr>
                <w:rFonts w:hint="eastAsia" w:asciiTheme="minorHAnsi" w:hAnsiTheme="minorHAnsi" w:eastAsiaTheme="minorEastAsia" w:cstheme="minorBidi"/>
                <w:lang w:eastAsia="en-US"/>
              </w:rPr>
              <w:t>5.1</w:t>
            </w:r>
          </w:p>
        </w:tc>
      </w:tr>
      <w:tr w14:paraId="158B3D14">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7E954D4E">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7</w:t>
            </w:r>
          </w:p>
        </w:tc>
        <w:tc>
          <w:tcPr>
            <w:tcW w:w="2698" w:type="dxa"/>
            <w:tcBorders>
              <w:top w:val="single" w:color="000000" w:sz="8" w:space="0"/>
              <w:left w:val="single" w:color="000000" w:sz="8" w:space="0"/>
              <w:bottom w:val="single" w:color="000000" w:sz="8" w:space="0"/>
              <w:right w:val="single" w:color="000000" w:sz="8" w:space="0"/>
            </w:tcBorders>
            <w:vAlign w:val="center"/>
          </w:tcPr>
          <w:p w14:paraId="40C3A68B">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合金铅套</w:t>
            </w:r>
          </w:p>
        </w:tc>
        <w:tc>
          <w:tcPr>
            <w:tcW w:w="2190" w:type="dxa"/>
            <w:tcBorders>
              <w:top w:val="single" w:color="000000" w:sz="8" w:space="0"/>
              <w:left w:val="single" w:color="000000" w:sz="8" w:space="0"/>
              <w:bottom w:val="single" w:color="000000" w:sz="8" w:space="0"/>
              <w:right w:val="single" w:color="000000" w:sz="8" w:space="0"/>
            </w:tcBorders>
            <w:vAlign w:val="center"/>
          </w:tcPr>
          <w:p w14:paraId="2CD8EA0E">
            <w:pPr>
              <w:snapToGrid w:val="0"/>
              <w:spacing w:line="360" w:lineRule="auto"/>
              <w:jc w:val="center"/>
              <w:rPr>
                <w:rFonts w:asciiTheme="minorHAnsi" w:hAnsiTheme="minorHAnsi" w:eastAsiaTheme="minorEastAsia" w:cstheme="minorBidi"/>
                <w:lang w:eastAsia="en-US"/>
              </w:rPr>
            </w:pPr>
            <w:r>
              <w:rPr>
                <w:rFonts w:hint="eastAsia" w:asciiTheme="minorHAnsi" w:hAnsiTheme="minorHAnsi" w:eastAsiaTheme="minorEastAsia" w:cstheme="minorBidi"/>
                <w:lang w:eastAsia="en-US"/>
              </w:rPr>
              <w:t>4.0</w:t>
            </w:r>
          </w:p>
        </w:tc>
        <w:tc>
          <w:tcPr>
            <w:tcW w:w="2356" w:type="dxa"/>
            <w:tcBorders>
              <w:top w:val="single" w:color="000000" w:sz="8" w:space="0"/>
              <w:left w:val="single" w:color="000000" w:sz="8" w:space="0"/>
              <w:bottom w:val="single" w:color="000000" w:sz="8" w:space="0"/>
              <w:right w:val="single" w:color="000000" w:sz="10" w:space="0"/>
            </w:tcBorders>
            <w:vAlign w:val="center"/>
          </w:tcPr>
          <w:p w14:paraId="1897E079">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12</w:t>
            </w:r>
            <w:r>
              <w:rPr>
                <w:rFonts w:hint="eastAsia" w:asciiTheme="minorHAnsi" w:hAnsiTheme="minorHAnsi" w:eastAsiaTheme="minorEastAsia" w:cstheme="minorBidi"/>
                <w:lang w:eastAsia="en-US"/>
              </w:rPr>
              <w:t>3.1</w:t>
            </w:r>
          </w:p>
        </w:tc>
      </w:tr>
      <w:tr w14:paraId="63B058F6">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19B2E7CF">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8</w:t>
            </w:r>
          </w:p>
        </w:tc>
        <w:tc>
          <w:tcPr>
            <w:tcW w:w="2698" w:type="dxa"/>
            <w:tcBorders>
              <w:top w:val="single" w:color="000000" w:sz="8" w:space="0"/>
              <w:left w:val="single" w:color="000000" w:sz="8" w:space="0"/>
              <w:bottom w:val="single" w:color="000000" w:sz="8" w:space="0"/>
              <w:right w:val="single" w:color="000000" w:sz="8" w:space="0"/>
            </w:tcBorders>
            <w:vAlign w:val="center"/>
          </w:tcPr>
          <w:p w14:paraId="7F73A4DF">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半导电PE护套</w:t>
            </w:r>
          </w:p>
        </w:tc>
        <w:tc>
          <w:tcPr>
            <w:tcW w:w="2190" w:type="dxa"/>
            <w:tcBorders>
              <w:top w:val="single" w:color="000000" w:sz="8" w:space="0"/>
              <w:left w:val="single" w:color="000000" w:sz="8" w:space="0"/>
              <w:bottom w:val="single" w:color="000000" w:sz="8" w:space="0"/>
              <w:right w:val="single" w:color="000000" w:sz="8" w:space="0"/>
            </w:tcBorders>
            <w:vAlign w:val="center"/>
          </w:tcPr>
          <w:p w14:paraId="1288F374">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4.0</w:t>
            </w:r>
          </w:p>
        </w:tc>
        <w:tc>
          <w:tcPr>
            <w:tcW w:w="2356" w:type="dxa"/>
            <w:tcBorders>
              <w:top w:val="single" w:color="000000" w:sz="8" w:space="0"/>
              <w:left w:val="single" w:color="000000" w:sz="8" w:space="0"/>
              <w:bottom w:val="single" w:color="000000" w:sz="8" w:space="0"/>
              <w:right w:val="single" w:color="000000" w:sz="10" w:space="0"/>
            </w:tcBorders>
            <w:vAlign w:val="center"/>
          </w:tcPr>
          <w:p w14:paraId="2AF0671C">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13</w:t>
            </w:r>
            <w:r>
              <w:rPr>
                <w:rFonts w:hint="eastAsia" w:asciiTheme="minorHAnsi" w:hAnsiTheme="minorHAnsi" w:eastAsiaTheme="minorEastAsia" w:cstheme="minorBidi"/>
                <w:lang w:eastAsia="en-US"/>
              </w:rPr>
              <w:t>1.1</w:t>
            </w:r>
          </w:p>
        </w:tc>
      </w:tr>
      <w:tr w14:paraId="7DFB94C3">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7F51D39E">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9</w:t>
            </w:r>
          </w:p>
        </w:tc>
        <w:tc>
          <w:tcPr>
            <w:tcW w:w="2698" w:type="dxa"/>
            <w:tcBorders>
              <w:top w:val="single" w:color="000000" w:sz="8" w:space="0"/>
              <w:left w:val="single" w:color="000000" w:sz="8" w:space="0"/>
              <w:bottom w:val="single" w:color="000000" w:sz="8" w:space="0"/>
              <w:right w:val="single" w:color="000000" w:sz="8" w:space="0"/>
            </w:tcBorders>
            <w:vAlign w:val="center"/>
          </w:tcPr>
          <w:p w14:paraId="01305714">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光单元</w:t>
            </w:r>
          </w:p>
        </w:tc>
        <w:tc>
          <w:tcPr>
            <w:tcW w:w="2190" w:type="dxa"/>
            <w:tcBorders>
              <w:top w:val="single" w:color="000000" w:sz="8" w:space="0"/>
              <w:left w:val="single" w:color="000000" w:sz="8" w:space="0"/>
              <w:bottom w:val="single" w:color="000000" w:sz="8" w:space="0"/>
              <w:right w:val="single" w:color="000000" w:sz="8" w:space="0"/>
            </w:tcBorders>
            <w:vAlign w:val="center"/>
          </w:tcPr>
          <w:p w14:paraId="3689455A">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w:t>
            </w:r>
          </w:p>
        </w:tc>
        <w:tc>
          <w:tcPr>
            <w:tcW w:w="2356" w:type="dxa"/>
            <w:tcBorders>
              <w:top w:val="single" w:color="000000" w:sz="8" w:space="0"/>
              <w:left w:val="single" w:color="000000" w:sz="8" w:space="0"/>
              <w:bottom w:val="single" w:color="000000" w:sz="8" w:space="0"/>
              <w:right w:val="single" w:color="000000" w:sz="10" w:space="0"/>
            </w:tcBorders>
            <w:vAlign w:val="center"/>
          </w:tcPr>
          <w:p w14:paraId="4B36522E">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w:t>
            </w:r>
          </w:p>
        </w:tc>
      </w:tr>
      <w:tr w14:paraId="70BFD57D">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3786E5D1">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10</w:t>
            </w:r>
          </w:p>
        </w:tc>
        <w:tc>
          <w:tcPr>
            <w:tcW w:w="2698" w:type="dxa"/>
            <w:tcBorders>
              <w:top w:val="single" w:color="000000" w:sz="8" w:space="0"/>
              <w:left w:val="single" w:color="000000" w:sz="8" w:space="0"/>
              <w:bottom w:val="single" w:color="000000" w:sz="8" w:space="0"/>
              <w:right w:val="single" w:color="000000" w:sz="8" w:space="0"/>
            </w:tcBorders>
            <w:vAlign w:val="center"/>
          </w:tcPr>
          <w:p w14:paraId="4D2B48D5">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填充</w:t>
            </w:r>
          </w:p>
        </w:tc>
        <w:tc>
          <w:tcPr>
            <w:tcW w:w="2190" w:type="dxa"/>
            <w:tcBorders>
              <w:top w:val="single" w:color="000000" w:sz="8" w:space="0"/>
              <w:left w:val="single" w:color="000000" w:sz="8" w:space="0"/>
              <w:bottom w:val="single" w:color="000000" w:sz="8" w:space="0"/>
              <w:right w:val="single" w:color="000000" w:sz="8" w:space="0"/>
            </w:tcBorders>
            <w:vAlign w:val="center"/>
          </w:tcPr>
          <w:p w14:paraId="1095FF47">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w:t>
            </w:r>
          </w:p>
        </w:tc>
        <w:tc>
          <w:tcPr>
            <w:tcW w:w="2356" w:type="dxa"/>
            <w:tcBorders>
              <w:top w:val="single" w:color="000000" w:sz="8" w:space="0"/>
              <w:left w:val="single" w:color="000000" w:sz="8" w:space="0"/>
              <w:bottom w:val="single" w:color="000000" w:sz="8" w:space="0"/>
              <w:right w:val="single" w:color="000000" w:sz="10" w:space="0"/>
            </w:tcBorders>
            <w:vAlign w:val="center"/>
          </w:tcPr>
          <w:p w14:paraId="656F0FD9">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w:t>
            </w:r>
          </w:p>
        </w:tc>
      </w:tr>
      <w:tr w14:paraId="3B7F05BF">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0A6E1E90">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11</w:t>
            </w:r>
          </w:p>
        </w:tc>
        <w:tc>
          <w:tcPr>
            <w:tcW w:w="2698" w:type="dxa"/>
            <w:tcBorders>
              <w:top w:val="single" w:color="000000" w:sz="8" w:space="0"/>
              <w:left w:val="single" w:color="000000" w:sz="8" w:space="0"/>
              <w:bottom w:val="single" w:color="000000" w:sz="8" w:space="0"/>
              <w:right w:val="single" w:color="000000" w:sz="8" w:space="0"/>
            </w:tcBorders>
            <w:vAlign w:val="center"/>
          </w:tcPr>
          <w:p w14:paraId="3D97416C">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包带</w:t>
            </w:r>
          </w:p>
        </w:tc>
        <w:tc>
          <w:tcPr>
            <w:tcW w:w="2190" w:type="dxa"/>
            <w:tcBorders>
              <w:top w:val="single" w:color="000000" w:sz="8" w:space="0"/>
              <w:left w:val="single" w:color="000000" w:sz="8" w:space="0"/>
              <w:bottom w:val="single" w:color="000000" w:sz="8" w:space="0"/>
              <w:right w:val="single" w:color="000000" w:sz="8" w:space="0"/>
            </w:tcBorders>
            <w:vAlign w:val="center"/>
          </w:tcPr>
          <w:p w14:paraId="6EB58E2B">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0.2</w:t>
            </w:r>
          </w:p>
        </w:tc>
        <w:tc>
          <w:tcPr>
            <w:tcW w:w="2356" w:type="dxa"/>
            <w:tcBorders>
              <w:top w:val="single" w:color="000000" w:sz="8" w:space="0"/>
              <w:left w:val="single" w:color="000000" w:sz="8" w:space="0"/>
              <w:bottom w:val="single" w:color="000000" w:sz="8" w:space="0"/>
              <w:right w:val="single" w:color="000000" w:sz="10" w:space="0"/>
            </w:tcBorders>
            <w:vAlign w:val="center"/>
          </w:tcPr>
          <w:p w14:paraId="461C01D4">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284.8</w:t>
            </w:r>
          </w:p>
        </w:tc>
      </w:tr>
      <w:tr w14:paraId="51747266">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130C412A">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12</w:t>
            </w:r>
          </w:p>
        </w:tc>
        <w:tc>
          <w:tcPr>
            <w:tcW w:w="2698" w:type="dxa"/>
            <w:tcBorders>
              <w:top w:val="single" w:color="000000" w:sz="8" w:space="0"/>
              <w:left w:val="single" w:color="000000" w:sz="8" w:space="0"/>
              <w:bottom w:val="single" w:color="000000" w:sz="8" w:space="0"/>
              <w:right w:val="single" w:color="000000" w:sz="8" w:space="0"/>
            </w:tcBorders>
            <w:vAlign w:val="center"/>
          </w:tcPr>
          <w:p w14:paraId="582C9464">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PP内垫层</w:t>
            </w:r>
          </w:p>
        </w:tc>
        <w:tc>
          <w:tcPr>
            <w:tcW w:w="2190" w:type="dxa"/>
            <w:tcBorders>
              <w:top w:val="single" w:color="000000" w:sz="8" w:space="0"/>
              <w:left w:val="single" w:color="000000" w:sz="8" w:space="0"/>
              <w:bottom w:val="single" w:color="000000" w:sz="8" w:space="0"/>
              <w:right w:val="single" w:color="000000" w:sz="8" w:space="0"/>
            </w:tcBorders>
            <w:vAlign w:val="center"/>
          </w:tcPr>
          <w:p w14:paraId="414599A5">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1.5</w:t>
            </w:r>
          </w:p>
        </w:tc>
        <w:tc>
          <w:tcPr>
            <w:tcW w:w="2356" w:type="dxa"/>
            <w:tcBorders>
              <w:top w:val="single" w:color="000000" w:sz="8" w:space="0"/>
              <w:left w:val="single" w:color="000000" w:sz="8" w:space="0"/>
              <w:bottom w:val="single" w:color="000000" w:sz="8" w:space="0"/>
              <w:right w:val="single" w:color="000000" w:sz="10" w:space="0"/>
            </w:tcBorders>
            <w:vAlign w:val="center"/>
          </w:tcPr>
          <w:p w14:paraId="26241633">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287.8</w:t>
            </w:r>
          </w:p>
        </w:tc>
      </w:tr>
      <w:tr w14:paraId="1A4B5D79">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7B55A504">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13</w:t>
            </w:r>
          </w:p>
        </w:tc>
        <w:tc>
          <w:tcPr>
            <w:tcW w:w="2698" w:type="dxa"/>
            <w:tcBorders>
              <w:top w:val="single" w:color="000000" w:sz="8" w:space="0"/>
              <w:left w:val="single" w:color="000000" w:sz="8" w:space="0"/>
              <w:bottom w:val="single" w:color="000000" w:sz="8" w:space="0"/>
              <w:right w:val="single" w:color="000000" w:sz="8" w:space="0"/>
            </w:tcBorders>
            <w:vAlign w:val="center"/>
          </w:tcPr>
          <w:p w14:paraId="1FA89539">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铠装</w:t>
            </w:r>
          </w:p>
        </w:tc>
        <w:tc>
          <w:tcPr>
            <w:tcW w:w="2190" w:type="dxa"/>
            <w:tcBorders>
              <w:top w:val="single" w:color="000000" w:sz="8" w:space="0"/>
              <w:left w:val="single" w:color="000000" w:sz="8" w:space="0"/>
              <w:bottom w:val="single" w:color="000000" w:sz="8" w:space="0"/>
              <w:right w:val="single" w:color="000000" w:sz="8" w:space="0"/>
            </w:tcBorders>
            <w:vAlign w:val="center"/>
          </w:tcPr>
          <w:p w14:paraId="21716E78">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6.0</w:t>
            </w:r>
          </w:p>
        </w:tc>
        <w:tc>
          <w:tcPr>
            <w:tcW w:w="2356" w:type="dxa"/>
            <w:tcBorders>
              <w:top w:val="single" w:color="000000" w:sz="8" w:space="0"/>
              <w:left w:val="single" w:color="000000" w:sz="8" w:space="0"/>
              <w:bottom w:val="single" w:color="000000" w:sz="8" w:space="0"/>
              <w:right w:val="single" w:color="000000" w:sz="10" w:space="0"/>
            </w:tcBorders>
            <w:vAlign w:val="center"/>
          </w:tcPr>
          <w:p w14:paraId="17A7C55E">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299.8</w:t>
            </w:r>
          </w:p>
        </w:tc>
      </w:tr>
      <w:tr w14:paraId="039A4994">
        <w:tblPrEx>
          <w:tblCellMar>
            <w:top w:w="0" w:type="dxa"/>
            <w:left w:w="0" w:type="dxa"/>
            <w:bottom w:w="0" w:type="dxa"/>
            <w:right w:w="0" w:type="dxa"/>
          </w:tblCellMar>
        </w:tblPrEx>
        <w:trPr>
          <w:trHeight w:val="20" w:hRule="atLeast"/>
          <w:jc w:val="center"/>
        </w:trPr>
        <w:tc>
          <w:tcPr>
            <w:tcW w:w="978" w:type="dxa"/>
            <w:tcBorders>
              <w:top w:val="single" w:color="000000" w:sz="8" w:space="0"/>
              <w:left w:val="single" w:color="000000" w:sz="8" w:space="0"/>
              <w:bottom w:val="single" w:color="000000" w:sz="8" w:space="0"/>
              <w:right w:val="single" w:color="000000" w:sz="8" w:space="0"/>
            </w:tcBorders>
            <w:vAlign w:val="center"/>
          </w:tcPr>
          <w:p w14:paraId="584DB8E2">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14</w:t>
            </w:r>
          </w:p>
        </w:tc>
        <w:tc>
          <w:tcPr>
            <w:tcW w:w="2698" w:type="dxa"/>
            <w:tcBorders>
              <w:top w:val="single" w:color="000000" w:sz="8" w:space="0"/>
              <w:left w:val="single" w:color="000000" w:sz="8" w:space="0"/>
              <w:bottom w:val="single" w:color="000000" w:sz="8" w:space="0"/>
              <w:right w:val="single" w:color="000000" w:sz="8" w:space="0"/>
            </w:tcBorders>
            <w:vAlign w:val="center"/>
          </w:tcPr>
          <w:p w14:paraId="38BA8C58">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沥青+PP外被层</w:t>
            </w:r>
          </w:p>
        </w:tc>
        <w:tc>
          <w:tcPr>
            <w:tcW w:w="2190" w:type="dxa"/>
            <w:tcBorders>
              <w:top w:val="single" w:color="000000" w:sz="8" w:space="0"/>
              <w:left w:val="single" w:color="000000" w:sz="8" w:space="0"/>
              <w:bottom w:val="single" w:color="000000" w:sz="8" w:space="0"/>
              <w:right w:val="single" w:color="000000" w:sz="8" w:space="0"/>
            </w:tcBorders>
            <w:vAlign w:val="center"/>
          </w:tcPr>
          <w:p w14:paraId="67A6E86E">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0.5+4.0</w:t>
            </w:r>
          </w:p>
        </w:tc>
        <w:tc>
          <w:tcPr>
            <w:tcW w:w="2356" w:type="dxa"/>
            <w:tcBorders>
              <w:top w:val="single" w:color="000000" w:sz="8" w:space="0"/>
              <w:left w:val="single" w:color="000000" w:sz="8" w:space="0"/>
              <w:bottom w:val="single" w:color="000000" w:sz="8" w:space="0"/>
              <w:right w:val="single" w:color="000000" w:sz="10" w:space="0"/>
            </w:tcBorders>
            <w:vAlign w:val="center"/>
          </w:tcPr>
          <w:p w14:paraId="092FA359">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307.8</w:t>
            </w:r>
          </w:p>
        </w:tc>
      </w:tr>
      <w:tr w14:paraId="0B4FDF5F">
        <w:tblPrEx>
          <w:tblCellMar>
            <w:top w:w="0" w:type="dxa"/>
            <w:left w:w="0" w:type="dxa"/>
            <w:bottom w:w="0" w:type="dxa"/>
            <w:right w:w="0" w:type="dxa"/>
          </w:tblCellMar>
        </w:tblPrEx>
        <w:trPr>
          <w:trHeight w:val="20" w:hRule="atLeast"/>
          <w:jc w:val="center"/>
        </w:trPr>
        <w:tc>
          <w:tcPr>
            <w:tcW w:w="3676" w:type="dxa"/>
            <w:gridSpan w:val="2"/>
            <w:tcBorders>
              <w:top w:val="single" w:color="000000" w:sz="8" w:space="0"/>
              <w:left w:val="single" w:color="000000" w:sz="8" w:space="0"/>
              <w:bottom w:val="single" w:color="000000" w:sz="8" w:space="0"/>
              <w:right w:val="single" w:color="000000" w:sz="8" w:space="0"/>
            </w:tcBorders>
            <w:vAlign w:val="center"/>
          </w:tcPr>
          <w:p w14:paraId="510567BD">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近似重量（空气中）</w:t>
            </w:r>
          </w:p>
        </w:tc>
        <w:tc>
          <w:tcPr>
            <w:tcW w:w="4546" w:type="dxa"/>
            <w:gridSpan w:val="2"/>
            <w:tcBorders>
              <w:top w:val="single" w:color="000000" w:sz="8" w:space="0"/>
              <w:left w:val="single" w:color="000000" w:sz="8" w:space="0"/>
              <w:bottom w:val="single" w:color="000000" w:sz="8" w:space="0"/>
              <w:right w:val="single" w:color="000000" w:sz="10" w:space="0"/>
            </w:tcBorders>
            <w:vAlign w:val="center"/>
          </w:tcPr>
          <w:p w14:paraId="5769A79C">
            <w:pPr>
              <w:snapToGrid w:val="0"/>
              <w:spacing w:line="360" w:lineRule="auto"/>
              <w:jc w:val="center"/>
              <w:rPr>
                <w:rFonts w:asciiTheme="minorHAnsi" w:hAnsiTheme="minorHAnsi" w:eastAsiaTheme="minorEastAsia" w:cstheme="minorBidi"/>
                <w:lang w:eastAsia="en-US"/>
              </w:rPr>
            </w:pPr>
            <w:r>
              <w:rPr>
                <w:rFonts w:asciiTheme="minorHAnsi" w:hAnsiTheme="minorHAnsi" w:eastAsiaTheme="minorEastAsia" w:cstheme="minorBidi"/>
                <w:lang w:eastAsia="en-US"/>
              </w:rPr>
              <w:t>≈157.5千克/米</w:t>
            </w:r>
          </w:p>
        </w:tc>
      </w:tr>
    </w:tbl>
    <w:p w14:paraId="1238EEDF">
      <w:pPr>
        <w:snapToGrid w:val="0"/>
        <w:spacing w:line="360" w:lineRule="auto"/>
        <w:ind w:firstLine="420" w:firstLineChars="200"/>
      </w:pPr>
      <w:r>
        <w:t>备注：上述参数仅供参考，投标时海缆参数以</w:t>
      </w:r>
      <w:r>
        <w:rPr>
          <w:rFonts w:hint="eastAsia"/>
        </w:rPr>
        <w:t>投标方</w:t>
      </w:r>
      <w:r>
        <w:t>提供的数据为准。</w:t>
      </w:r>
    </w:p>
    <w:p w14:paraId="2D308CB2">
      <w:pPr>
        <w:pStyle w:val="4"/>
        <w:keepNext w:val="0"/>
        <w:tabs>
          <w:tab w:val="left" w:pos="576"/>
        </w:tabs>
        <w:topLinePunct w:val="0"/>
        <w:adjustRightInd w:val="0"/>
        <w:snapToGrid w:val="0"/>
        <w:spacing w:line="360" w:lineRule="auto"/>
        <w:ind w:left="0"/>
        <w:rPr>
          <w:rFonts w:ascii="黑体" w:hAnsi="黑体"/>
        </w:rPr>
      </w:pPr>
      <w:bookmarkStart w:id="11" w:name="_Toc232443339"/>
      <w:bookmarkStart w:id="12" w:name="_Toc226123932"/>
      <w:bookmarkStart w:id="13" w:name="_Toc225241772"/>
      <w:r>
        <w:rPr>
          <w:rFonts w:ascii="黑体" w:hAnsi="黑体"/>
        </w:rPr>
        <w:t xml:space="preserve">2.3 </w:t>
      </w:r>
      <w:r>
        <w:rPr>
          <w:rFonts w:hint="eastAsia" w:ascii="黑体" w:hAnsi="黑体"/>
        </w:rPr>
        <w:t>供货时间</w:t>
      </w:r>
      <w:r>
        <w:rPr>
          <w:rFonts w:ascii="黑体" w:hAnsi="黑体"/>
        </w:rPr>
        <w:t>要求</w:t>
      </w:r>
      <w:bookmarkEnd w:id="11"/>
      <w:bookmarkEnd w:id="12"/>
      <w:bookmarkEnd w:id="13"/>
    </w:p>
    <w:p w14:paraId="3A925E88">
      <w:pPr>
        <w:snapToGrid w:val="0"/>
        <w:spacing w:line="360" w:lineRule="auto"/>
        <w:ind w:firstLine="420" w:firstLineChars="200"/>
      </w:pPr>
      <w:r>
        <w:rPr>
          <w:rFonts w:hint="eastAsia"/>
        </w:rPr>
        <w:t>投标方应在</w:t>
      </w:r>
      <w:r>
        <w:t>2029</w:t>
      </w:r>
      <w:r>
        <w:rPr>
          <w:rFonts w:hint="eastAsia"/>
        </w:rPr>
        <w:t>年</w:t>
      </w:r>
      <w:r>
        <w:t>4</w:t>
      </w:r>
      <w:r>
        <w:rPr>
          <w:rFonts w:hint="eastAsia"/>
        </w:rPr>
        <w:t>月</w:t>
      </w:r>
      <w:r>
        <w:t>15</w:t>
      </w:r>
      <w:r>
        <w:rPr>
          <w:rFonts w:hint="eastAsia"/>
        </w:rPr>
        <w:t>日前，</w:t>
      </w:r>
      <w:r>
        <w:t>完成</w:t>
      </w:r>
      <w:r>
        <w:rPr>
          <w:rFonts w:hint="eastAsia"/>
        </w:rPr>
        <w:t>海缆本体及其附件等</w:t>
      </w:r>
      <w:r>
        <w:t>全部供货商品的生产制造、厂内组装及质量检测，确保货物达到国家</w:t>
      </w:r>
      <w:r>
        <w:rPr>
          <w:rFonts w:hint="eastAsia"/>
        </w:rPr>
        <w:t>、</w:t>
      </w:r>
      <w:r>
        <w:t>行业</w:t>
      </w:r>
      <w:r>
        <w:rPr>
          <w:rFonts w:hint="eastAsia"/>
        </w:rPr>
        <w:t>与</w:t>
      </w:r>
      <w:r>
        <w:t>招标文件规定的出厂标准</w:t>
      </w:r>
      <w:r>
        <w:rPr>
          <w:rFonts w:hint="eastAsia"/>
        </w:rPr>
        <w:t>，完成装船及相关试验，具备发货条件。交货地点详见3</w:t>
      </w:r>
      <w:r>
        <w:t xml:space="preserve">.3 </w:t>
      </w:r>
      <w:r>
        <w:rPr>
          <w:rFonts w:hint="eastAsia"/>
        </w:rPr>
        <w:t>章节“</w:t>
      </w:r>
      <w:r>
        <w:t>供货范围</w:t>
      </w:r>
      <w:r>
        <w:rPr>
          <w:rFonts w:hint="eastAsia"/>
        </w:rPr>
        <w:t>”，后续由海缆施工方运抵本工程海缆敷设所在的琼州海峡区域。</w:t>
      </w:r>
    </w:p>
    <w:bookmarkEnd w:id="0"/>
    <w:p w14:paraId="1C416764">
      <w:pPr>
        <w:pStyle w:val="3"/>
        <w:rPr>
          <w:rFonts w:ascii="黑体" w:hAnsi="黑体" w:eastAsia="黑体"/>
          <w:b/>
          <w:sz w:val="21"/>
          <w:szCs w:val="21"/>
        </w:rPr>
      </w:pPr>
      <w:bookmarkStart w:id="14" w:name="_Toc112756677"/>
      <w:bookmarkStart w:id="15" w:name="_Toc322681848"/>
      <w:bookmarkStart w:id="16" w:name="_Toc279695347"/>
      <w:bookmarkStart w:id="17" w:name="_Toc276492358"/>
      <w:bookmarkStart w:id="18" w:name="_Toc226123933"/>
      <w:bookmarkStart w:id="19" w:name="_Toc232443340"/>
      <w:bookmarkStart w:id="20" w:name="_Toc246216316"/>
      <w:bookmarkStart w:id="21" w:name="_Toc276490890"/>
      <w:bookmarkStart w:id="22" w:name="_Toc22302705"/>
      <w:bookmarkStart w:id="23" w:name="_Toc271281204"/>
      <w:bookmarkStart w:id="24" w:name="_Toc155114607"/>
      <w:bookmarkStart w:id="25" w:name="_Toc241911995"/>
      <w:r>
        <w:rPr>
          <w:rFonts w:hint="eastAsia" w:ascii="黑体" w:hAnsi="黑体" w:eastAsia="黑体"/>
          <w:b/>
          <w:sz w:val="21"/>
          <w:szCs w:val="21"/>
        </w:rPr>
        <w:t>3</w:t>
      </w:r>
      <w:r>
        <w:rPr>
          <w:rFonts w:ascii="黑体" w:hAnsi="黑体" w:eastAsia="黑体"/>
          <w:b/>
          <w:sz w:val="21"/>
          <w:szCs w:val="21"/>
        </w:rPr>
        <w:t xml:space="preserve"> </w:t>
      </w:r>
      <w:r>
        <w:rPr>
          <w:rFonts w:hint="eastAsia" w:ascii="黑体" w:hAnsi="黑体" w:eastAsia="黑体"/>
          <w:b/>
          <w:sz w:val="21"/>
          <w:szCs w:val="21"/>
        </w:rPr>
        <w:t>本技术规范书工作范围</w:t>
      </w:r>
      <w:bookmarkEnd w:id="14"/>
      <w:bookmarkEnd w:id="15"/>
      <w:bookmarkEnd w:id="16"/>
      <w:bookmarkEnd w:id="17"/>
      <w:bookmarkEnd w:id="18"/>
      <w:bookmarkEnd w:id="19"/>
      <w:bookmarkEnd w:id="20"/>
      <w:bookmarkEnd w:id="21"/>
      <w:bookmarkEnd w:id="22"/>
      <w:bookmarkEnd w:id="23"/>
    </w:p>
    <w:p w14:paraId="142834F5">
      <w:pPr>
        <w:pStyle w:val="4"/>
        <w:keepNext w:val="0"/>
        <w:tabs>
          <w:tab w:val="left" w:pos="576"/>
        </w:tabs>
        <w:topLinePunct w:val="0"/>
        <w:adjustRightInd w:val="0"/>
        <w:snapToGrid w:val="0"/>
        <w:spacing w:line="360" w:lineRule="auto"/>
        <w:ind w:left="0"/>
        <w:rPr>
          <w:rFonts w:ascii="黑体" w:hAnsi="黑体"/>
        </w:rPr>
      </w:pPr>
      <w:bookmarkStart w:id="26" w:name="_Toc22302706"/>
      <w:bookmarkStart w:id="27" w:name="_Toc226123934"/>
      <w:bookmarkStart w:id="28" w:name="_Toc232443341"/>
      <w:bookmarkStart w:id="29" w:name="_Toc322681849"/>
      <w:r>
        <w:rPr>
          <w:rFonts w:hint="eastAsia" w:ascii="黑体" w:hAnsi="黑体"/>
        </w:rPr>
        <w:t>3</w:t>
      </w:r>
      <w:r>
        <w:rPr>
          <w:rFonts w:ascii="黑体" w:hAnsi="黑体"/>
        </w:rPr>
        <w:t>.</w:t>
      </w:r>
      <w:r>
        <w:rPr>
          <w:rFonts w:hint="eastAsia" w:ascii="黑体" w:hAnsi="黑体"/>
        </w:rPr>
        <w:t>1</w:t>
      </w:r>
      <w:r>
        <w:rPr>
          <w:rFonts w:ascii="黑体" w:hAnsi="黑体"/>
        </w:rPr>
        <w:t xml:space="preserve"> 范围和界限</w:t>
      </w:r>
      <w:bookmarkEnd w:id="26"/>
      <w:bookmarkEnd w:id="27"/>
      <w:bookmarkEnd w:id="28"/>
      <w:bookmarkEnd w:id="29"/>
    </w:p>
    <w:p w14:paraId="6584555F">
      <w:pPr>
        <w:snapToGrid w:val="0"/>
        <w:spacing w:line="360" w:lineRule="auto"/>
        <w:ind w:firstLine="420" w:firstLineChars="200"/>
      </w:pPr>
      <w:r>
        <w:t>1</w:t>
      </w:r>
      <w:r>
        <w:rPr>
          <w:rFonts w:hint="eastAsia"/>
        </w:rPr>
        <w:t>、</w:t>
      </w:r>
      <w:r>
        <w:rPr>
          <w:rFonts w:hint="eastAsia" w:ascii="宋体" w:hAnsi="宋体"/>
        </w:rPr>
        <w:t>本规范书适用于投标方提供的500kV交流交联聚乙烯绝缘光纤复合海底电缆及其附件设备。投标方需负责海缆及其附件的设计、制造、装配、工厂试验、部分附件安装、部分竣工试验、交付与备品存储，并对现场安装及试运行提供指导与督导。</w:t>
      </w:r>
    </w:p>
    <w:p w14:paraId="20CC0A76">
      <w:pPr>
        <w:snapToGrid w:val="0"/>
        <w:spacing w:line="360" w:lineRule="auto"/>
        <w:ind w:firstLine="420" w:firstLineChars="200"/>
      </w:pPr>
      <w:r>
        <w:rPr>
          <w:rFonts w:hint="eastAsia"/>
        </w:rPr>
        <w:t>2、</w:t>
      </w:r>
      <w:r>
        <w:t>本规范书未说明，</w:t>
      </w:r>
      <w:r>
        <w:rPr>
          <w:rFonts w:hint="eastAsia"/>
          <w:szCs w:val="21"/>
        </w:rPr>
        <w:t>但又与设计、制造、装配、试验、运输、包装、保管、安装和运行维护有关的技术要求，按合同所规定的有关标准执行</w:t>
      </w:r>
      <w:r>
        <w:t>。</w:t>
      </w:r>
    </w:p>
    <w:p w14:paraId="4EBA0863">
      <w:pPr>
        <w:pStyle w:val="4"/>
        <w:keepNext w:val="0"/>
        <w:tabs>
          <w:tab w:val="left" w:pos="576"/>
        </w:tabs>
        <w:topLinePunct w:val="0"/>
        <w:adjustRightInd w:val="0"/>
        <w:snapToGrid w:val="0"/>
        <w:spacing w:line="360" w:lineRule="auto"/>
        <w:ind w:left="0"/>
        <w:rPr>
          <w:rFonts w:ascii="黑体" w:hAnsi="黑体"/>
        </w:rPr>
      </w:pPr>
      <w:bookmarkStart w:id="30" w:name="_Toc232443342"/>
      <w:bookmarkStart w:id="31" w:name="_Toc322681850"/>
      <w:bookmarkStart w:id="32" w:name="_Toc22302707"/>
      <w:bookmarkStart w:id="33" w:name="_Toc226123935"/>
      <w:r>
        <w:rPr>
          <w:rFonts w:hint="eastAsia" w:ascii="黑体" w:hAnsi="黑体"/>
        </w:rPr>
        <w:t>3</w:t>
      </w:r>
      <w:r>
        <w:rPr>
          <w:rFonts w:ascii="黑体" w:hAnsi="黑体"/>
        </w:rPr>
        <w:t>.</w:t>
      </w:r>
      <w:r>
        <w:rPr>
          <w:rFonts w:hint="eastAsia" w:ascii="黑体" w:hAnsi="黑体"/>
        </w:rPr>
        <w:t>2</w:t>
      </w:r>
      <w:r>
        <w:rPr>
          <w:rFonts w:ascii="黑体" w:hAnsi="黑体"/>
        </w:rPr>
        <w:t xml:space="preserve"> 服务范围</w:t>
      </w:r>
      <w:bookmarkEnd w:id="30"/>
      <w:bookmarkEnd w:id="31"/>
      <w:bookmarkEnd w:id="32"/>
      <w:bookmarkEnd w:id="33"/>
    </w:p>
    <w:p w14:paraId="51E0AEA8">
      <w:pPr>
        <w:snapToGrid w:val="0"/>
        <w:spacing w:line="360" w:lineRule="auto"/>
        <w:ind w:firstLine="420" w:firstLineChars="200"/>
      </w:pPr>
      <w:r>
        <w:t>1</w:t>
      </w:r>
      <w:r>
        <w:rPr>
          <w:rFonts w:hint="eastAsia"/>
        </w:rPr>
        <w:t>、投标方应按本规范书的要求提供全新的、合格的500kV交流用交联聚乙烯绝缘光纤复合海底电缆及其附属设备、组件、备品备件、专用工具和仪器。</w:t>
      </w:r>
    </w:p>
    <w:p w14:paraId="33994411">
      <w:pPr>
        <w:snapToGrid w:val="0"/>
        <w:spacing w:line="360" w:lineRule="auto"/>
        <w:ind w:firstLine="420" w:firstLineChars="200"/>
      </w:pPr>
      <w:r>
        <w:t>投标方所提供的组件或附件如需向第三方外购时，</w:t>
      </w:r>
      <w:r>
        <w:rPr>
          <w:rFonts w:hint="eastAsia"/>
        </w:rPr>
        <w:t>投标方</w:t>
      </w:r>
      <w:r>
        <w:t>应对质量向招标方负责，并提供相应出厂和验收证明。</w:t>
      </w:r>
    </w:p>
    <w:p w14:paraId="19D4FC45">
      <w:pPr>
        <w:snapToGrid w:val="0"/>
        <w:spacing w:line="360" w:lineRule="auto"/>
        <w:ind w:firstLine="420" w:firstLineChars="200"/>
      </w:pPr>
      <w:r>
        <w:rPr>
          <w:rFonts w:hint="eastAsia"/>
        </w:rPr>
        <w:t>投标方应确保供货范围完整，以能满足招标方安装、运行要求为原则。若在安装、调试、运行中发现缺项（属投标方供货范围）由投标方补充。</w:t>
      </w:r>
    </w:p>
    <w:p w14:paraId="1ADEB078">
      <w:pPr>
        <w:snapToGrid w:val="0"/>
        <w:spacing w:line="360" w:lineRule="auto"/>
        <w:ind w:firstLine="420" w:firstLineChars="200"/>
      </w:pPr>
      <w:r>
        <w:rPr>
          <w:rFonts w:hint="eastAsia"/>
        </w:rPr>
        <w:t>2、工厂试验由投标方在生产厂家内完成，但应有招标方代表参加，参加工厂验收的人数及天数等规定详见合同部分。</w:t>
      </w:r>
    </w:p>
    <w:p w14:paraId="6C24B76B">
      <w:pPr>
        <w:snapToGrid w:val="0"/>
        <w:spacing w:line="360" w:lineRule="auto"/>
        <w:ind w:firstLine="420" w:firstLineChars="200"/>
      </w:pPr>
      <w:r>
        <w:rPr>
          <w:rFonts w:hint="eastAsia"/>
        </w:rPr>
        <w:t>3、投标方协助招标方按标准检查安装质量，处理调试投运过程中出现的问题。投标方负责对招标方人员免费进行安装、运维、检修培训、全面技术交底及安装技能评估。双方应提前商议并明确培训方案，安装督导的工作范围及人数和天数等规定详见商务合同部分。</w:t>
      </w:r>
    </w:p>
    <w:p w14:paraId="579D7D2E">
      <w:pPr>
        <w:snapToGrid w:val="0"/>
        <w:spacing w:line="360" w:lineRule="auto"/>
        <w:ind w:firstLine="420" w:firstLineChars="200"/>
      </w:pPr>
      <w:r>
        <w:rPr>
          <w:rFonts w:hint="eastAsia"/>
        </w:rPr>
        <w:t>4、投标方应协助招标方解决设备运行中出现的问题。</w:t>
      </w:r>
    </w:p>
    <w:p w14:paraId="4FD82A8C">
      <w:pPr>
        <w:snapToGrid w:val="0"/>
        <w:spacing w:line="360" w:lineRule="auto"/>
        <w:ind w:firstLine="420" w:firstLineChars="200"/>
      </w:pPr>
      <w:r>
        <w:rPr>
          <w:rFonts w:hint="eastAsia"/>
        </w:rPr>
        <w:t>5、设备安装、调试和性能试验合格后方可投运。设备投运并稳定运行后，投标方和招标方（业主）双方应根据相关法律、法规和南方电网公司管理制度签署合同设备的验收证明书。该证明书共两份，双方各执一份。</w:t>
      </w:r>
    </w:p>
    <w:p w14:paraId="32E518B9">
      <w:pPr>
        <w:snapToGrid w:val="0"/>
        <w:spacing w:line="360" w:lineRule="auto"/>
        <w:ind w:firstLine="420" w:firstLineChars="200"/>
      </w:pPr>
      <w:r>
        <w:rPr>
          <w:rFonts w:hint="eastAsia"/>
        </w:rPr>
        <w:t>6、如果发生安装、调试、性能试验、试运行及质保期内技术指标一项或多项不能满足合同技术部分要求的情况，招标方与投标方共同分析原因，分清责任，如属制造方面的原因，或涉及索赔部分，按合同部分有关条款执行。</w:t>
      </w:r>
    </w:p>
    <w:p w14:paraId="19F23F36">
      <w:pPr>
        <w:pStyle w:val="152"/>
        <w:adjustRightInd w:val="0"/>
        <w:snapToGrid w:val="0"/>
        <w:spacing w:line="360" w:lineRule="auto"/>
        <w:rPr>
          <w:rFonts w:eastAsia="宋体" w:cs="Times New Roman"/>
          <w:szCs w:val="21"/>
        </w:rPr>
      </w:pPr>
      <w:r>
        <w:rPr>
          <w:rFonts w:hint="eastAsia" w:eastAsia="宋体" w:cs="Times New Roman"/>
          <w:szCs w:val="21"/>
        </w:rPr>
        <w:t>7、所有备品备件应为未经使用且包装完好的全新产品，与需要在本工程内安装的设备的相应部件能够互换，具有相同的技术协议和相同的规格、材质、制造工艺。所有备品备件应采取防尘、防潮、防止损坏等措施。并标明“备品备件”，发运及存储服务条款细节可中标后另行商议并约定。</w:t>
      </w:r>
    </w:p>
    <w:p w14:paraId="7D6FB176">
      <w:pPr>
        <w:pStyle w:val="152"/>
        <w:adjustRightInd w:val="0"/>
        <w:snapToGrid w:val="0"/>
        <w:spacing w:line="360" w:lineRule="auto"/>
        <w:rPr>
          <w:rFonts w:eastAsia="宋体" w:cs="Times New Roman"/>
          <w:szCs w:val="21"/>
        </w:rPr>
      </w:pPr>
      <w:r>
        <w:rPr>
          <w:rFonts w:hint="eastAsia" w:eastAsia="宋体" w:cs="Times New Roman"/>
          <w:szCs w:val="21"/>
        </w:rPr>
        <w:t>8、本工程后续需在站内G</w:t>
      </w:r>
      <w:r>
        <w:rPr>
          <w:rFonts w:eastAsia="宋体" w:cs="Times New Roman"/>
          <w:szCs w:val="21"/>
        </w:rPr>
        <w:t>IS</w:t>
      </w:r>
      <w:r>
        <w:rPr>
          <w:rFonts w:hint="eastAsia" w:eastAsia="宋体" w:cs="Times New Roman"/>
          <w:szCs w:val="21"/>
        </w:rPr>
        <w:t>采取并联旁路的方式额外接入一段试验电缆，投标方需做好相关配合工作。</w:t>
      </w:r>
    </w:p>
    <w:p w14:paraId="40F7FA92">
      <w:pPr>
        <w:snapToGrid w:val="0"/>
        <w:spacing w:line="360" w:lineRule="auto"/>
        <w:ind w:firstLine="420" w:firstLineChars="200"/>
      </w:pPr>
      <w:r>
        <w:rPr>
          <w:rFonts w:hint="eastAsia"/>
          <w:szCs w:val="21"/>
        </w:rPr>
        <w:t>9、</w:t>
      </w:r>
      <w:r>
        <w:rPr>
          <w:rFonts w:hint="eastAsia"/>
        </w:rPr>
        <w:t>投标方应配合招标方开展必要的海缆专题研究。</w:t>
      </w:r>
    </w:p>
    <w:p w14:paraId="045492E0">
      <w:pPr>
        <w:pStyle w:val="4"/>
        <w:keepNext w:val="0"/>
        <w:tabs>
          <w:tab w:val="left" w:pos="576"/>
        </w:tabs>
        <w:topLinePunct w:val="0"/>
        <w:adjustRightInd w:val="0"/>
        <w:snapToGrid w:val="0"/>
        <w:spacing w:line="360" w:lineRule="auto"/>
        <w:ind w:left="0"/>
        <w:rPr>
          <w:rFonts w:ascii="黑体" w:hAnsi="黑体"/>
        </w:rPr>
      </w:pPr>
      <w:bookmarkStart w:id="34" w:name="_Toc226123936"/>
      <w:bookmarkStart w:id="35" w:name="_Toc232443343"/>
      <w:r>
        <w:rPr>
          <w:rFonts w:hint="eastAsia" w:ascii="黑体" w:hAnsi="黑体"/>
        </w:rPr>
        <w:t>3</w:t>
      </w:r>
      <w:r>
        <w:rPr>
          <w:rFonts w:ascii="黑体" w:hAnsi="黑体"/>
        </w:rPr>
        <w:t>.3 供货范围</w:t>
      </w:r>
      <w:bookmarkEnd w:id="34"/>
      <w:bookmarkEnd w:id="35"/>
    </w:p>
    <w:p w14:paraId="3B935B11">
      <w:pPr>
        <w:pStyle w:val="152"/>
        <w:adjustRightInd w:val="0"/>
        <w:snapToGrid w:val="0"/>
        <w:spacing w:line="360" w:lineRule="auto"/>
        <w:rPr>
          <w:rFonts w:eastAsia="宋体" w:cs="Times New Roman"/>
          <w:szCs w:val="21"/>
        </w:rPr>
      </w:pPr>
      <w:r>
        <w:rPr>
          <w:rFonts w:hint="eastAsia" w:eastAsia="宋体" w:cs="Times New Roman"/>
          <w:szCs w:val="21"/>
        </w:rPr>
        <w:t>投标方提供的设备具体规格、数量见表3.</w:t>
      </w:r>
      <w:r>
        <w:rPr>
          <w:rFonts w:eastAsia="宋体" w:cs="Times New Roman"/>
          <w:szCs w:val="21"/>
        </w:rPr>
        <w:t>3-</w:t>
      </w:r>
      <w:r>
        <w:rPr>
          <w:rFonts w:hint="eastAsia" w:eastAsia="宋体" w:cs="Times New Roman"/>
          <w:szCs w:val="21"/>
        </w:rPr>
        <w:t>1，供货范围及设备技术规格一览表。投标方应如实填写“投标方保证”栏。</w:t>
      </w:r>
    </w:p>
    <w:p w14:paraId="1F195DCA">
      <w:pPr>
        <w:pStyle w:val="152"/>
        <w:adjustRightInd w:val="0"/>
        <w:snapToGrid w:val="0"/>
        <w:spacing w:line="360" w:lineRule="auto"/>
        <w:jc w:val="center"/>
        <w:rPr>
          <w:rFonts w:eastAsia="宋体" w:cs="Times New Roman"/>
          <w:szCs w:val="21"/>
        </w:rPr>
      </w:pPr>
      <w:r>
        <w:rPr>
          <w:szCs w:val="21"/>
        </w:rPr>
        <w:t>表</w:t>
      </w:r>
      <w:r>
        <w:rPr>
          <w:rFonts w:hint="eastAsia"/>
          <w:szCs w:val="21"/>
        </w:rPr>
        <w:t>3</w:t>
      </w:r>
      <w:r>
        <w:rPr>
          <w:szCs w:val="21"/>
        </w:rPr>
        <w:t>.3-1   供货范围及设备技术规格一览表</w:t>
      </w:r>
    </w:p>
    <w:tbl>
      <w:tblPr>
        <w:tblStyle w:val="85"/>
        <w:tblW w:w="512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42"/>
        <w:gridCol w:w="1229"/>
        <w:gridCol w:w="2366"/>
        <w:gridCol w:w="504"/>
        <w:gridCol w:w="507"/>
        <w:gridCol w:w="937"/>
        <w:gridCol w:w="508"/>
        <w:gridCol w:w="1221"/>
        <w:gridCol w:w="1438"/>
      </w:tblGrid>
      <w:tr w14:paraId="43AA1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8" w:hRule="atLeast"/>
          <w:tblHeader/>
          <w:jc w:val="center"/>
        </w:trPr>
        <w:tc>
          <w:tcPr>
            <w:tcW w:w="378" w:type="pct"/>
            <w:vMerge w:val="restart"/>
            <w:tcBorders>
              <w:top w:val="single" w:color="auto" w:sz="6" w:space="0"/>
              <w:left w:val="single" w:color="auto" w:sz="6" w:space="0"/>
              <w:right w:val="single" w:color="auto" w:sz="6" w:space="0"/>
            </w:tcBorders>
            <w:vAlign w:val="center"/>
          </w:tcPr>
          <w:p w14:paraId="2B2FD438">
            <w:pPr>
              <w:jc w:val="center"/>
              <w:rPr>
                <w:rFonts w:ascii="宋体" w:hAnsi="宋体"/>
                <w:b/>
                <w:szCs w:val="21"/>
              </w:rPr>
            </w:pPr>
            <w:r>
              <w:rPr>
                <w:rFonts w:ascii="宋体" w:hAnsi="宋体"/>
                <w:b/>
                <w:szCs w:val="21"/>
              </w:rPr>
              <w:t>序号</w:t>
            </w:r>
          </w:p>
        </w:tc>
        <w:tc>
          <w:tcPr>
            <w:tcW w:w="692" w:type="pct"/>
            <w:vMerge w:val="restart"/>
            <w:tcBorders>
              <w:top w:val="single" w:color="auto" w:sz="6" w:space="0"/>
              <w:left w:val="single" w:color="auto" w:sz="6" w:space="0"/>
              <w:right w:val="single" w:color="auto" w:sz="6" w:space="0"/>
            </w:tcBorders>
            <w:vAlign w:val="center"/>
          </w:tcPr>
          <w:p w14:paraId="64ED26E8">
            <w:pPr>
              <w:jc w:val="center"/>
              <w:rPr>
                <w:rFonts w:ascii="宋体" w:hAnsi="宋体"/>
                <w:b/>
                <w:szCs w:val="21"/>
              </w:rPr>
            </w:pPr>
            <w:r>
              <w:rPr>
                <w:rFonts w:hint="eastAsia" w:ascii="宋体" w:hAnsi="宋体"/>
                <w:b/>
                <w:szCs w:val="21"/>
              </w:rPr>
              <w:t>物资</w:t>
            </w:r>
            <w:r>
              <w:rPr>
                <w:rFonts w:ascii="宋体" w:hAnsi="宋体"/>
                <w:b/>
                <w:szCs w:val="21"/>
              </w:rPr>
              <w:t>名称</w:t>
            </w:r>
          </w:p>
        </w:tc>
        <w:tc>
          <w:tcPr>
            <w:tcW w:w="989" w:type="pct"/>
            <w:vMerge w:val="restart"/>
            <w:tcBorders>
              <w:top w:val="single" w:color="auto" w:sz="6" w:space="0"/>
              <w:left w:val="single" w:color="auto" w:sz="6" w:space="0"/>
              <w:right w:val="single" w:color="auto" w:sz="6" w:space="0"/>
            </w:tcBorders>
            <w:vAlign w:val="center"/>
          </w:tcPr>
          <w:p w14:paraId="78FA85D1">
            <w:pPr>
              <w:jc w:val="center"/>
              <w:rPr>
                <w:rFonts w:ascii="宋体" w:hAnsi="宋体"/>
                <w:b/>
                <w:szCs w:val="21"/>
              </w:rPr>
            </w:pPr>
            <w:r>
              <w:rPr>
                <w:rFonts w:ascii="宋体" w:hAnsi="宋体"/>
                <w:b/>
                <w:szCs w:val="21"/>
              </w:rPr>
              <w:t>规 格</w:t>
            </w:r>
          </w:p>
        </w:tc>
        <w:tc>
          <w:tcPr>
            <w:tcW w:w="304" w:type="pct"/>
            <w:vMerge w:val="restart"/>
            <w:tcBorders>
              <w:top w:val="single" w:color="auto" w:sz="6" w:space="0"/>
              <w:left w:val="single" w:color="auto" w:sz="6" w:space="0"/>
              <w:right w:val="single" w:color="auto" w:sz="6" w:space="0"/>
            </w:tcBorders>
            <w:vAlign w:val="center"/>
          </w:tcPr>
          <w:p w14:paraId="3DECA693">
            <w:pPr>
              <w:jc w:val="center"/>
              <w:rPr>
                <w:rFonts w:ascii="宋体" w:hAnsi="宋体"/>
                <w:b/>
                <w:szCs w:val="21"/>
              </w:rPr>
            </w:pPr>
            <w:r>
              <w:rPr>
                <w:rFonts w:ascii="宋体" w:hAnsi="宋体"/>
                <w:b/>
                <w:szCs w:val="21"/>
              </w:rPr>
              <w:t>单位</w:t>
            </w:r>
          </w:p>
        </w:tc>
        <w:tc>
          <w:tcPr>
            <w:tcW w:w="306" w:type="pct"/>
            <w:vMerge w:val="restart"/>
            <w:tcBorders>
              <w:top w:val="single" w:color="auto" w:sz="6" w:space="0"/>
              <w:left w:val="single" w:color="auto" w:sz="6" w:space="0"/>
              <w:right w:val="single" w:color="auto" w:sz="6" w:space="0"/>
            </w:tcBorders>
            <w:vAlign w:val="center"/>
          </w:tcPr>
          <w:p w14:paraId="3ABF34C9">
            <w:pPr>
              <w:jc w:val="center"/>
              <w:rPr>
                <w:rFonts w:ascii="宋体" w:hAnsi="宋体"/>
                <w:b/>
                <w:szCs w:val="21"/>
              </w:rPr>
            </w:pPr>
            <w:r>
              <w:rPr>
                <w:rFonts w:ascii="宋体" w:hAnsi="宋体"/>
                <w:b/>
                <w:szCs w:val="21"/>
              </w:rPr>
              <w:t>数量</w:t>
            </w:r>
          </w:p>
        </w:tc>
        <w:tc>
          <w:tcPr>
            <w:tcW w:w="535" w:type="pct"/>
            <w:vMerge w:val="restart"/>
            <w:tcBorders>
              <w:top w:val="single" w:color="auto" w:sz="6" w:space="0"/>
              <w:left w:val="single" w:color="auto" w:sz="6" w:space="0"/>
              <w:right w:val="single" w:color="auto" w:sz="6" w:space="0"/>
            </w:tcBorders>
            <w:vAlign w:val="center"/>
          </w:tcPr>
          <w:p w14:paraId="5458E5A0">
            <w:pPr>
              <w:jc w:val="center"/>
              <w:rPr>
                <w:rFonts w:ascii="宋体" w:hAnsi="宋体"/>
                <w:b/>
                <w:szCs w:val="21"/>
              </w:rPr>
            </w:pPr>
            <w:r>
              <w:rPr>
                <w:rFonts w:hint="eastAsia" w:ascii="宋体" w:hAnsi="宋体"/>
                <w:b/>
                <w:szCs w:val="21"/>
              </w:rPr>
              <w:t>交货地点</w:t>
            </w:r>
          </w:p>
        </w:tc>
        <w:tc>
          <w:tcPr>
            <w:tcW w:w="993" w:type="pct"/>
            <w:gridSpan w:val="2"/>
            <w:tcBorders>
              <w:top w:val="single" w:color="auto" w:sz="6" w:space="0"/>
              <w:left w:val="single" w:color="auto" w:sz="6" w:space="0"/>
              <w:bottom w:val="single" w:color="auto" w:sz="6" w:space="0"/>
              <w:right w:val="single" w:color="auto" w:sz="6" w:space="0"/>
            </w:tcBorders>
            <w:vAlign w:val="center"/>
          </w:tcPr>
          <w:p w14:paraId="716E0676">
            <w:pPr>
              <w:jc w:val="center"/>
              <w:rPr>
                <w:rFonts w:ascii="宋体" w:hAnsi="宋体"/>
                <w:b/>
                <w:szCs w:val="21"/>
              </w:rPr>
            </w:pPr>
            <w:r>
              <w:rPr>
                <w:rFonts w:hint="eastAsia" w:ascii="宋体" w:hAnsi="宋体"/>
                <w:b/>
                <w:szCs w:val="21"/>
              </w:rPr>
              <w:t>投标方保证</w:t>
            </w:r>
          </w:p>
        </w:tc>
        <w:tc>
          <w:tcPr>
            <w:tcW w:w="803" w:type="pct"/>
            <w:tcBorders>
              <w:top w:val="single" w:color="auto" w:sz="6" w:space="0"/>
              <w:left w:val="single" w:color="auto" w:sz="6" w:space="0"/>
              <w:bottom w:val="single" w:color="auto" w:sz="6" w:space="0"/>
              <w:right w:val="single" w:color="auto" w:sz="6" w:space="0"/>
            </w:tcBorders>
            <w:vAlign w:val="center"/>
          </w:tcPr>
          <w:p w14:paraId="24FAC6D1">
            <w:pPr>
              <w:jc w:val="center"/>
              <w:rPr>
                <w:rFonts w:ascii="宋体" w:hAnsi="宋体"/>
                <w:b/>
                <w:szCs w:val="21"/>
              </w:rPr>
            </w:pPr>
            <w:r>
              <w:rPr>
                <w:rFonts w:ascii="宋体" w:hAnsi="宋体"/>
                <w:b/>
                <w:szCs w:val="21"/>
              </w:rPr>
              <w:t>备注</w:t>
            </w:r>
          </w:p>
        </w:tc>
      </w:tr>
      <w:tr w14:paraId="45B1C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8" w:hRule="atLeast"/>
          <w:tblHeader/>
          <w:jc w:val="center"/>
        </w:trPr>
        <w:tc>
          <w:tcPr>
            <w:tcW w:w="378" w:type="pct"/>
            <w:vMerge w:val="continue"/>
            <w:tcBorders>
              <w:left w:val="single" w:color="auto" w:sz="6" w:space="0"/>
              <w:bottom w:val="single" w:color="auto" w:sz="6" w:space="0"/>
              <w:right w:val="single" w:color="auto" w:sz="6" w:space="0"/>
            </w:tcBorders>
            <w:vAlign w:val="center"/>
          </w:tcPr>
          <w:p w14:paraId="6EC55038">
            <w:pPr>
              <w:jc w:val="center"/>
              <w:rPr>
                <w:rFonts w:ascii="宋体" w:hAnsi="宋体"/>
                <w:b/>
                <w:szCs w:val="21"/>
              </w:rPr>
            </w:pPr>
          </w:p>
        </w:tc>
        <w:tc>
          <w:tcPr>
            <w:tcW w:w="692" w:type="pct"/>
            <w:vMerge w:val="continue"/>
            <w:tcBorders>
              <w:left w:val="single" w:color="auto" w:sz="6" w:space="0"/>
              <w:bottom w:val="single" w:color="auto" w:sz="6" w:space="0"/>
              <w:right w:val="single" w:color="auto" w:sz="6" w:space="0"/>
            </w:tcBorders>
            <w:vAlign w:val="center"/>
          </w:tcPr>
          <w:p w14:paraId="22A36483">
            <w:pPr>
              <w:jc w:val="center"/>
              <w:rPr>
                <w:rFonts w:ascii="宋体" w:hAnsi="宋体"/>
                <w:b/>
                <w:szCs w:val="21"/>
              </w:rPr>
            </w:pPr>
          </w:p>
        </w:tc>
        <w:tc>
          <w:tcPr>
            <w:tcW w:w="989" w:type="pct"/>
            <w:vMerge w:val="continue"/>
            <w:tcBorders>
              <w:left w:val="single" w:color="auto" w:sz="6" w:space="0"/>
              <w:bottom w:val="single" w:color="auto" w:sz="6" w:space="0"/>
              <w:right w:val="single" w:color="auto" w:sz="6" w:space="0"/>
            </w:tcBorders>
            <w:vAlign w:val="center"/>
          </w:tcPr>
          <w:p w14:paraId="7153CC47">
            <w:pPr>
              <w:jc w:val="center"/>
              <w:rPr>
                <w:rFonts w:ascii="宋体" w:hAnsi="宋体"/>
                <w:b/>
                <w:szCs w:val="21"/>
              </w:rPr>
            </w:pPr>
          </w:p>
        </w:tc>
        <w:tc>
          <w:tcPr>
            <w:tcW w:w="304" w:type="pct"/>
            <w:vMerge w:val="continue"/>
            <w:tcBorders>
              <w:left w:val="single" w:color="auto" w:sz="6" w:space="0"/>
              <w:bottom w:val="single" w:color="auto" w:sz="6" w:space="0"/>
              <w:right w:val="single" w:color="auto" w:sz="6" w:space="0"/>
            </w:tcBorders>
            <w:vAlign w:val="center"/>
          </w:tcPr>
          <w:p w14:paraId="36D0C611">
            <w:pPr>
              <w:jc w:val="center"/>
              <w:rPr>
                <w:rFonts w:ascii="宋体" w:hAnsi="宋体"/>
                <w:b/>
                <w:szCs w:val="21"/>
              </w:rPr>
            </w:pPr>
          </w:p>
        </w:tc>
        <w:tc>
          <w:tcPr>
            <w:tcW w:w="306" w:type="pct"/>
            <w:vMerge w:val="continue"/>
            <w:tcBorders>
              <w:left w:val="single" w:color="auto" w:sz="6" w:space="0"/>
              <w:bottom w:val="single" w:color="auto" w:sz="6" w:space="0"/>
              <w:right w:val="single" w:color="auto" w:sz="6" w:space="0"/>
            </w:tcBorders>
            <w:vAlign w:val="center"/>
          </w:tcPr>
          <w:p w14:paraId="024B40D6">
            <w:pPr>
              <w:jc w:val="center"/>
              <w:rPr>
                <w:rFonts w:ascii="宋体" w:hAnsi="宋体"/>
                <w:b/>
                <w:szCs w:val="21"/>
              </w:rPr>
            </w:pPr>
          </w:p>
        </w:tc>
        <w:tc>
          <w:tcPr>
            <w:tcW w:w="535" w:type="pct"/>
            <w:vMerge w:val="continue"/>
            <w:tcBorders>
              <w:left w:val="single" w:color="auto" w:sz="6" w:space="0"/>
              <w:bottom w:val="single" w:color="auto" w:sz="6" w:space="0"/>
              <w:right w:val="single" w:color="auto" w:sz="6" w:space="0"/>
            </w:tcBorders>
            <w:vAlign w:val="center"/>
          </w:tcPr>
          <w:p w14:paraId="1C03103C">
            <w:pPr>
              <w:jc w:val="center"/>
              <w:rPr>
                <w:rFonts w:ascii="宋体" w:hAnsi="宋体"/>
                <w:b/>
                <w:szCs w:val="21"/>
              </w:rPr>
            </w:pPr>
          </w:p>
        </w:tc>
        <w:tc>
          <w:tcPr>
            <w:tcW w:w="306" w:type="pct"/>
            <w:tcBorders>
              <w:top w:val="single" w:color="auto" w:sz="6" w:space="0"/>
              <w:left w:val="single" w:color="auto" w:sz="6" w:space="0"/>
              <w:bottom w:val="single" w:color="auto" w:sz="6" w:space="0"/>
              <w:right w:val="single" w:color="auto" w:sz="6" w:space="0"/>
            </w:tcBorders>
            <w:vAlign w:val="center"/>
          </w:tcPr>
          <w:p w14:paraId="3C929402">
            <w:pPr>
              <w:jc w:val="center"/>
              <w:rPr>
                <w:rFonts w:ascii="宋体" w:hAnsi="宋体"/>
                <w:b/>
                <w:szCs w:val="21"/>
              </w:rPr>
            </w:pPr>
            <w:r>
              <w:rPr>
                <w:rFonts w:ascii="宋体" w:hAnsi="宋体"/>
                <w:b/>
                <w:szCs w:val="21"/>
              </w:rPr>
              <w:t>数量</w:t>
            </w:r>
          </w:p>
        </w:tc>
        <w:tc>
          <w:tcPr>
            <w:tcW w:w="687" w:type="pct"/>
            <w:tcBorders>
              <w:top w:val="single" w:color="auto" w:sz="6" w:space="0"/>
              <w:left w:val="single" w:color="auto" w:sz="6" w:space="0"/>
              <w:bottom w:val="single" w:color="auto" w:sz="6" w:space="0"/>
              <w:right w:val="single" w:color="auto" w:sz="6" w:space="0"/>
            </w:tcBorders>
            <w:vAlign w:val="center"/>
          </w:tcPr>
          <w:p w14:paraId="5E44E2C6">
            <w:pPr>
              <w:jc w:val="center"/>
              <w:rPr>
                <w:rFonts w:ascii="宋体" w:hAnsi="宋体"/>
                <w:b/>
                <w:szCs w:val="21"/>
              </w:rPr>
            </w:pPr>
            <w:r>
              <w:rPr>
                <w:rFonts w:ascii="宋体" w:hAnsi="宋体"/>
                <w:b/>
                <w:szCs w:val="21"/>
              </w:rPr>
              <w:t>规 格</w:t>
            </w:r>
          </w:p>
        </w:tc>
        <w:tc>
          <w:tcPr>
            <w:tcW w:w="803" w:type="pct"/>
            <w:tcBorders>
              <w:top w:val="single" w:color="auto" w:sz="6" w:space="0"/>
              <w:left w:val="single" w:color="auto" w:sz="6" w:space="0"/>
              <w:bottom w:val="single" w:color="auto" w:sz="6" w:space="0"/>
              <w:right w:val="single" w:color="auto" w:sz="6" w:space="0"/>
            </w:tcBorders>
            <w:vAlign w:val="center"/>
          </w:tcPr>
          <w:p w14:paraId="13BC9BCD">
            <w:pPr>
              <w:jc w:val="center"/>
              <w:rPr>
                <w:rFonts w:ascii="宋体" w:hAnsi="宋体"/>
                <w:b/>
                <w:szCs w:val="21"/>
              </w:rPr>
            </w:pPr>
          </w:p>
        </w:tc>
      </w:tr>
      <w:tr w14:paraId="6AB82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3"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4F498358">
            <w:pPr>
              <w:jc w:val="center"/>
              <w:rPr>
                <w:rFonts w:ascii="宋体" w:hAnsi="宋体"/>
                <w:szCs w:val="21"/>
              </w:rPr>
            </w:pPr>
            <w:r>
              <w:rPr>
                <w:rFonts w:hint="eastAsia" w:ascii="宋体" w:hAnsi="宋体"/>
                <w:szCs w:val="21"/>
              </w:rPr>
              <w:t>1</w:t>
            </w:r>
          </w:p>
        </w:tc>
        <w:tc>
          <w:tcPr>
            <w:tcW w:w="692" w:type="pct"/>
            <w:tcBorders>
              <w:top w:val="single" w:color="auto" w:sz="6" w:space="0"/>
              <w:left w:val="single" w:color="auto" w:sz="6" w:space="0"/>
              <w:bottom w:val="single" w:color="auto" w:sz="6" w:space="0"/>
              <w:right w:val="single" w:color="auto" w:sz="6" w:space="0"/>
            </w:tcBorders>
            <w:vAlign w:val="center"/>
          </w:tcPr>
          <w:p w14:paraId="5240A7B3">
            <w:pPr>
              <w:jc w:val="center"/>
              <w:rPr>
                <w:rFonts w:ascii="宋体" w:hAnsi="宋体"/>
                <w:szCs w:val="21"/>
              </w:rPr>
            </w:pPr>
            <w:r>
              <w:rPr>
                <w:rFonts w:hint="eastAsia" w:ascii="宋体" w:hAnsi="宋体"/>
                <w:szCs w:val="21"/>
              </w:rPr>
              <w:t>500kV交流交联聚乙烯绝缘光纤复合海底电缆及附件</w:t>
            </w:r>
          </w:p>
        </w:tc>
        <w:tc>
          <w:tcPr>
            <w:tcW w:w="989" w:type="pct"/>
            <w:tcBorders>
              <w:top w:val="single" w:color="auto" w:sz="6" w:space="0"/>
              <w:left w:val="single" w:color="auto" w:sz="6" w:space="0"/>
              <w:bottom w:val="single" w:color="auto" w:sz="6" w:space="0"/>
              <w:right w:val="single" w:color="auto" w:sz="6" w:space="0"/>
            </w:tcBorders>
            <w:vAlign w:val="center"/>
          </w:tcPr>
          <w:p w14:paraId="156E6AFA">
            <w:pPr>
              <w:jc w:val="center"/>
              <w:rPr>
                <w:rFonts w:ascii="宋体" w:hAnsi="宋体"/>
                <w:szCs w:val="21"/>
              </w:rPr>
            </w:pPr>
            <w:r>
              <w:rPr>
                <w:rFonts w:hint="eastAsia" w:ascii="宋体" w:hAnsi="宋体"/>
                <w:szCs w:val="21"/>
              </w:rPr>
              <w:t>详见各个子项</w:t>
            </w:r>
          </w:p>
        </w:tc>
        <w:tc>
          <w:tcPr>
            <w:tcW w:w="304" w:type="pct"/>
            <w:tcBorders>
              <w:top w:val="single" w:color="auto" w:sz="6" w:space="0"/>
              <w:left w:val="single" w:color="auto" w:sz="6" w:space="0"/>
              <w:bottom w:val="single" w:color="auto" w:sz="6" w:space="0"/>
              <w:right w:val="single" w:color="auto" w:sz="6" w:space="0"/>
            </w:tcBorders>
            <w:vAlign w:val="center"/>
          </w:tcPr>
          <w:p w14:paraId="480AB058">
            <w:pPr>
              <w:jc w:val="center"/>
              <w:rPr>
                <w:rFonts w:ascii="宋体" w:hAnsi="宋体"/>
                <w:szCs w:val="21"/>
              </w:rPr>
            </w:pPr>
            <w:r>
              <w:rPr>
                <w:rFonts w:ascii="宋体" w:hAnsi="宋体"/>
                <w:szCs w:val="21"/>
              </w:rPr>
              <w:t>km</w:t>
            </w:r>
          </w:p>
        </w:tc>
        <w:tc>
          <w:tcPr>
            <w:tcW w:w="306" w:type="pct"/>
            <w:tcBorders>
              <w:top w:val="single" w:color="auto" w:sz="6" w:space="0"/>
              <w:left w:val="single" w:color="auto" w:sz="6" w:space="0"/>
              <w:bottom w:val="single" w:color="auto" w:sz="6" w:space="0"/>
              <w:right w:val="single" w:color="auto" w:sz="6" w:space="0"/>
            </w:tcBorders>
            <w:vAlign w:val="center"/>
          </w:tcPr>
          <w:p w14:paraId="5D1BEA4C">
            <w:pPr>
              <w:jc w:val="center"/>
              <w:rPr>
                <w:rFonts w:ascii="宋体" w:hAnsi="宋体"/>
                <w:szCs w:val="21"/>
              </w:rPr>
            </w:pPr>
            <w:r>
              <w:rPr>
                <w:rFonts w:hint="eastAsia" w:ascii="宋体" w:hAnsi="宋体"/>
                <w:szCs w:val="21"/>
              </w:rPr>
              <w:t>3</w:t>
            </w:r>
            <w:r>
              <w:rPr>
                <w:rFonts w:ascii="宋体" w:hAnsi="宋体"/>
                <w:szCs w:val="21"/>
              </w:rPr>
              <w:t>7.9</w:t>
            </w:r>
          </w:p>
        </w:tc>
        <w:tc>
          <w:tcPr>
            <w:tcW w:w="535" w:type="pct"/>
            <w:tcBorders>
              <w:top w:val="single" w:color="auto" w:sz="6" w:space="0"/>
              <w:left w:val="single" w:color="auto" w:sz="6" w:space="0"/>
              <w:bottom w:val="single" w:color="auto" w:sz="6" w:space="0"/>
              <w:right w:val="single" w:color="auto" w:sz="6" w:space="0"/>
            </w:tcBorders>
            <w:vAlign w:val="center"/>
          </w:tcPr>
          <w:p w14:paraId="12F846A5">
            <w:pPr>
              <w:autoSpaceDE w:val="0"/>
              <w:autoSpaceDN w:val="0"/>
              <w:adjustRightInd w:val="0"/>
              <w:jc w:val="center"/>
              <w:rPr>
                <w:rFonts w:ascii="宋体" w:hAnsi="宋体"/>
                <w:szCs w:val="21"/>
              </w:rPr>
            </w:pPr>
          </w:p>
        </w:tc>
        <w:tc>
          <w:tcPr>
            <w:tcW w:w="306" w:type="pct"/>
            <w:tcBorders>
              <w:top w:val="single" w:color="auto" w:sz="6" w:space="0"/>
              <w:left w:val="single" w:color="auto" w:sz="6" w:space="0"/>
              <w:bottom w:val="single" w:color="auto" w:sz="6" w:space="0"/>
              <w:right w:val="single" w:color="auto" w:sz="6" w:space="0"/>
            </w:tcBorders>
            <w:vAlign w:val="center"/>
          </w:tcPr>
          <w:p w14:paraId="59BAE408">
            <w:pPr>
              <w:autoSpaceDE w:val="0"/>
              <w:autoSpaceDN w:val="0"/>
              <w:adjustRightInd w:val="0"/>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71CAFAAB">
            <w:pPr>
              <w:autoSpaceDE w:val="0"/>
              <w:autoSpaceDN w:val="0"/>
              <w:adjustRightInd w:val="0"/>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12FF6451">
            <w:pPr>
              <w:autoSpaceDE w:val="0"/>
              <w:autoSpaceDN w:val="0"/>
              <w:adjustRightInd w:val="0"/>
              <w:jc w:val="center"/>
              <w:rPr>
                <w:rFonts w:ascii="宋体" w:hAnsi="宋体"/>
                <w:szCs w:val="21"/>
              </w:rPr>
            </w:pPr>
          </w:p>
        </w:tc>
      </w:tr>
      <w:tr w14:paraId="4FA9F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26"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354A3D7D">
            <w:pPr>
              <w:jc w:val="center"/>
              <w:rPr>
                <w:rFonts w:ascii="宋体" w:hAnsi="宋体"/>
                <w:szCs w:val="21"/>
              </w:rPr>
            </w:pPr>
            <w:r>
              <w:rPr>
                <w:rFonts w:ascii="宋体" w:hAnsi="宋体"/>
                <w:szCs w:val="21"/>
              </w:rPr>
              <w:t>1.1</w:t>
            </w:r>
          </w:p>
        </w:tc>
        <w:tc>
          <w:tcPr>
            <w:tcW w:w="692" w:type="pct"/>
            <w:tcBorders>
              <w:top w:val="single" w:color="auto" w:sz="6" w:space="0"/>
              <w:left w:val="single" w:color="auto" w:sz="6" w:space="0"/>
              <w:bottom w:val="single" w:color="auto" w:sz="6" w:space="0"/>
              <w:right w:val="single" w:color="auto" w:sz="6" w:space="0"/>
            </w:tcBorders>
            <w:vAlign w:val="center"/>
          </w:tcPr>
          <w:p w14:paraId="7C25B94D">
            <w:pPr>
              <w:jc w:val="center"/>
              <w:rPr>
                <w:rFonts w:ascii="宋体" w:hAnsi="宋体"/>
                <w:szCs w:val="21"/>
              </w:rPr>
            </w:pPr>
            <w:r>
              <w:rPr>
                <w:rFonts w:hint="eastAsia" w:ascii="宋体" w:hAnsi="宋体"/>
                <w:szCs w:val="21"/>
              </w:rPr>
              <w:t>500kV交流用交联聚乙烯绝缘光纤复合海底电缆（钢丝铠装）</w:t>
            </w:r>
          </w:p>
        </w:tc>
        <w:tc>
          <w:tcPr>
            <w:tcW w:w="989" w:type="pct"/>
            <w:tcBorders>
              <w:top w:val="single" w:color="auto" w:sz="6" w:space="0"/>
              <w:left w:val="single" w:color="auto" w:sz="6" w:space="0"/>
              <w:bottom w:val="single" w:color="auto" w:sz="6" w:space="0"/>
              <w:right w:val="single" w:color="auto" w:sz="6" w:space="0"/>
            </w:tcBorders>
            <w:vAlign w:val="center"/>
          </w:tcPr>
          <w:p w14:paraId="4E42B775">
            <w:pPr>
              <w:jc w:val="center"/>
              <w:rPr>
                <w:rFonts w:ascii="宋体" w:hAnsi="宋体"/>
                <w:szCs w:val="21"/>
              </w:rPr>
            </w:pPr>
            <w:r>
              <w:rPr>
                <w:rFonts w:hint="eastAsia" w:ascii="宋体" w:hAnsi="宋体"/>
                <w:szCs w:val="21"/>
              </w:rPr>
              <w:t>500kV铜芯交联聚乙烯绝缘分相铅套半导电聚乙烯外护套粗圆钢丝铠装聚丙烯纤维外被层光纤复合3芯海底电缆</w:t>
            </w:r>
          </w:p>
          <w:p w14:paraId="7084E056">
            <w:pPr>
              <w:jc w:val="center"/>
              <w:rPr>
                <w:rFonts w:ascii="宋体" w:hAnsi="宋体"/>
                <w:szCs w:val="21"/>
              </w:rPr>
            </w:pPr>
            <w:r>
              <w:rPr>
                <w:rFonts w:ascii="宋体" w:hAnsi="宋体"/>
                <w:szCs w:val="21"/>
              </w:rPr>
              <w:t>HYJQF41-F 290/500 3×1000+3×</w:t>
            </w:r>
            <w:r>
              <w:rPr>
                <w:rFonts w:hint="eastAsia" w:ascii="宋体" w:hAnsi="宋体"/>
                <w:szCs w:val="21"/>
              </w:rPr>
              <w:t>96</w:t>
            </w:r>
            <w:r>
              <w:rPr>
                <w:rFonts w:ascii="宋体" w:hAnsi="宋体"/>
                <w:szCs w:val="21"/>
              </w:rPr>
              <w:t>B1</w:t>
            </w:r>
          </w:p>
        </w:tc>
        <w:tc>
          <w:tcPr>
            <w:tcW w:w="304" w:type="pct"/>
            <w:tcBorders>
              <w:top w:val="single" w:color="auto" w:sz="6" w:space="0"/>
              <w:left w:val="single" w:color="auto" w:sz="6" w:space="0"/>
              <w:bottom w:val="single" w:color="auto" w:sz="6" w:space="0"/>
              <w:right w:val="single" w:color="auto" w:sz="6" w:space="0"/>
            </w:tcBorders>
            <w:vAlign w:val="center"/>
          </w:tcPr>
          <w:p w14:paraId="349F4578">
            <w:pPr>
              <w:jc w:val="center"/>
              <w:rPr>
                <w:rFonts w:ascii="宋体" w:hAnsi="宋体"/>
                <w:szCs w:val="21"/>
              </w:rPr>
            </w:pPr>
            <w:r>
              <w:rPr>
                <w:rFonts w:ascii="宋体" w:hAnsi="宋体"/>
                <w:szCs w:val="21"/>
              </w:rPr>
              <w:t>km</w:t>
            </w:r>
          </w:p>
        </w:tc>
        <w:tc>
          <w:tcPr>
            <w:tcW w:w="306" w:type="pct"/>
            <w:tcBorders>
              <w:top w:val="single" w:color="auto" w:sz="6" w:space="0"/>
              <w:left w:val="single" w:color="auto" w:sz="6" w:space="0"/>
              <w:bottom w:val="single" w:color="auto" w:sz="6" w:space="0"/>
              <w:right w:val="single" w:color="auto" w:sz="6" w:space="0"/>
            </w:tcBorders>
            <w:vAlign w:val="center"/>
          </w:tcPr>
          <w:p w14:paraId="5D38DABE">
            <w:pPr>
              <w:jc w:val="center"/>
              <w:rPr>
                <w:rFonts w:ascii="宋体" w:hAnsi="宋体"/>
                <w:szCs w:val="21"/>
              </w:rPr>
            </w:pPr>
            <w:r>
              <w:rPr>
                <w:rFonts w:hint="eastAsia" w:ascii="宋体" w:hAnsi="宋体"/>
                <w:szCs w:val="21"/>
              </w:rPr>
              <w:t>35.1</w:t>
            </w:r>
          </w:p>
        </w:tc>
        <w:tc>
          <w:tcPr>
            <w:tcW w:w="535" w:type="pct"/>
            <w:tcBorders>
              <w:top w:val="single" w:color="auto" w:sz="6" w:space="0"/>
              <w:left w:val="single" w:color="auto" w:sz="6" w:space="0"/>
              <w:bottom w:val="single" w:color="auto" w:sz="6" w:space="0"/>
              <w:right w:val="single" w:color="auto" w:sz="6" w:space="0"/>
            </w:tcBorders>
            <w:vAlign w:val="center"/>
          </w:tcPr>
          <w:p w14:paraId="692C962B">
            <w:pPr>
              <w:autoSpaceDE w:val="0"/>
              <w:autoSpaceDN w:val="0"/>
              <w:adjustRightInd w:val="0"/>
              <w:jc w:val="center"/>
              <w:rPr>
                <w:rFonts w:ascii="宋体" w:hAnsi="宋体"/>
                <w:szCs w:val="21"/>
              </w:rPr>
            </w:pPr>
            <w:r>
              <w:rPr>
                <w:rFonts w:hint="eastAsia" w:ascii="宋体" w:hAnsi="宋体"/>
              </w:rPr>
              <w:t>海缆生产厂家码头</w:t>
            </w:r>
          </w:p>
        </w:tc>
        <w:tc>
          <w:tcPr>
            <w:tcW w:w="306" w:type="pct"/>
            <w:tcBorders>
              <w:top w:val="single" w:color="auto" w:sz="6" w:space="0"/>
              <w:left w:val="single" w:color="auto" w:sz="6" w:space="0"/>
              <w:bottom w:val="single" w:color="auto" w:sz="6" w:space="0"/>
              <w:right w:val="single" w:color="auto" w:sz="6" w:space="0"/>
            </w:tcBorders>
            <w:vAlign w:val="center"/>
          </w:tcPr>
          <w:p w14:paraId="6E89E615">
            <w:pPr>
              <w:autoSpaceDE w:val="0"/>
              <w:autoSpaceDN w:val="0"/>
              <w:adjustRightInd w:val="0"/>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3B4C9423">
            <w:pPr>
              <w:autoSpaceDE w:val="0"/>
              <w:autoSpaceDN w:val="0"/>
              <w:adjustRightInd w:val="0"/>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03DBDAC2">
            <w:pPr>
              <w:autoSpaceDE w:val="0"/>
              <w:autoSpaceDN w:val="0"/>
              <w:adjustRightInd w:val="0"/>
              <w:jc w:val="center"/>
              <w:rPr>
                <w:rFonts w:ascii="宋体" w:hAnsi="宋体" w:cs="五"/>
                <w:b/>
                <w:bCs/>
                <w:color w:val="000000"/>
                <w:szCs w:val="21"/>
              </w:rPr>
            </w:pPr>
            <w:r>
              <w:rPr>
                <w:rFonts w:ascii="宋体" w:hAnsi="宋体"/>
                <w:szCs w:val="21"/>
              </w:rPr>
              <w:t>一、</w:t>
            </w:r>
            <w:r>
              <w:rPr>
                <w:rFonts w:hint="eastAsia" w:ascii="宋体" w:hAnsi="宋体"/>
                <w:szCs w:val="21"/>
              </w:rPr>
              <w:t>投标方工厂</w:t>
            </w:r>
            <w:r>
              <w:rPr>
                <w:rFonts w:ascii="宋体" w:hAnsi="宋体"/>
                <w:szCs w:val="21"/>
              </w:rPr>
              <w:t>接头（若有）属于本标段供货范围</w:t>
            </w:r>
            <w:r>
              <w:rPr>
                <w:rFonts w:hint="eastAsia" w:ascii="宋体" w:hAnsi="宋体"/>
                <w:szCs w:val="21"/>
              </w:rPr>
              <w:t>，</w:t>
            </w:r>
            <w:r>
              <w:rPr>
                <w:rFonts w:ascii="宋体" w:hAnsi="宋体"/>
                <w:szCs w:val="21"/>
              </w:rPr>
              <w:t>并</w:t>
            </w:r>
            <w:r>
              <w:rPr>
                <w:rFonts w:hint="eastAsia" w:ascii="宋体" w:hAnsi="宋体"/>
                <w:szCs w:val="21"/>
              </w:rPr>
              <w:t>在投标文件中</w:t>
            </w:r>
            <w:r>
              <w:rPr>
                <w:rFonts w:ascii="宋体" w:hAnsi="宋体"/>
                <w:szCs w:val="21"/>
              </w:rPr>
              <w:t>提供详细说明。</w:t>
            </w:r>
          </w:p>
          <w:p w14:paraId="2464085D">
            <w:pPr>
              <w:jc w:val="center"/>
              <w:rPr>
                <w:rFonts w:ascii="宋体" w:hAnsi="宋体"/>
                <w:szCs w:val="21"/>
              </w:rPr>
            </w:pPr>
            <w:r>
              <w:rPr>
                <w:rFonts w:ascii="宋体" w:hAnsi="宋体"/>
                <w:szCs w:val="21"/>
              </w:rPr>
              <w:t>二、</w:t>
            </w:r>
            <w:r>
              <w:rPr>
                <w:rFonts w:hint="eastAsia" w:ascii="宋体" w:hAnsi="宋体"/>
                <w:szCs w:val="21"/>
              </w:rPr>
              <w:t>长度</w:t>
            </w:r>
            <w:r>
              <w:rPr>
                <w:rFonts w:ascii="宋体" w:hAnsi="宋体"/>
                <w:szCs w:val="21"/>
              </w:rPr>
              <w:t>以</w:t>
            </w:r>
            <w:r>
              <w:rPr>
                <w:rFonts w:hint="eastAsia" w:ascii="宋体" w:hAnsi="宋体"/>
                <w:szCs w:val="21"/>
              </w:rPr>
              <w:t>设计联络会确认结果</w:t>
            </w:r>
            <w:r>
              <w:rPr>
                <w:rFonts w:ascii="宋体" w:hAnsi="宋体"/>
                <w:szCs w:val="21"/>
              </w:rPr>
              <w:t>为准，</w:t>
            </w:r>
            <w:r>
              <w:rPr>
                <w:rFonts w:hint="eastAsia" w:ascii="宋体" w:hAnsi="宋体"/>
                <w:szCs w:val="21"/>
              </w:rPr>
              <w:t>实际</w:t>
            </w:r>
            <w:r>
              <w:rPr>
                <w:rFonts w:ascii="宋体" w:hAnsi="宋体"/>
                <w:szCs w:val="21"/>
              </w:rPr>
              <w:t>生产</w:t>
            </w:r>
            <w:r>
              <w:rPr>
                <w:rFonts w:hint="eastAsia" w:ascii="宋体" w:hAnsi="宋体"/>
                <w:szCs w:val="21"/>
              </w:rPr>
              <w:t>制造</w:t>
            </w:r>
            <w:r>
              <w:rPr>
                <w:rFonts w:ascii="宋体" w:hAnsi="宋体"/>
                <w:szCs w:val="21"/>
              </w:rPr>
              <w:t>长度需经招标方确认。</w:t>
            </w:r>
          </w:p>
          <w:p w14:paraId="2CA1A0FE">
            <w:pPr>
              <w:jc w:val="center"/>
              <w:rPr>
                <w:rFonts w:ascii="宋体" w:hAnsi="宋体"/>
                <w:szCs w:val="21"/>
              </w:rPr>
            </w:pPr>
            <w:r>
              <w:rPr>
                <w:rFonts w:hint="eastAsia" w:ascii="宋体" w:hAnsi="宋体"/>
                <w:szCs w:val="21"/>
              </w:rPr>
              <w:t>三、与序号1</w:t>
            </w:r>
            <w:r>
              <w:rPr>
                <w:rFonts w:ascii="宋体" w:hAnsi="宋体"/>
                <w:szCs w:val="21"/>
              </w:rPr>
              <w:t>.</w:t>
            </w:r>
            <w:r>
              <w:rPr>
                <w:rFonts w:hint="eastAsia" w:ascii="宋体" w:hAnsi="宋体"/>
                <w:szCs w:val="21"/>
              </w:rPr>
              <w:t>2合并制造，单根连续总制造长度约（</w:t>
            </w:r>
            <w:r>
              <w:rPr>
                <w:rFonts w:ascii="宋体" w:hAnsi="宋体"/>
                <w:szCs w:val="21"/>
              </w:rPr>
              <w:t>35</w:t>
            </w:r>
            <w:r>
              <w:rPr>
                <w:rFonts w:hint="eastAsia" w:ascii="宋体" w:hAnsi="宋体"/>
                <w:szCs w:val="21"/>
              </w:rPr>
              <w:t>.1km钢丝铠装+</w:t>
            </w:r>
            <w:r>
              <w:rPr>
                <w:rFonts w:ascii="宋体" w:hAnsi="宋体"/>
                <w:szCs w:val="21"/>
              </w:rPr>
              <w:t>2</w:t>
            </w:r>
            <w:r>
              <w:rPr>
                <w:rFonts w:hint="eastAsia" w:ascii="宋体" w:hAnsi="宋体"/>
                <w:szCs w:val="21"/>
              </w:rPr>
              <w:t>.5km铜丝铠装），具体铠装分布情况以设计联络会确认结果</w:t>
            </w:r>
            <w:r>
              <w:rPr>
                <w:rFonts w:ascii="宋体" w:hAnsi="宋体"/>
                <w:szCs w:val="21"/>
              </w:rPr>
              <w:t>为准</w:t>
            </w:r>
            <w:r>
              <w:rPr>
                <w:rFonts w:hint="eastAsia" w:ascii="宋体" w:hAnsi="宋体"/>
                <w:szCs w:val="21"/>
              </w:rPr>
              <w:t>。</w:t>
            </w:r>
          </w:p>
        </w:tc>
      </w:tr>
      <w:tr w14:paraId="00E77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26"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463C4FC6">
            <w:pPr>
              <w:jc w:val="center"/>
              <w:rPr>
                <w:rFonts w:ascii="宋体" w:hAnsi="宋体"/>
                <w:szCs w:val="21"/>
              </w:rPr>
            </w:pPr>
            <w:r>
              <w:rPr>
                <w:rFonts w:ascii="宋体" w:hAnsi="宋体"/>
                <w:szCs w:val="21"/>
              </w:rPr>
              <w:t>1.2</w:t>
            </w:r>
          </w:p>
        </w:tc>
        <w:tc>
          <w:tcPr>
            <w:tcW w:w="692" w:type="pct"/>
            <w:tcBorders>
              <w:top w:val="single" w:color="auto" w:sz="6" w:space="0"/>
              <w:left w:val="single" w:color="auto" w:sz="6" w:space="0"/>
              <w:bottom w:val="single" w:color="auto" w:sz="6" w:space="0"/>
              <w:right w:val="single" w:color="auto" w:sz="6" w:space="0"/>
            </w:tcBorders>
            <w:vAlign w:val="center"/>
          </w:tcPr>
          <w:p w14:paraId="12CD26B7">
            <w:pPr>
              <w:jc w:val="center"/>
              <w:rPr>
                <w:rFonts w:ascii="宋体" w:hAnsi="宋体"/>
                <w:szCs w:val="21"/>
              </w:rPr>
            </w:pPr>
            <w:r>
              <w:rPr>
                <w:rFonts w:hint="eastAsia" w:ascii="宋体" w:hAnsi="宋体"/>
                <w:szCs w:val="21"/>
              </w:rPr>
              <w:t>500kV交流用交联聚乙烯绝缘光纤复合海底电缆（铜丝铠装）</w:t>
            </w:r>
          </w:p>
        </w:tc>
        <w:tc>
          <w:tcPr>
            <w:tcW w:w="989" w:type="pct"/>
            <w:tcBorders>
              <w:top w:val="single" w:color="auto" w:sz="6" w:space="0"/>
              <w:left w:val="single" w:color="auto" w:sz="6" w:space="0"/>
              <w:bottom w:val="single" w:color="auto" w:sz="6" w:space="0"/>
              <w:right w:val="single" w:color="auto" w:sz="6" w:space="0"/>
            </w:tcBorders>
            <w:vAlign w:val="center"/>
          </w:tcPr>
          <w:p w14:paraId="6352EE67">
            <w:pPr>
              <w:jc w:val="center"/>
              <w:rPr>
                <w:rFonts w:ascii="宋体" w:hAnsi="宋体"/>
                <w:szCs w:val="21"/>
              </w:rPr>
            </w:pPr>
            <w:r>
              <w:rPr>
                <w:rFonts w:hint="eastAsia" w:ascii="宋体" w:hAnsi="宋体"/>
                <w:szCs w:val="21"/>
              </w:rPr>
              <w:t>500kV铜芯交联聚乙烯绝缘分相铅套半导电聚乙烯外护套圆铜丝铠装聚丙烯纤维外被层光纤复合3芯海底电缆</w:t>
            </w:r>
          </w:p>
          <w:p w14:paraId="7F90E0E5">
            <w:pPr>
              <w:jc w:val="center"/>
              <w:rPr>
                <w:rFonts w:ascii="宋体" w:hAnsi="宋体"/>
                <w:szCs w:val="21"/>
              </w:rPr>
            </w:pPr>
            <w:r>
              <w:rPr>
                <w:rFonts w:ascii="宋体" w:hAnsi="宋体"/>
                <w:szCs w:val="21"/>
              </w:rPr>
              <w:t>HYJQF71-F 290/500 3×1000+3×</w:t>
            </w:r>
            <w:r>
              <w:rPr>
                <w:rFonts w:hint="eastAsia" w:ascii="宋体" w:hAnsi="宋体"/>
                <w:szCs w:val="21"/>
              </w:rPr>
              <w:t>96</w:t>
            </w:r>
            <w:r>
              <w:rPr>
                <w:rFonts w:ascii="宋体" w:hAnsi="宋体"/>
                <w:szCs w:val="21"/>
              </w:rPr>
              <w:t>B1</w:t>
            </w:r>
          </w:p>
        </w:tc>
        <w:tc>
          <w:tcPr>
            <w:tcW w:w="304" w:type="pct"/>
            <w:tcBorders>
              <w:top w:val="single" w:color="auto" w:sz="6" w:space="0"/>
              <w:left w:val="single" w:color="auto" w:sz="6" w:space="0"/>
              <w:bottom w:val="single" w:color="auto" w:sz="6" w:space="0"/>
              <w:right w:val="single" w:color="auto" w:sz="6" w:space="0"/>
            </w:tcBorders>
            <w:vAlign w:val="center"/>
          </w:tcPr>
          <w:p w14:paraId="7410BE94">
            <w:pPr>
              <w:jc w:val="center"/>
              <w:rPr>
                <w:rFonts w:ascii="宋体" w:hAnsi="宋体"/>
                <w:szCs w:val="21"/>
              </w:rPr>
            </w:pPr>
            <w:r>
              <w:rPr>
                <w:rFonts w:hint="eastAsia" w:ascii="宋体" w:hAnsi="宋体"/>
                <w:szCs w:val="21"/>
              </w:rPr>
              <w:t>km</w:t>
            </w:r>
          </w:p>
        </w:tc>
        <w:tc>
          <w:tcPr>
            <w:tcW w:w="306" w:type="pct"/>
            <w:tcBorders>
              <w:top w:val="single" w:color="auto" w:sz="6" w:space="0"/>
              <w:left w:val="single" w:color="auto" w:sz="6" w:space="0"/>
              <w:bottom w:val="single" w:color="auto" w:sz="6" w:space="0"/>
              <w:right w:val="single" w:color="auto" w:sz="6" w:space="0"/>
            </w:tcBorders>
            <w:vAlign w:val="center"/>
          </w:tcPr>
          <w:p w14:paraId="416C2AAD">
            <w:pPr>
              <w:jc w:val="center"/>
              <w:rPr>
                <w:rFonts w:ascii="宋体" w:hAnsi="宋体"/>
                <w:szCs w:val="21"/>
              </w:rPr>
            </w:pPr>
            <w:r>
              <w:rPr>
                <w:rFonts w:hint="eastAsia" w:ascii="宋体" w:hAnsi="宋体"/>
                <w:szCs w:val="21"/>
              </w:rPr>
              <w:t>2.5</w:t>
            </w:r>
          </w:p>
        </w:tc>
        <w:tc>
          <w:tcPr>
            <w:tcW w:w="535" w:type="pct"/>
            <w:tcBorders>
              <w:top w:val="single" w:color="auto" w:sz="6" w:space="0"/>
              <w:left w:val="single" w:color="auto" w:sz="6" w:space="0"/>
              <w:bottom w:val="single" w:color="auto" w:sz="6" w:space="0"/>
              <w:right w:val="single" w:color="auto" w:sz="6" w:space="0"/>
            </w:tcBorders>
            <w:vAlign w:val="center"/>
          </w:tcPr>
          <w:p w14:paraId="6DAE12E0">
            <w:pPr>
              <w:autoSpaceDE w:val="0"/>
              <w:autoSpaceDN w:val="0"/>
              <w:adjustRightInd w:val="0"/>
              <w:jc w:val="center"/>
              <w:rPr>
                <w:rFonts w:ascii="宋体" w:hAnsi="宋体"/>
                <w:szCs w:val="21"/>
              </w:rPr>
            </w:pPr>
            <w:r>
              <w:rPr>
                <w:rFonts w:hint="eastAsia" w:ascii="宋体" w:hAnsi="宋体"/>
              </w:rPr>
              <w:t>海缆生产厂家码头</w:t>
            </w:r>
          </w:p>
        </w:tc>
        <w:tc>
          <w:tcPr>
            <w:tcW w:w="306" w:type="pct"/>
            <w:tcBorders>
              <w:top w:val="single" w:color="auto" w:sz="6" w:space="0"/>
              <w:left w:val="single" w:color="auto" w:sz="6" w:space="0"/>
              <w:bottom w:val="single" w:color="auto" w:sz="6" w:space="0"/>
              <w:right w:val="single" w:color="auto" w:sz="6" w:space="0"/>
            </w:tcBorders>
            <w:vAlign w:val="center"/>
          </w:tcPr>
          <w:p w14:paraId="4A170805">
            <w:pPr>
              <w:autoSpaceDE w:val="0"/>
              <w:autoSpaceDN w:val="0"/>
              <w:adjustRightInd w:val="0"/>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709B9057">
            <w:pPr>
              <w:autoSpaceDE w:val="0"/>
              <w:autoSpaceDN w:val="0"/>
              <w:adjustRightInd w:val="0"/>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1AFD425C">
            <w:pPr>
              <w:autoSpaceDE w:val="0"/>
              <w:autoSpaceDN w:val="0"/>
              <w:adjustRightInd w:val="0"/>
              <w:jc w:val="center"/>
              <w:rPr>
                <w:rFonts w:ascii="宋体" w:hAnsi="宋体"/>
                <w:szCs w:val="21"/>
              </w:rPr>
            </w:pPr>
            <w:r>
              <w:rPr>
                <w:rFonts w:hint="eastAsia" w:ascii="宋体" w:hAnsi="宋体"/>
                <w:szCs w:val="21"/>
              </w:rPr>
              <w:t>与序号</w:t>
            </w:r>
            <w:r>
              <w:rPr>
                <w:rFonts w:ascii="宋体" w:hAnsi="宋体"/>
                <w:szCs w:val="21"/>
              </w:rPr>
              <w:t>1</w:t>
            </w:r>
            <w:r>
              <w:rPr>
                <w:rFonts w:hint="eastAsia" w:ascii="宋体" w:hAnsi="宋体"/>
                <w:szCs w:val="21"/>
              </w:rPr>
              <w:t>.</w:t>
            </w:r>
            <w:r>
              <w:rPr>
                <w:rFonts w:ascii="宋体" w:hAnsi="宋体"/>
                <w:szCs w:val="21"/>
              </w:rPr>
              <w:t>1</w:t>
            </w:r>
            <w:r>
              <w:rPr>
                <w:rFonts w:hint="eastAsia" w:ascii="宋体" w:hAnsi="宋体"/>
                <w:szCs w:val="21"/>
              </w:rPr>
              <w:t>合并制造，连续总制造长度约（</w:t>
            </w:r>
            <w:r>
              <w:rPr>
                <w:rFonts w:ascii="宋体" w:hAnsi="宋体"/>
                <w:szCs w:val="21"/>
              </w:rPr>
              <w:t>35.</w:t>
            </w:r>
            <w:r>
              <w:rPr>
                <w:rFonts w:hint="eastAsia" w:ascii="宋体" w:hAnsi="宋体"/>
                <w:szCs w:val="21"/>
              </w:rPr>
              <w:t>1km钢丝铠装+</w:t>
            </w:r>
            <w:r>
              <w:rPr>
                <w:rFonts w:ascii="宋体" w:hAnsi="宋体"/>
                <w:szCs w:val="21"/>
              </w:rPr>
              <w:t>2</w:t>
            </w:r>
            <w:r>
              <w:rPr>
                <w:rFonts w:hint="eastAsia" w:ascii="宋体" w:hAnsi="宋体"/>
                <w:szCs w:val="21"/>
              </w:rPr>
              <w:t>.5km铜丝铠装）具体铜丝铠装分布情况以设计联络会确认结果</w:t>
            </w:r>
            <w:r>
              <w:rPr>
                <w:rFonts w:ascii="宋体" w:hAnsi="宋体"/>
                <w:szCs w:val="21"/>
              </w:rPr>
              <w:t>为准</w:t>
            </w:r>
            <w:r>
              <w:rPr>
                <w:rFonts w:hint="eastAsia" w:ascii="宋体" w:hAnsi="宋体"/>
                <w:szCs w:val="21"/>
              </w:rPr>
              <w:t>。</w:t>
            </w:r>
          </w:p>
        </w:tc>
      </w:tr>
      <w:tr w14:paraId="1C210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26"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4A6D2B5D">
            <w:pPr>
              <w:jc w:val="center"/>
              <w:rPr>
                <w:rFonts w:ascii="宋体" w:hAnsi="宋体"/>
                <w:szCs w:val="21"/>
              </w:rPr>
            </w:pPr>
            <w:r>
              <w:rPr>
                <w:rFonts w:hint="eastAsia" w:ascii="宋体" w:hAnsi="宋体"/>
                <w:szCs w:val="21"/>
              </w:rPr>
              <w:t>1</w:t>
            </w:r>
            <w:r>
              <w:rPr>
                <w:rFonts w:ascii="宋体" w:hAnsi="宋体"/>
                <w:szCs w:val="21"/>
              </w:rPr>
              <w:t>.3</w:t>
            </w:r>
          </w:p>
        </w:tc>
        <w:tc>
          <w:tcPr>
            <w:tcW w:w="692" w:type="pct"/>
            <w:tcBorders>
              <w:top w:val="single" w:color="auto" w:sz="6" w:space="0"/>
              <w:left w:val="single" w:color="auto" w:sz="6" w:space="0"/>
              <w:bottom w:val="single" w:color="auto" w:sz="6" w:space="0"/>
              <w:right w:val="single" w:color="auto" w:sz="6" w:space="0"/>
            </w:tcBorders>
            <w:vAlign w:val="center"/>
          </w:tcPr>
          <w:p w14:paraId="592578F5">
            <w:pPr>
              <w:jc w:val="center"/>
              <w:rPr>
                <w:rFonts w:ascii="宋体" w:hAnsi="宋体"/>
                <w:szCs w:val="21"/>
              </w:rPr>
            </w:pPr>
            <w:r>
              <w:rPr>
                <w:rFonts w:hint="eastAsia" w:ascii="宋体" w:hAnsi="宋体"/>
                <w:szCs w:val="21"/>
              </w:rPr>
              <w:t>500kV交流用交联聚乙烯绝缘光纤复合海底电缆（钢丝铠装）备用海缆</w:t>
            </w:r>
          </w:p>
        </w:tc>
        <w:tc>
          <w:tcPr>
            <w:tcW w:w="989" w:type="pct"/>
            <w:tcBorders>
              <w:top w:val="single" w:color="auto" w:sz="6" w:space="0"/>
              <w:left w:val="single" w:color="auto" w:sz="6" w:space="0"/>
              <w:bottom w:val="single" w:color="auto" w:sz="6" w:space="0"/>
              <w:right w:val="single" w:color="auto" w:sz="6" w:space="0"/>
            </w:tcBorders>
            <w:vAlign w:val="center"/>
          </w:tcPr>
          <w:p w14:paraId="0D9E4312">
            <w:pPr>
              <w:jc w:val="center"/>
              <w:rPr>
                <w:rFonts w:ascii="宋体" w:hAnsi="宋体"/>
                <w:szCs w:val="21"/>
              </w:rPr>
            </w:pPr>
            <w:r>
              <w:rPr>
                <w:rFonts w:hint="eastAsia" w:ascii="宋体" w:hAnsi="宋体"/>
                <w:szCs w:val="21"/>
              </w:rPr>
              <w:t>500kV铜芯交联聚乙烯绝缘分相铅套半导电聚乙烯外护套粗圆钢丝铠装聚丙烯纤维外被层光纤复合3芯海底电缆</w:t>
            </w:r>
          </w:p>
          <w:p w14:paraId="0B7FCAE1">
            <w:pPr>
              <w:jc w:val="center"/>
              <w:rPr>
                <w:rFonts w:ascii="宋体" w:hAnsi="宋体"/>
                <w:szCs w:val="21"/>
              </w:rPr>
            </w:pPr>
            <w:r>
              <w:rPr>
                <w:rFonts w:ascii="宋体" w:hAnsi="宋体"/>
                <w:szCs w:val="21"/>
              </w:rPr>
              <w:t>HYJQF41-F 290/500 3×1000+3×</w:t>
            </w:r>
            <w:r>
              <w:rPr>
                <w:rFonts w:hint="eastAsia" w:ascii="宋体" w:hAnsi="宋体"/>
                <w:szCs w:val="21"/>
              </w:rPr>
              <w:t>96</w:t>
            </w:r>
            <w:r>
              <w:rPr>
                <w:rFonts w:ascii="宋体" w:hAnsi="宋体"/>
                <w:szCs w:val="21"/>
              </w:rPr>
              <w:t>B1</w:t>
            </w:r>
          </w:p>
        </w:tc>
        <w:tc>
          <w:tcPr>
            <w:tcW w:w="304" w:type="pct"/>
            <w:tcBorders>
              <w:top w:val="single" w:color="auto" w:sz="6" w:space="0"/>
              <w:left w:val="single" w:color="auto" w:sz="6" w:space="0"/>
              <w:bottom w:val="single" w:color="auto" w:sz="6" w:space="0"/>
              <w:right w:val="single" w:color="auto" w:sz="6" w:space="0"/>
            </w:tcBorders>
            <w:vAlign w:val="center"/>
          </w:tcPr>
          <w:p w14:paraId="4096DC33">
            <w:pPr>
              <w:jc w:val="center"/>
              <w:rPr>
                <w:rFonts w:ascii="宋体" w:hAnsi="宋体"/>
                <w:szCs w:val="21"/>
              </w:rPr>
            </w:pPr>
            <w:r>
              <w:rPr>
                <w:rFonts w:hint="eastAsia" w:ascii="宋体" w:hAnsi="宋体"/>
                <w:szCs w:val="21"/>
              </w:rPr>
              <w:t>km</w:t>
            </w:r>
          </w:p>
        </w:tc>
        <w:tc>
          <w:tcPr>
            <w:tcW w:w="306" w:type="pct"/>
            <w:tcBorders>
              <w:top w:val="single" w:color="auto" w:sz="6" w:space="0"/>
              <w:left w:val="single" w:color="auto" w:sz="6" w:space="0"/>
              <w:bottom w:val="single" w:color="auto" w:sz="6" w:space="0"/>
              <w:right w:val="single" w:color="auto" w:sz="6" w:space="0"/>
            </w:tcBorders>
            <w:vAlign w:val="center"/>
          </w:tcPr>
          <w:p w14:paraId="768A6EC9">
            <w:pPr>
              <w:jc w:val="center"/>
              <w:rPr>
                <w:rFonts w:ascii="宋体" w:hAnsi="宋体"/>
                <w:szCs w:val="21"/>
              </w:rPr>
            </w:pPr>
            <w:r>
              <w:rPr>
                <w:rFonts w:hint="eastAsia" w:ascii="宋体" w:hAnsi="宋体"/>
                <w:szCs w:val="21"/>
              </w:rPr>
              <w:t>0</w:t>
            </w:r>
            <w:r>
              <w:rPr>
                <w:rFonts w:ascii="宋体" w:hAnsi="宋体"/>
                <w:szCs w:val="21"/>
              </w:rPr>
              <w:t>.3</w:t>
            </w:r>
          </w:p>
        </w:tc>
        <w:tc>
          <w:tcPr>
            <w:tcW w:w="535" w:type="pct"/>
            <w:tcBorders>
              <w:top w:val="single" w:color="auto" w:sz="6" w:space="0"/>
              <w:left w:val="single" w:color="auto" w:sz="6" w:space="0"/>
              <w:bottom w:val="single" w:color="auto" w:sz="6" w:space="0"/>
              <w:right w:val="single" w:color="auto" w:sz="6" w:space="0"/>
            </w:tcBorders>
            <w:vAlign w:val="center"/>
          </w:tcPr>
          <w:p w14:paraId="37C90231">
            <w:pPr>
              <w:jc w:val="center"/>
              <w:rPr>
                <w:rFonts w:ascii="宋体" w:hAnsi="宋体"/>
                <w:bCs/>
                <w:szCs w:val="21"/>
              </w:rPr>
            </w:pPr>
            <w:r>
              <w:rPr>
                <w:rFonts w:hint="eastAsia" w:ascii="宋体" w:hAnsi="宋体"/>
              </w:rPr>
              <w:t>海缆生产厂家码头（或存储在海缆生产厂家仓库）</w:t>
            </w:r>
          </w:p>
        </w:tc>
        <w:tc>
          <w:tcPr>
            <w:tcW w:w="306" w:type="pct"/>
            <w:tcBorders>
              <w:top w:val="single" w:color="auto" w:sz="6" w:space="0"/>
              <w:left w:val="single" w:color="auto" w:sz="6" w:space="0"/>
              <w:bottom w:val="single" w:color="auto" w:sz="6" w:space="0"/>
              <w:right w:val="single" w:color="auto" w:sz="6" w:space="0"/>
            </w:tcBorders>
            <w:vAlign w:val="center"/>
          </w:tcPr>
          <w:p w14:paraId="3565DE4E">
            <w:pPr>
              <w:jc w:val="center"/>
              <w:rPr>
                <w:rFonts w:ascii="宋体" w:hAnsi="宋体"/>
                <w:bCs/>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200E1B46">
            <w:pPr>
              <w:jc w:val="center"/>
              <w:rPr>
                <w:rFonts w:ascii="宋体" w:hAnsi="宋体"/>
                <w:bCs/>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5839041A">
            <w:pPr>
              <w:jc w:val="center"/>
              <w:rPr>
                <w:rFonts w:ascii="宋体" w:hAnsi="宋体"/>
                <w:bCs/>
                <w:szCs w:val="21"/>
              </w:rPr>
            </w:pPr>
            <w:r>
              <w:rPr>
                <w:rFonts w:hint="eastAsia" w:ascii="宋体" w:hAnsi="宋体"/>
                <w:bCs/>
                <w:szCs w:val="21"/>
              </w:rPr>
              <w:t>1、本序号海缆为</w:t>
            </w:r>
            <w:r>
              <w:rPr>
                <w:rFonts w:ascii="宋体" w:hAnsi="宋体"/>
                <w:bCs/>
                <w:szCs w:val="21"/>
              </w:rPr>
              <w:t>抢修备用</w:t>
            </w:r>
            <w:r>
              <w:rPr>
                <w:rFonts w:hint="eastAsia" w:ascii="宋体" w:hAnsi="宋体"/>
                <w:bCs/>
                <w:szCs w:val="21"/>
              </w:rPr>
              <w:t>海缆，暂定另外单独制造；</w:t>
            </w:r>
          </w:p>
          <w:p w14:paraId="1E5F31B7">
            <w:pPr>
              <w:jc w:val="center"/>
              <w:rPr>
                <w:rFonts w:ascii="宋体" w:hAnsi="宋体"/>
                <w:bCs/>
                <w:szCs w:val="21"/>
              </w:rPr>
            </w:pPr>
            <w:r>
              <w:rPr>
                <w:rFonts w:ascii="宋体" w:hAnsi="宋体"/>
                <w:bCs/>
                <w:szCs w:val="21"/>
              </w:rPr>
              <w:t>2</w:t>
            </w:r>
            <w:r>
              <w:rPr>
                <w:rFonts w:hint="eastAsia" w:ascii="宋体" w:hAnsi="宋体"/>
                <w:bCs/>
                <w:szCs w:val="21"/>
              </w:rPr>
              <w:t>、本次投标报价需包含存储服务费用；</w:t>
            </w:r>
          </w:p>
          <w:p w14:paraId="4502EBE8">
            <w:pPr>
              <w:autoSpaceDE w:val="0"/>
              <w:autoSpaceDN w:val="0"/>
              <w:adjustRightInd w:val="0"/>
              <w:jc w:val="center"/>
              <w:rPr>
                <w:rFonts w:ascii="宋体" w:hAnsi="宋体"/>
                <w:szCs w:val="21"/>
              </w:rPr>
            </w:pPr>
            <w:r>
              <w:rPr>
                <w:rFonts w:hint="eastAsia"/>
              </w:rPr>
              <w:t>3、该段缆为抢修备用海缆，与G</w:t>
            </w:r>
            <w:r>
              <w:t>IS</w:t>
            </w:r>
            <w:r>
              <w:rPr>
                <w:rFonts w:hint="eastAsia"/>
              </w:rPr>
              <w:t>旁路试验海缆无关。</w:t>
            </w:r>
          </w:p>
        </w:tc>
      </w:tr>
      <w:tr w14:paraId="4DE9F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1"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3A02AFC5">
            <w:pPr>
              <w:jc w:val="center"/>
              <w:rPr>
                <w:rFonts w:ascii="宋体" w:hAnsi="宋体"/>
                <w:szCs w:val="21"/>
              </w:rPr>
            </w:pPr>
            <w:r>
              <w:rPr>
                <w:rFonts w:ascii="宋体" w:hAnsi="宋体"/>
                <w:szCs w:val="21"/>
              </w:rPr>
              <w:t>1.4</w:t>
            </w:r>
          </w:p>
        </w:tc>
        <w:tc>
          <w:tcPr>
            <w:tcW w:w="692" w:type="pct"/>
            <w:tcBorders>
              <w:top w:val="single" w:color="auto" w:sz="6" w:space="0"/>
              <w:left w:val="single" w:color="auto" w:sz="6" w:space="0"/>
              <w:bottom w:val="single" w:color="auto" w:sz="6" w:space="0"/>
              <w:right w:val="single" w:color="auto" w:sz="6" w:space="0"/>
            </w:tcBorders>
            <w:vAlign w:val="center"/>
          </w:tcPr>
          <w:p w14:paraId="141DE18D">
            <w:pPr>
              <w:jc w:val="center"/>
              <w:rPr>
                <w:rFonts w:ascii="宋体" w:hAnsi="宋体"/>
                <w:szCs w:val="21"/>
              </w:rPr>
            </w:pPr>
            <w:r>
              <w:rPr>
                <w:rFonts w:hint="eastAsia" w:ascii="宋体" w:hAnsi="宋体"/>
                <w:szCs w:val="21"/>
              </w:rPr>
              <w:t>500kV电缆GIS终端头</w:t>
            </w:r>
          </w:p>
        </w:tc>
        <w:tc>
          <w:tcPr>
            <w:tcW w:w="989" w:type="pct"/>
            <w:tcBorders>
              <w:top w:val="single" w:color="auto" w:sz="6" w:space="0"/>
              <w:left w:val="single" w:color="auto" w:sz="6" w:space="0"/>
              <w:bottom w:val="single" w:color="auto" w:sz="6" w:space="0"/>
              <w:right w:val="single" w:color="auto" w:sz="6" w:space="0"/>
            </w:tcBorders>
            <w:vAlign w:val="center"/>
          </w:tcPr>
          <w:p w14:paraId="59628E8D">
            <w:pPr>
              <w:jc w:val="center"/>
              <w:rPr>
                <w:rFonts w:ascii="宋体" w:hAnsi="宋体"/>
                <w:szCs w:val="21"/>
              </w:rPr>
            </w:pPr>
            <w:r>
              <w:rPr>
                <w:rFonts w:hint="eastAsia" w:ascii="宋体" w:hAnsi="宋体"/>
                <w:szCs w:val="21"/>
              </w:rPr>
              <w:t>YJZGG 290/500 1×1000</w:t>
            </w:r>
          </w:p>
        </w:tc>
        <w:tc>
          <w:tcPr>
            <w:tcW w:w="304" w:type="pct"/>
            <w:tcBorders>
              <w:top w:val="single" w:color="auto" w:sz="6" w:space="0"/>
              <w:left w:val="single" w:color="auto" w:sz="6" w:space="0"/>
              <w:bottom w:val="single" w:color="auto" w:sz="6" w:space="0"/>
              <w:right w:val="single" w:color="auto" w:sz="6" w:space="0"/>
            </w:tcBorders>
            <w:vAlign w:val="center"/>
          </w:tcPr>
          <w:p w14:paraId="35039722">
            <w:pPr>
              <w:jc w:val="center"/>
              <w:rPr>
                <w:rFonts w:ascii="宋体" w:hAnsi="宋体"/>
                <w:szCs w:val="21"/>
              </w:rPr>
            </w:pPr>
            <w:r>
              <w:rPr>
                <w:rFonts w:hint="eastAsia"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65C9BA02">
            <w:pPr>
              <w:jc w:val="center"/>
              <w:rPr>
                <w:rFonts w:ascii="宋体" w:hAnsi="宋体"/>
                <w:szCs w:val="21"/>
              </w:rPr>
            </w:pPr>
            <w:r>
              <w:rPr>
                <w:rFonts w:hint="eastAsia" w:ascii="宋体" w:hAnsi="宋体"/>
                <w:szCs w:val="21"/>
              </w:rPr>
              <w:t>6</w:t>
            </w:r>
          </w:p>
        </w:tc>
        <w:tc>
          <w:tcPr>
            <w:tcW w:w="535" w:type="pct"/>
            <w:tcBorders>
              <w:top w:val="single" w:color="auto" w:sz="6" w:space="0"/>
              <w:left w:val="single" w:color="auto" w:sz="6" w:space="0"/>
              <w:bottom w:val="single" w:color="auto" w:sz="6" w:space="0"/>
              <w:right w:val="single" w:color="auto" w:sz="6" w:space="0"/>
            </w:tcBorders>
            <w:vAlign w:val="center"/>
          </w:tcPr>
          <w:p w14:paraId="06F1C395">
            <w:pPr>
              <w:autoSpaceDE w:val="0"/>
              <w:autoSpaceDN w:val="0"/>
              <w:adjustRightInd w:val="0"/>
              <w:jc w:val="center"/>
              <w:rPr>
                <w:rFonts w:ascii="宋体" w:hAnsi="宋体"/>
                <w:szCs w:val="21"/>
              </w:rPr>
            </w:pPr>
            <w:r>
              <w:rPr>
                <w:rFonts w:hint="eastAsia" w:ascii="宋体" w:hAnsi="宋体"/>
              </w:rPr>
              <w:t>东莞村、林诗岛终端站</w:t>
            </w:r>
          </w:p>
        </w:tc>
        <w:tc>
          <w:tcPr>
            <w:tcW w:w="306" w:type="pct"/>
            <w:tcBorders>
              <w:top w:val="single" w:color="auto" w:sz="6" w:space="0"/>
              <w:left w:val="single" w:color="auto" w:sz="6" w:space="0"/>
              <w:bottom w:val="single" w:color="auto" w:sz="6" w:space="0"/>
              <w:right w:val="single" w:color="auto" w:sz="6" w:space="0"/>
            </w:tcBorders>
            <w:vAlign w:val="center"/>
          </w:tcPr>
          <w:p w14:paraId="03E8F157">
            <w:pPr>
              <w:autoSpaceDE w:val="0"/>
              <w:autoSpaceDN w:val="0"/>
              <w:adjustRightInd w:val="0"/>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1A7F51A7">
            <w:pPr>
              <w:autoSpaceDE w:val="0"/>
              <w:autoSpaceDN w:val="0"/>
              <w:adjustRightInd w:val="0"/>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216C2C3E">
            <w:pPr>
              <w:autoSpaceDE w:val="0"/>
              <w:autoSpaceDN w:val="0"/>
              <w:adjustRightInd w:val="0"/>
              <w:jc w:val="center"/>
              <w:rPr>
                <w:rFonts w:ascii="宋体" w:hAnsi="宋体"/>
                <w:szCs w:val="21"/>
              </w:rPr>
            </w:pPr>
            <w:r>
              <w:rPr>
                <w:rFonts w:hint="eastAsia" w:ascii="宋体" w:hAnsi="宋体"/>
                <w:szCs w:val="21"/>
              </w:rPr>
              <w:t>含终端头制作</w:t>
            </w:r>
          </w:p>
        </w:tc>
      </w:tr>
      <w:tr w14:paraId="3FC75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24F4BA7E">
            <w:pPr>
              <w:jc w:val="center"/>
              <w:rPr>
                <w:rFonts w:ascii="宋体" w:hAnsi="宋体"/>
                <w:szCs w:val="21"/>
              </w:rPr>
            </w:pPr>
            <w:r>
              <w:rPr>
                <w:rFonts w:ascii="宋体" w:hAnsi="宋体"/>
                <w:szCs w:val="21"/>
              </w:rPr>
              <w:t>1.5</w:t>
            </w:r>
          </w:p>
        </w:tc>
        <w:tc>
          <w:tcPr>
            <w:tcW w:w="692" w:type="pct"/>
            <w:tcBorders>
              <w:top w:val="single" w:color="auto" w:sz="6" w:space="0"/>
              <w:left w:val="single" w:color="auto" w:sz="6" w:space="0"/>
              <w:bottom w:val="single" w:color="auto" w:sz="6" w:space="0"/>
              <w:right w:val="single" w:color="auto" w:sz="6" w:space="0"/>
            </w:tcBorders>
            <w:vAlign w:val="center"/>
          </w:tcPr>
          <w:p w14:paraId="5BA3351C">
            <w:pPr>
              <w:jc w:val="center"/>
              <w:rPr>
                <w:rFonts w:ascii="宋体" w:hAnsi="宋体"/>
                <w:szCs w:val="21"/>
              </w:rPr>
            </w:pPr>
            <w:r>
              <w:rPr>
                <w:rFonts w:ascii="宋体" w:hAnsi="宋体"/>
                <w:spacing w:val="6"/>
                <w:szCs w:val="21"/>
              </w:rPr>
              <w:t>海缆锚固装置</w:t>
            </w:r>
          </w:p>
        </w:tc>
        <w:tc>
          <w:tcPr>
            <w:tcW w:w="989" w:type="pct"/>
            <w:tcBorders>
              <w:top w:val="single" w:color="auto" w:sz="6" w:space="0"/>
              <w:left w:val="single" w:color="auto" w:sz="6" w:space="0"/>
              <w:bottom w:val="single" w:color="auto" w:sz="6" w:space="0"/>
              <w:right w:val="single" w:color="auto" w:sz="6" w:space="0"/>
            </w:tcBorders>
            <w:vAlign w:val="center"/>
          </w:tcPr>
          <w:p w14:paraId="1F395C00">
            <w:pPr>
              <w:jc w:val="center"/>
              <w:rPr>
                <w:rFonts w:ascii="宋体" w:hAnsi="宋体"/>
                <w:szCs w:val="21"/>
              </w:rPr>
            </w:pPr>
            <w:r>
              <w:rPr>
                <w:rFonts w:ascii="宋体" w:hAnsi="宋体"/>
                <w:szCs w:val="21"/>
              </w:rPr>
              <w:t>316L</w:t>
            </w:r>
            <w:r>
              <w:rPr>
                <w:rFonts w:hint="eastAsia" w:ascii="宋体" w:hAnsi="宋体"/>
                <w:szCs w:val="21"/>
              </w:rPr>
              <w:t>无磁</w:t>
            </w:r>
            <w:r>
              <w:rPr>
                <w:rFonts w:ascii="宋体" w:hAnsi="宋体"/>
                <w:szCs w:val="21"/>
              </w:rPr>
              <w:t>不锈钢材料，与海缆规格配套</w:t>
            </w:r>
          </w:p>
        </w:tc>
        <w:tc>
          <w:tcPr>
            <w:tcW w:w="304" w:type="pct"/>
            <w:tcBorders>
              <w:top w:val="single" w:color="auto" w:sz="6" w:space="0"/>
              <w:left w:val="single" w:color="auto" w:sz="6" w:space="0"/>
              <w:bottom w:val="single" w:color="auto" w:sz="6" w:space="0"/>
              <w:right w:val="single" w:color="auto" w:sz="6" w:space="0"/>
            </w:tcBorders>
            <w:vAlign w:val="center"/>
          </w:tcPr>
          <w:p w14:paraId="768B23E5">
            <w:pPr>
              <w:jc w:val="center"/>
              <w:rPr>
                <w:rFonts w:ascii="宋体" w:hAnsi="宋体"/>
                <w:szCs w:val="21"/>
              </w:rPr>
            </w:pPr>
            <w:r>
              <w:rPr>
                <w:rFonts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52ECF55C">
            <w:pPr>
              <w:jc w:val="center"/>
              <w:rPr>
                <w:rFonts w:ascii="宋体" w:hAnsi="宋体"/>
                <w:szCs w:val="21"/>
              </w:rPr>
            </w:pPr>
            <w:r>
              <w:rPr>
                <w:rFonts w:hint="eastAsia" w:ascii="宋体" w:hAnsi="宋体"/>
                <w:szCs w:val="21"/>
              </w:rPr>
              <w:t>2</w:t>
            </w:r>
          </w:p>
        </w:tc>
        <w:tc>
          <w:tcPr>
            <w:tcW w:w="535" w:type="pct"/>
            <w:tcBorders>
              <w:top w:val="single" w:color="auto" w:sz="6" w:space="0"/>
              <w:left w:val="single" w:color="auto" w:sz="6" w:space="0"/>
              <w:bottom w:val="single" w:color="auto" w:sz="6" w:space="0"/>
              <w:right w:val="single" w:color="auto" w:sz="6" w:space="0"/>
            </w:tcBorders>
            <w:vAlign w:val="center"/>
          </w:tcPr>
          <w:p w14:paraId="678DBD49">
            <w:pPr>
              <w:autoSpaceDE w:val="0"/>
              <w:autoSpaceDN w:val="0"/>
              <w:adjustRightInd w:val="0"/>
              <w:jc w:val="center"/>
              <w:rPr>
                <w:rFonts w:ascii="宋体" w:hAnsi="宋体"/>
                <w:szCs w:val="21"/>
              </w:rPr>
            </w:pPr>
            <w:r>
              <w:rPr>
                <w:rFonts w:hint="eastAsia" w:ascii="宋体" w:hAnsi="宋体"/>
              </w:rPr>
              <w:t>东莞村、林诗岛终端站</w:t>
            </w:r>
          </w:p>
        </w:tc>
        <w:tc>
          <w:tcPr>
            <w:tcW w:w="306" w:type="pct"/>
            <w:tcBorders>
              <w:top w:val="single" w:color="auto" w:sz="6" w:space="0"/>
              <w:left w:val="single" w:color="auto" w:sz="6" w:space="0"/>
              <w:bottom w:val="single" w:color="auto" w:sz="6" w:space="0"/>
              <w:right w:val="single" w:color="auto" w:sz="6" w:space="0"/>
            </w:tcBorders>
            <w:vAlign w:val="center"/>
          </w:tcPr>
          <w:p w14:paraId="43A384D1">
            <w:pPr>
              <w:autoSpaceDE w:val="0"/>
              <w:autoSpaceDN w:val="0"/>
              <w:adjustRightInd w:val="0"/>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732B23F5">
            <w:pPr>
              <w:autoSpaceDE w:val="0"/>
              <w:autoSpaceDN w:val="0"/>
              <w:adjustRightInd w:val="0"/>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590F6CA2">
            <w:pPr>
              <w:autoSpaceDE w:val="0"/>
              <w:autoSpaceDN w:val="0"/>
              <w:adjustRightInd w:val="0"/>
              <w:jc w:val="center"/>
              <w:rPr>
                <w:rFonts w:ascii="宋体" w:hAnsi="宋体"/>
                <w:szCs w:val="21"/>
              </w:rPr>
            </w:pPr>
            <w:r>
              <w:rPr>
                <w:rFonts w:hint="eastAsia" w:ascii="宋体" w:hAnsi="宋体"/>
                <w:szCs w:val="21"/>
              </w:rPr>
              <w:t>站内锚固井内用</w:t>
            </w:r>
          </w:p>
        </w:tc>
      </w:tr>
      <w:tr w14:paraId="7C142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5E194586">
            <w:pPr>
              <w:jc w:val="center"/>
              <w:rPr>
                <w:rFonts w:ascii="宋体" w:hAnsi="宋体"/>
                <w:szCs w:val="21"/>
              </w:rPr>
            </w:pPr>
            <w:r>
              <w:rPr>
                <w:rFonts w:ascii="宋体" w:hAnsi="宋体"/>
                <w:szCs w:val="21"/>
              </w:rPr>
              <w:t>1.6</w:t>
            </w:r>
          </w:p>
        </w:tc>
        <w:tc>
          <w:tcPr>
            <w:tcW w:w="692" w:type="pct"/>
            <w:tcBorders>
              <w:top w:val="single" w:color="auto" w:sz="6" w:space="0"/>
              <w:left w:val="single" w:color="auto" w:sz="6" w:space="0"/>
              <w:bottom w:val="single" w:color="auto" w:sz="6" w:space="0"/>
              <w:right w:val="single" w:color="auto" w:sz="6" w:space="0"/>
            </w:tcBorders>
            <w:vAlign w:val="center"/>
          </w:tcPr>
          <w:p w14:paraId="0A8D0A2A">
            <w:pPr>
              <w:jc w:val="center"/>
              <w:rPr>
                <w:rFonts w:ascii="宋体" w:hAnsi="宋体"/>
                <w:spacing w:val="6"/>
                <w:szCs w:val="21"/>
              </w:rPr>
            </w:pPr>
            <w:r>
              <w:rPr>
                <w:rFonts w:hint="eastAsia" w:ascii="宋体" w:hAnsi="宋体"/>
                <w:spacing w:val="6"/>
                <w:szCs w:val="21"/>
              </w:rPr>
              <w:t>海缆中心夹具</w:t>
            </w:r>
          </w:p>
        </w:tc>
        <w:tc>
          <w:tcPr>
            <w:tcW w:w="989" w:type="pct"/>
            <w:tcBorders>
              <w:top w:val="single" w:color="auto" w:sz="6" w:space="0"/>
              <w:left w:val="single" w:color="auto" w:sz="6" w:space="0"/>
              <w:bottom w:val="single" w:color="auto" w:sz="6" w:space="0"/>
              <w:right w:val="single" w:color="auto" w:sz="6" w:space="0"/>
            </w:tcBorders>
            <w:vAlign w:val="center"/>
          </w:tcPr>
          <w:p w14:paraId="5FCB909F">
            <w:pPr>
              <w:jc w:val="center"/>
              <w:rPr>
                <w:rFonts w:ascii="宋体" w:hAnsi="宋体"/>
                <w:szCs w:val="21"/>
              </w:rPr>
            </w:pPr>
          </w:p>
        </w:tc>
        <w:tc>
          <w:tcPr>
            <w:tcW w:w="304" w:type="pct"/>
            <w:tcBorders>
              <w:top w:val="single" w:color="auto" w:sz="6" w:space="0"/>
              <w:left w:val="single" w:color="auto" w:sz="6" w:space="0"/>
              <w:bottom w:val="single" w:color="auto" w:sz="6" w:space="0"/>
              <w:right w:val="single" w:color="auto" w:sz="6" w:space="0"/>
            </w:tcBorders>
            <w:vAlign w:val="center"/>
          </w:tcPr>
          <w:p w14:paraId="1F7819C7">
            <w:pPr>
              <w:jc w:val="center"/>
              <w:rPr>
                <w:rFonts w:ascii="宋体" w:hAnsi="宋体"/>
                <w:szCs w:val="21"/>
              </w:rPr>
            </w:pPr>
            <w:r>
              <w:rPr>
                <w:rFonts w:hint="eastAsia"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5D819DFD">
            <w:pPr>
              <w:jc w:val="center"/>
              <w:rPr>
                <w:rFonts w:ascii="宋体" w:hAnsi="宋体"/>
                <w:szCs w:val="21"/>
              </w:rPr>
            </w:pPr>
            <w:r>
              <w:rPr>
                <w:rFonts w:hint="eastAsia" w:ascii="宋体" w:hAnsi="宋体"/>
                <w:szCs w:val="21"/>
              </w:rPr>
              <w:t>2</w:t>
            </w:r>
          </w:p>
        </w:tc>
        <w:tc>
          <w:tcPr>
            <w:tcW w:w="535" w:type="pct"/>
            <w:tcBorders>
              <w:top w:val="single" w:color="auto" w:sz="6" w:space="0"/>
              <w:left w:val="single" w:color="auto" w:sz="6" w:space="0"/>
              <w:bottom w:val="single" w:color="auto" w:sz="6" w:space="0"/>
              <w:right w:val="single" w:color="auto" w:sz="6" w:space="0"/>
            </w:tcBorders>
            <w:vAlign w:val="center"/>
          </w:tcPr>
          <w:p w14:paraId="5096E3AD">
            <w:pPr>
              <w:autoSpaceDE w:val="0"/>
              <w:autoSpaceDN w:val="0"/>
              <w:adjustRightInd w:val="0"/>
              <w:jc w:val="center"/>
              <w:rPr>
                <w:rFonts w:ascii="宋体" w:hAnsi="宋体"/>
                <w:szCs w:val="21"/>
              </w:rPr>
            </w:pPr>
            <w:r>
              <w:rPr>
                <w:rFonts w:hint="eastAsia" w:ascii="宋体" w:hAnsi="宋体"/>
              </w:rPr>
              <w:t>海缆生产厂家码头</w:t>
            </w:r>
          </w:p>
        </w:tc>
        <w:tc>
          <w:tcPr>
            <w:tcW w:w="306" w:type="pct"/>
            <w:tcBorders>
              <w:top w:val="single" w:color="auto" w:sz="6" w:space="0"/>
              <w:left w:val="single" w:color="auto" w:sz="6" w:space="0"/>
              <w:bottom w:val="single" w:color="auto" w:sz="6" w:space="0"/>
              <w:right w:val="single" w:color="auto" w:sz="6" w:space="0"/>
            </w:tcBorders>
            <w:vAlign w:val="center"/>
          </w:tcPr>
          <w:p w14:paraId="47A94BD9">
            <w:pPr>
              <w:autoSpaceDE w:val="0"/>
              <w:autoSpaceDN w:val="0"/>
              <w:adjustRightInd w:val="0"/>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44CFA22B">
            <w:pPr>
              <w:autoSpaceDE w:val="0"/>
              <w:autoSpaceDN w:val="0"/>
              <w:adjustRightInd w:val="0"/>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6C8D1965">
            <w:pPr>
              <w:autoSpaceDE w:val="0"/>
              <w:autoSpaceDN w:val="0"/>
              <w:adjustRightInd w:val="0"/>
              <w:jc w:val="center"/>
              <w:rPr>
                <w:rFonts w:ascii="宋体" w:hAnsi="宋体"/>
                <w:szCs w:val="21"/>
              </w:rPr>
            </w:pPr>
          </w:p>
        </w:tc>
      </w:tr>
      <w:tr w14:paraId="3C3DE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6"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2C107C34">
            <w:pPr>
              <w:jc w:val="center"/>
              <w:rPr>
                <w:rFonts w:ascii="宋体" w:hAnsi="宋体"/>
                <w:szCs w:val="21"/>
              </w:rPr>
            </w:pPr>
            <w:r>
              <w:rPr>
                <w:rFonts w:ascii="宋体" w:hAnsi="宋体"/>
                <w:szCs w:val="21"/>
              </w:rPr>
              <w:t>1.7</w:t>
            </w:r>
          </w:p>
        </w:tc>
        <w:tc>
          <w:tcPr>
            <w:tcW w:w="692" w:type="pct"/>
            <w:tcBorders>
              <w:top w:val="single" w:color="auto" w:sz="6" w:space="0"/>
              <w:left w:val="single" w:color="auto" w:sz="6" w:space="0"/>
              <w:bottom w:val="single" w:color="auto" w:sz="6" w:space="0"/>
              <w:right w:val="single" w:color="auto" w:sz="6" w:space="0"/>
            </w:tcBorders>
            <w:vAlign w:val="center"/>
          </w:tcPr>
          <w:p w14:paraId="0F799635">
            <w:pPr>
              <w:spacing w:before="60" w:after="60"/>
              <w:jc w:val="center"/>
              <w:rPr>
                <w:rFonts w:ascii="宋体" w:hAnsi="宋体"/>
                <w:spacing w:val="6"/>
                <w:szCs w:val="21"/>
              </w:rPr>
            </w:pPr>
            <w:r>
              <w:rPr>
                <w:rFonts w:ascii="宋体" w:hAnsi="宋体"/>
                <w:szCs w:val="21"/>
              </w:rPr>
              <w:t>海缆弯曲限制器</w:t>
            </w:r>
          </w:p>
        </w:tc>
        <w:tc>
          <w:tcPr>
            <w:tcW w:w="989" w:type="pct"/>
            <w:tcBorders>
              <w:top w:val="single" w:color="auto" w:sz="6" w:space="0"/>
              <w:left w:val="single" w:color="auto" w:sz="6" w:space="0"/>
              <w:bottom w:val="single" w:color="auto" w:sz="6" w:space="0"/>
              <w:right w:val="single" w:color="auto" w:sz="6" w:space="0"/>
            </w:tcBorders>
            <w:vAlign w:val="center"/>
          </w:tcPr>
          <w:p w14:paraId="46843563">
            <w:pPr>
              <w:jc w:val="center"/>
              <w:rPr>
                <w:rFonts w:ascii="宋体" w:hAnsi="宋体"/>
                <w:szCs w:val="21"/>
              </w:rPr>
            </w:pPr>
            <w:r>
              <w:rPr>
                <w:rFonts w:ascii="宋体" w:hAnsi="宋体"/>
                <w:szCs w:val="21"/>
              </w:rPr>
              <w:t>20m/套</w:t>
            </w:r>
          </w:p>
        </w:tc>
        <w:tc>
          <w:tcPr>
            <w:tcW w:w="304" w:type="pct"/>
            <w:tcBorders>
              <w:top w:val="single" w:color="auto" w:sz="6" w:space="0"/>
              <w:left w:val="single" w:color="auto" w:sz="6" w:space="0"/>
              <w:bottom w:val="single" w:color="auto" w:sz="6" w:space="0"/>
              <w:right w:val="single" w:color="auto" w:sz="6" w:space="0"/>
            </w:tcBorders>
            <w:vAlign w:val="center"/>
          </w:tcPr>
          <w:p w14:paraId="5900F167">
            <w:pPr>
              <w:jc w:val="center"/>
              <w:rPr>
                <w:rFonts w:ascii="宋体" w:hAnsi="宋体"/>
                <w:szCs w:val="21"/>
              </w:rPr>
            </w:pPr>
            <w:r>
              <w:rPr>
                <w:rFonts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1439DF7A">
            <w:pPr>
              <w:jc w:val="center"/>
              <w:rPr>
                <w:rFonts w:ascii="宋体" w:hAnsi="宋体"/>
                <w:szCs w:val="21"/>
              </w:rPr>
            </w:pPr>
            <w:r>
              <w:rPr>
                <w:rFonts w:hint="eastAsia" w:ascii="宋体" w:hAnsi="宋体"/>
                <w:szCs w:val="21"/>
              </w:rPr>
              <w:t>2</w:t>
            </w:r>
          </w:p>
        </w:tc>
        <w:tc>
          <w:tcPr>
            <w:tcW w:w="535" w:type="pct"/>
            <w:tcBorders>
              <w:top w:val="single" w:color="auto" w:sz="6" w:space="0"/>
              <w:left w:val="single" w:color="auto" w:sz="6" w:space="0"/>
              <w:bottom w:val="single" w:color="auto" w:sz="6" w:space="0"/>
              <w:right w:val="single" w:color="auto" w:sz="6" w:space="0"/>
            </w:tcBorders>
            <w:vAlign w:val="center"/>
          </w:tcPr>
          <w:p w14:paraId="0B3F03BF">
            <w:pPr>
              <w:jc w:val="center"/>
              <w:rPr>
                <w:rFonts w:ascii="宋体" w:hAnsi="宋体"/>
                <w:szCs w:val="21"/>
              </w:rPr>
            </w:pPr>
            <w:r>
              <w:rPr>
                <w:rFonts w:hint="eastAsia" w:ascii="宋体" w:hAnsi="宋体"/>
              </w:rPr>
              <w:t>海缆生产厂家码头</w:t>
            </w:r>
          </w:p>
        </w:tc>
        <w:tc>
          <w:tcPr>
            <w:tcW w:w="306" w:type="pct"/>
            <w:tcBorders>
              <w:top w:val="single" w:color="auto" w:sz="6" w:space="0"/>
              <w:left w:val="single" w:color="auto" w:sz="6" w:space="0"/>
              <w:bottom w:val="single" w:color="auto" w:sz="6" w:space="0"/>
              <w:right w:val="single" w:color="auto" w:sz="6" w:space="0"/>
            </w:tcBorders>
            <w:vAlign w:val="center"/>
          </w:tcPr>
          <w:p w14:paraId="0B7F6140">
            <w:pPr>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30C283D5">
            <w:pPr>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314842F8">
            <w:pPr>
              <w:jc w:val="center"/>
              <w:rPr>
                <w:rFonts w:ascii="宋体" w:hAnsi="宋体"/>
                <w:szCs w:val="21"/>
              </w:rPr>
            </w:pPr>
            <w:r>
              <w:rPr>
                <w:rFonts w:hint="eastAsia" w:ascii="宋体" w:hAnsi="宋体"/>
                <w:szCs w:val="21"/>
              </w:rPr>
              <w:t>定向钻尾端使用</w:t>
            </w:r>
          </w:p>
        </w:tc>
      </w:tr>
      <w:tr w14:paraId="03D55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6"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2ED0E7B1">
            <w:pPr>
              <w:jc w:val="center"/>
              <w:rPr>
                <w:rFonts w:ascii="宋体" w:hAnsi="宋体"/>
                <w:szCs w:val="21"/>
              </w:rPr>
            </w:pPr>
            <w:r>
              <w:rPr>
                <w:rFonts w:ascii="宋体" w:hAnsi="宋体"/>
                <w:szCs w:val="21"/>
              </w:rPr>
              <w:t>1.8</w:t>
            </w:r>
          </w:p>
        </w:tc>
        <w:tc>
          <w:tcPr>
            <w:tcW w:w="692" w:type="pct"/>
            <w:tcBorders>
              <w:top w:val="single" w:color="auto" w:sz="6" w:space="0"/>
              <w:left w:val="single" w:color="auto" w:sz="6" w:space="0"/>
              <w:bottom w:val="single" w:color="auto" w:sz="6" w:space="0"/>
              <w:right w:val="single" w:color="auto" w:sz="6" w:space="0"/>
            </w:tcBorders>
            <w:vAlign w:val="center"/>
          </w:tcPr>
          <w:p w14:paraId="1F55345D">
            <w:pPr>
              <w:jc w:val="center"/>
              <w:rPr>
                <w:rFonts w:ascii="宋体" w:hAnsi="宋体"/>
                <w:szCs w:val="21"/>
              </w:rPr>
            </w:pPr>
            <w:r>
              <w:rPr>
                <w:rFonts w:hint="eastAsia" w:ascii="宋体" w:hAnsi="宋体"/>
                <w:szCs w:val="21"/>
              </w:rPr>
              <w:t>光缆余缆架</w:t>
            </w:r>
          </w:p>
        </w:tc>
        <w:tc>
          <w:tcPr>
            <w:tcW w:w="989" w:type="pct"/>
            <w:tcBorders>
              <w:top w:val="single" w:color="auto" w:sz="6" w:space="0"/>
              <w:left w:val="single" w:color="auto" w:sz="6" w:space="0"/>
              <w:bottom w:val="single" w:color="auto" w:sz="6" w:space="0"/>
              <w:right w:val="single" w:color="auto" w:sz="6" w:space="0"/>
            </w:tcBorders>
            <w:vAlign w:val="center"/>
          </w:tcPr>
          <w:p w14:paraId="22C69D11">
            <w:pPr>
              <w:jc w:val="center"/>
              <w:rPr>
                <w:rFonts w:ascii="宋体" w:hAnsi="宋体"/>
                <w:szCs w:val="21"/>
              </w:rPr>
            </w:pPr>
          </w:p>
        </w:tc>
        <w:tc>
          <w:tcPr>
            <w:tcW w:w="304" w:type="pct"/>
            <w:tcBorders>
              <w:top w:val="single" w:color="auto" w:sz="6" w:space="0"/>
              <w:left w:val="single" w:color="auto" w:sz="6" w:space="0"/>
              <w:bottom w:val="single" w:color="auto" w:sz="6" w:space="0"/>
              <w:right w:val="single" w:color="auto" w:sz="6" w:space="0"/>
            </w:tcBorders>
            <w:vAlign w:val="center"/>
          </w:tcPr>
          <w:p w14:paraId="38846161">
            <w:pPr>
              <w:jc w:val="center"/>
              <w:rPr>
                <w:rFonts w:ascii="宋体" w:hAnsi="宋体"/>
                <w:szCs w:val="21"/>
              </w:rPr>
            </w:pPr>
            <w:r>
              <w:rPr>
                <w:rFonts w:hint="eastAsia"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499895A9">
            <w:pPr>
              <w:jc w:val="center"/>
              <w:rPr>
                <w:rFonts w:ascii="宋体" w:hAnsi="宋体"/>
                <w:szCs w:val="21"/>
              </w:rPr>
            </w:pPr>
            <w:r>
              <w:rPr>
                <w:rFonts w:hint="eastAsia" w:ascii="宋体" w:hAnsi="宋体"/>
                <w:szCs w:val="21"/>
              </w:rPr>
              <w:t>6</w:t>
            </w:r>
          </w:p>
        </w:tc>
        <w:tc>
          <w:tcPr>
            <w:tcW w:w="535" w:type="pct"/>
            <w:tcBorders>
              <w:top w:val="single" w:color="auto" w:sz="6" w:space="0"/>
              <w:left w:val="single" w:color="auto" w:sz="6" w:space="0"/>
              <w:bottom w:val="single" w:color="auto" w:sz="6" w:space="0"/>
              <w:right w:val="single" w:color="auto" w:sz="6" w:space="0"/>
            </w:tcBorders>
            <w:vAlign w:val="center"/>
          </w:tcPr>
          <w:p w14:paraId="7DB262E9">
            <w:pPr>
              <w:snapToGrid w:val="0"/>
              <w:spacing w:line="360" w:lineRule="exact"/>
              <w:jc w:val="center"/>
              <w:rPr>
                <w:rFonts w:ascii="宋体" w:hAnsi="宋体"/>
                <w:szCs w:val="21"/>
              </w:rPr>
            </w:pPr>
            <w:r>
              <w:rPr>
                <w:rFonts w:hint="eastAsia" w:ascii="宋体" w:hAnsi="宋体"/>
              </w:rPr>
              <w:t>东莞村、林诗岛终端站</w:t>
            </w:r>
          </w:p>
        </w:tc>
        <w:tc>
          <w:tcPr>
            <w:tcW w:w="306" w:type="pct"/>
            <w:tcBorders>
              <w:top w:val="single" w:color="auto" w:sz="6" w:space="0"/>
              <w:left w:val="single" w:color="auto" w:sz="6" w:space="0"/>
              <w:bottom w:val="single" w:color="auto" w:sz="6" w:space="0"/>
              <w:right w:val="single" w:color="auto" w:sz="6" w:space="0"/>
            </w:tcBorders>
            <w:vAlign w:val="center"/>
          </w:tcPr>
          <w:p w14:paraId="3F8981C6">
            <w:pPr>
              <w:snapToGrid w:val="0"/>
              <w:spacing w:line="360" w:lineRule="exact"/>
              <w:jc w:val="center"/>
              <w:rPr>
                <w:rFonts w:ascii="宋体" w:hAnsi="宋体"/>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19446FF5">
            <w:pPr>
              <w:snapToGrid w:val="0"/>
              <w:spacing w:line="360" w:lineRule="exact"/>
              <w:jc w:val="center"/>
              <w:rPr>
                <w:rFonts w:ascii="宋体" w:hAnsi="宋体"/>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7187DA79">
            <w:pPr>
              <w:snapToGrid w:val="0"/>
              <w:spacing w:line="360" w:lineRule="exact"/>
              <w:jc w:val="center"/>
              <w:rPr>
                <w:rFonts w:ascii="宋体" w:hAnsi="宋体"/>
                <w:szCs w:val="21"/>
              </w:rPr>
            </w:pPr>
          </w:p>
        </w:tc>
      </w:tr>
      <w:tr w14:paraId="47ABE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2A833536">
            <w:pPr>
              <w:jc w:val="center"/>
              <w:rPr>
                <w:rFonts w:ascii="宋体" w:hAnsi="宋体"/>
                <w:szCs w:val="21"/>
              </w:rPr>
            </w:pPr>
            <w:r>
              <w:rPr>
                <w:rFonts w:ascii="宋体" w:hAnsi="宋体"/>
                <w:szCs w:val="21"/>
              </w:rPr>
              <w:t>1.9</w:t>
            </w:r>
          </w:p>
        </w:tc>
        <w:tc>
          <w:tcPr>
            <w:tcW w:w="692" w:type="pct"/>
            <w:tcBorders>
              <w:top w:val="single" w:color="auto" w:sz="6" w:space="0"/>
              <w:left w:val="single" w:color="auto" w:sz="6" w:space="0"/>
              <w:bottom w:val="single" w:color="auto" w:sz="6" w:space="0"/>
              <w:right w:val="single" w:color="auto" w:sz="6" w:space="0"/>
            </w:tcBorders>
            <w:vAlign w:val="center"/>
          </w:tcPr>
          <w:p w14:paraId="069D2559">
            <w:pPr>
              <w:jc w:val="center"/>
              <w:rPr>
                <w:rFonts w:ascii="宋体" w:hAnsi="宋体"/>
                <w:szCs w:val="21"/>
              </w:rPr>
            </w:pPr>
            <w:r>
              <w:rPr>
                <w:rFonts w:hint="eastAsia" w:ascii="宋体" w:hAnsi="宋体"/>
                <w:szCs w:val="21"/>
              </w:rPr>
              <w:t>海缆单相固定夹</w:t>
            </w:r>
          </w:p>
        </w:tc>
        <w:tc>
          <w:tcPr>
            <w:tcW w:w="989" w:type="pct"/>
            <w:tcBorders>
              <w:top w:val="single" w:color="auto" w:sz="6" w:space="0"/>
              <w:left w:val="single" w:color="auto" w:sz="6" w:space="0"/>
              <w:bottom w:val="single" w:color="auto" w:sz="6" w:space="0"/>
              <w:right w:val="single" w:color="auto" w:sz="6" w:space="0"/>
            </w:tcBorders>
            <w:vAlign w:val="center"/>
          </w:tcPr>
          <w:p w14:paraId="55AE7ACF">
            <w:pPr>
              <w:jc w:val="center"/>
              <w:rPr>
                <w:rFonts w:ascii="宋体" w:hAnsi="宋体"/>
                <w:szCs w:val="21"/>
              </w:rPr>
            </w:pPr>
            <w:r>
              <w:rPr>
                <w:rFonts w:hint="eastAsia" w:ascii="宋体" w:hAnsi="宋体"/>
                <w:szCs w:val="21"/>
              </w:rPr>
              <w:t>采用316L无磁不锈钢材质</w:t>
            </w:r>
          </w:p>
        </w:tc>
        <w:tc>
          <w:tcPr>
            <w:tcW w:w="304" w:type="pct"/>
            <w:tcBorders>
              <w:top w:val="single" w:color="auto" w:sz="6" w:space="0"/>
              <w:left w:val="single" w:color="auto" w:sz="6" w:space="0"/>
              <w:bottom w:val="single" w:color="auto" w:sz="6" w:space="0"/>
              <w:right w:val="single" w:color="auto" w:sz="6" w:space="0"/>
            </w:tcBorders>
            <w:vAlign w:val="center"/>
          </w:tcPr>
          <w:p w14:paraId="21AA28E0">
            <w:pPr>
              <w:jc w:val="center"/>
              <w:rPr>
                <w:rFonts w:ascii="宋体" w:hAnsi="宋体"/>
                <w:szCs w:val="21"/>
              </w:rPr>
            </w:pPr>
            <w:r>
              <w:rPr>
                <w:rFonts w:hint="eastAsia"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17EECC67">
            <w:pPr>
              <w:jc w:val="center"/>
              <w:rPr>
                <w:rFonts w:ascii="宋体" w:hAnsi="宋体"/>
                <w:szCs w:val="21"/>
              </w:rPr>
            </w:pPr>
            <w:r>
              <w:rPr>
                <w:rFonts w:hint="eastAsia" w:ascii="宋体" w:hAnsi="宋体"/>
                <w:szCs w:val="21"/>
              </w:rPr>
              <w:t>1500</w:t>
            </w:r>
          </w:p>
        </w:tc>
        <w:tc>
          <w:tcPr>
            <w:tcW w:w="535" w:type="pct"/>
            <w:tcBorders>
              <w:top w:val="single" w:color="auto" w:sz="6" w:space="0"/>
              <w:left w:val="single" w:color="auto" w:sz="6" w:space="0"/>
              <w:bottom w:val="single" w:color="auto" w:sz="6" w:space="0"/>
              <w:right w:val="single" w:color="auto" w:sz="6" w:space="0"/>
            </w:tcBorders>
            <w:vAlign w:val="center"/>
          </w:tcPr>
          <w:p w14:paraId="3F2459A5">
            <w:pPr>
              <w:jc w:val="center"/>
              <w:rPr>
                <w:rFonts w:ascii="宋体" w:hAnsi="宋体"/>
                <w:bCs/>
                <w:szCs w:val="21"/>
              </w:rPr>
            </w:pPr>
            <w:r>
              <w:rPr>
                <w:rFonts w:hint="eastAsia" w:ascii="宋体" w:hAnsi="宋体"/>
              </w:rPr>
              <w:t>东莞村、林诗岛终端站</w:t>
            </w:r>
          </w:p>
        </w:tc>
        <w:tc>
          <w:tcPr>
            <w:tcW w:w="306" w:type="pct"/>
            <w:tcBorders>
              <w:top w:val="single" w:color="auto" w:sz="6" w:space="0"/>
              <w:left w:val="single" w:color="auto" w:sz="6" w:space="0"/>
              <w:bottom w:val="single" w:color="auto" w:sz="6" w:space="0"/>
              <w:right w:val="single" w:color="auto" w:sz="6" w:space="0"/>
            </w:tcBorders>
            <w:vAlign w:val="center"/>
          </w:tcPr>
          <w:p w14:paraId="708FDAB1">
            <w:pPr>
              <w:jc w:val="center"/>
              <w:rPr>
                <w:rFonts w:ascii="宋体" w:hAnsi="宋体"/>
                <w:bCs/>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59C5AAA4">
            <w:pPr>
              <w:jc w:val="center"/>
              <w:rPr>
                <w:rFonts w:ascii="宋体" w:hAnsi="宋体"/>
                <w:bCs/>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0F30369D">
            <w:pPr>
              <w:jc w:val="center"/>
              <w:rPr>
                <w:rFonts w:ascii="宋体" w:hAnsi="宋体"/>
                <w:bCs/>
                <w:szCs w:val="21"/>
              </w:rPr>
            </w:pPr>
            <w:r>
              <w:rPr>
                <w:rFonts w:hint="eastAsia" w:ascii="宋体" w:hAnsi="宋体"/>
                <w:bCs/>
                <w:szCs w:val="21"/>
              </w:rPr>
              <w:t>海缆登陆铠装剥离分相敷设时使用，具体数量以施工图数量为准。</w:t>
            </w:r>
          </w:p>
        </w:tc>
      </w:tr>
      <w:tr w14:paraId="1DC2D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27E87C64">
            <w:pPr>
              <w:jc w:val="center"/>
              <w:rPr>
                <w:rFonts w:ascii="宋体" w:hAnsi="宋体"/>
                <w:szCs w:val="21"/>
              </w:rPr>
            </w:pPr>
            <w:r>
              <w:rPr>
                <w:rFonts w:ascii="宋体" w:hAnsi="宋体"/>
                <w:szCs w:val="21"/>
              </w:rPr>
              <w:t>1.10</w:t>
            </w:r>
          </w:p>
        </w:tc>
        <w:tc>
          <w:tcPr>
            <w:tcW w:w="692" w:type="pct"/>
            <w:tcBorders>
              <w:top w:val="single" w:color="auto" w:sz="6" w:space="0"/>
              <w:left w:val="single" w:color="auto" w:sz="6" w:space="0"/>
              <w:bottom w:val="single" w:color="auto" w:sz="6" w:space="0"/>
              <w:right w:val="single" w:color="auto" w:sz="6" w:space="0"/>
            </w:tcBorders>
            <w:vAlign w:val="center"/>
          </w:tcPr>
          <w:p w14:paraId="1CF8D428">
            <w:pPr>
              <w:jc w:val="center"/>
              <w:rPr>
                <w:rFonts w:ascii="宋体" w:hAnsi="宋体"/>
                <w:szCs w:val="21"/>
              </w:rPr>
            </w:pPr>
            <w:r>
              <w:rPr>
                <w:rFonts w:hint="eastAsia" w:ascii="宋体" w:hAnsi="宋体"/>
                <w:szCs w:val="21"/>
              </w:rPr>
              <w:t>直接接地箱</w:t>
            </w:r>
          </w:p>
        </w:tc>
        <w:tc>
          <w:tcPr>
            <w:tcW w:w="989" w:type="pct"/>
            <w:tcBorders>
              <w:top w:val="single" w:color="auto" w:sz="6" w:space="0"/>
              <w:left w:val="single" w:color="auto" w:sz="6" w:space="0"/>
              <w:bottom w:val="single" w:color="auto" w:sz="6" w:space="0"/>
              <w:right w:val="single" w:color="auto" w:sz="6" w:space="0"/>
            </w:tcBorders>
            <w:vAlign w:val="center"/>
          </w:tcPr>
          <w:p w14:paraId="10EFD57B">
            <w:pPr>
              <w:jc w:val="center"/>
              <w:rPr>
                <w:rFonts w:ascii="宋体" w:hAnsi="宋体"/>
                <w:szCs w:val="21"/>
              </w:rPr>
            </w:pPr>
            <w:r>
              <w:rPr>
                <w:rFonts w:ascii="宋体" w:hAnsi="宋体"/>
                <w:szCs w:val="21"/>
              </w:rPr>
              <w:t>316L</w:t>
            </w:r>
            <w:r>
              <w:rPr>
                <w:rFonts w:hint="eastAsia" w:ascii="宋体" w:hAnsi="宋体"/>
                <w:szCs w:val="21"/>
              </w:rPr>
              <w:t>无磁不锈钢材质</w:t>
            </w:r>
          </w:p>
        </w:tc>
        <w:tc>
          <w:tcPr>
            <w:tcW w:w="304" w:type="pct"/>
            <w:tcBorders>
              <w:top w:val="single" w:color="auto" w:sz="6" w:space="0"/>
              <w:left w:val="single" w:color="auto" w:sz="6" w:space="0"/>
              <w:bottom w:val="single" w:color="auto" w:sz="6" w:space="0"/>
              <w:right w:val="single" w:color="auto" w:sz="6" w:space="0"/>
            </w:tcBorders>
            <w:vAlign w:val="center"/>
          </w:tcPr>
          <w:p w14:paraId="5BDD8615">
            <w:pPr>
              <w:jc w:val="center"/>
              <w:rPr>
                <w:rFonts w:ascii="宋体" w:hAnsi="宋体"/>
                <w:szCs w:val="21"/>
              </w:rPr>
            </w:pPr>
            <w:r>
              <w:rPr>
                <w:rFonts w:hint="eastAsia"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5C6DA885">
            <w:pPr>
              <w:jc w:val="center"/>
              <w:rPr>
                <w:rFonts w:ascii="宋体" w:hAnsi="宋体"/>
                <w:szCs w:val="21"/>
              </w:rPr>
            </w:pPr>
            <w:r>
              <w:rPr>
                <w:rFonts w:hint="eastAsia" w:ascii="宋体" w:hAnsi="宋体"/>
                <w:szCs w:val="21"/>
              </w:rPr>
              <w:t>3</w:t>
            </w:r>
          </w:p>
        </w:tc>
        <w:tc>
          <w:tcPr>
            <w:tcW w:w="535" w:type="pct"/>
            <w:tcBorders>
              <w:top w:val="single" w:color="auto" w:sz="6" w:space="0"/>
              <w:left w:val="single" w:color="auto" w:sz="6" w:space="0"/>
              <w:bottom w:val="single" w:color="auto" w:sz="6" w:space="0"/>
              <w:right w:val="single" w:color="auto" w:sz="6" w:space="0"/>
            </w:tcBorders>
            <w:vAlign w:val="center"/>
          </w:tcPr>
          <w:p w14:paraId="75E6EECC">
            <w:pPr>
              <w:jc w:val="center"/>
              <w:rPr>
                <w:rFonts w:ascii="宋体" w:hAnsi="宋体"/>
                <w:bCs/>
                <w:szCs w:val="21"/>
              </w:rPr>
            </w:pPr>
            <w:r>
              <w:rPr>
                <w:rFonts w:hint="eastAsia" w:ascii="宋体" w:hAnsi="宋体"/>
              </w:rPr>
              <w:t>东莞村、林诗岛终端站</w:t>
            </w:r>
          </w:p>
        </w:tc>
        <w:tc>
          <w:tcPr>
            <w:tcW w:w="306" w:type="pct"/>
            <w:tcBorders>
              <w:top w:val="single" w:color="auto" w:sz="6" w:space="0"/>
              <w:left w:val="single" w:color="auto" w:sz="6" w:space="0"/>
              <w:bottom w:val="single" w:color="auto" w:sz="6" w:space="0"/>
              <w:right w:val="single" w:color="auto" w:sz="6" w:space="0"/>
            </w:tcBorders>
            <w:vAlign w:val="center"/>
          </w:tcPr>
          <w:p w14:paraId="37640B4F">
            <w:pPr>
              <w:jc w:val="center"/>
              <w:rPr>
                <w:rFonts w:ascii="宋体" w:hAnsi="宋体"/>
                <w:bCs/>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1412B1A4">
            <w:pPr>
              <w:jc w:val="center"/>
              <w:rPr>
                <w:rFonts w:ascii="宋体" w:hAnsi="宋体"/>
                <w:bCs/>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2C358F2F">
            <w:pPr>
              <w:jc w:val="center"/>
              <w:rPr>
                <w:rFonts w:ascii="宋体" w:hAnsi="宋体"/>
                <w:bCs/>
                <w:szCs w:val="21"/>
              </w:rPr>
            </w:pPr>
            <w:r>
              <w:rPr>
                <w:rFonts w:hint="eastAsia" w:ascii="宋体" w:hAnsi="宋体"/>
                <w:bCs/>
                <w:szCs w:val="21"/>
              </w:rPr>
              <w:t>三相接地箱，投标人负责安装。</w:t>
            </w:r>
          </w:p>
        </w:tc>
      </w:tr>
      <w:tr w14:paraId="44769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56C53EF9">
            <w:pPr>
              <w:jc w:val="center"/>
              <w:rPr>
                <w:rFonts w:ascii="宋体" w:hAnsi="宋体"/>
                <w:szCs w:val="21"/>
              </w:rPr>
            </w:pPr>
            <w:r>
              <w:rPr>
                <w:rFonts w:ascii="宋体" w:hAnsi="宋体"/>
                <w:szCs w:val="21"/>
              </w:rPr>
              <w:t>1.11</w:t>
            </w:r>
          </w:p>
        </w:tc>
        <w:tc>
          <w:tcPr>
            <w:tcW w:w="692" w:type="pct"/>
            <w:tcBorders>
              <w:top w:val="single" w:color="auto" w:sz="6" w:space="0"/>
              <w:left w:val="single" w:color="auto" w:sz="6" w:space="0"/>
              <w:bottom w:val="single" w:color="auto" w:sz="6" w:space="0"/>
              <w:right w:val="single" w:color="auto" w:sz="6" w:space="0"/>
            </w:tcBorders>
            <w:vAlign w:val="center"/>
          </w:tcPr>
          <w:p w14:paraId="680DB2B1">
            <w:pPr>
              <w:jc w:val="center"/>
              <w:rPr>
                <w:rFonts w:ascii="宋体" w:hAnsi="宋体"/>
                <w:szCs w:val="21"/>
              </w:rPr>
            </w:pPr>
            <w:r>
              <w:rPr>
                <w:rFonts w:hint="eastAsia" w:ascii="宋体" w:hAnsi="宋体"/>
                <w:szCs w:val="21"/>
              </w:rPr>
              <w:t>接地线</w:t>
            </w:r>
          </w:p>
        </w:tc>
        <w:tc>
          <w:tcPr>
            <w:tcW w:w="989" w:type="pct"/>
            <w:tcBorders>
              <w:top w:val="single" w:color="auto" w:sz="6" w:space="0"/>
              <w:left w:val="single" w:color="auto" w:sz="6" w:space="0"/>
              <w:bottom w:val="single" w:color="auto" w:sz="6" w:space="0"/>
              <w:right w:val="single" w:color="auto" w:sz="6" w:space="0"/>
            </w:tcBorders>
            <w:vAlign w:val="center"/>
          </w:tcPr>
          <w:p w14:paraId="708D2124">
            <w:pPr>
              <w:jc w:val="center"/>
              <w:rPr>
                <w:rFonts w:ascii="宋体" w:hAnsi="宋体"/>
                <w:szCs w:val="21"/>
              </w:rPr>
            </w:pPr>
            <w:r>
              <w:rPr>
                <w:rFonts w:ascii="宋体" w:hAnsi="宋体"/>
                <w:szCs w:val="21"/>
              </w:rPr>
              <w:t>ZRA-YJV-8.7/10-1*500mm</w:t>
            </w:r>
          </w:p>
        </w:tc>
        <w:tc>
          <w:tcPr>
            <w:tcW w:w="304" w:type="pct"/>
            <w:tcBorders>
              <w:top w:val="single" w:color="auto" w:sz="6" w:space="0"/>
              <w:left w:val="single" w:color="auto" w:sz="6" w:space="0"/>
              <w:bottom w:val="single" w:color="auto" w:sz="6" w:space="0"/>
              <w:right w:val="single" w:color="auto" w:sz="6" w:space="0"/>
            </w:tcBorders>
            <w:vAlign w:val="center"/>
          </w:tcPr>
          <w:p w14:paraId="713D510B">
            <w:pPr>
              <w:jc w:val="center"/>
              <w:rPr>
                <w:rFonts w:ascii="宋体" w:hAnsi="宋体"/>
                <w:szCs w:val="21"/>
              </w:rPr>
            </w:pPr>
            <w:r>
              <w:rPr>
                <w:rFonts w:hint="eastAsia" w:ascii="宋体" w:hAnsi="宋体"/>
                <w:szCs w:val="21"/>
              </w:rPr>
              <w:t>m</w:t>
            </w:r>
          </w:p>
        </w:tc>
        <w:tc>
          <w:tcPr>
            <w:tcW w:w="306" w:type="pct"/>
            <w:tcBorders>
              <w:top w:val="single" w:color="auto" w:sz="6" w:space="0"/>
              <w:left w:val="single" w:color="auto" w:sz="6" w:space="0"/>
              <w:bottom w:val="single" w:color="auto" w:sz="6" w:space="0"/>
              <w:right w:val="single" w:color="auto" w:sz="6" w:space="0"/>
            </w:tcBorders>
            <w:vAlign w:val="center"/>
          </w:tcPr>
          <w:p w14:paraId="585B13A6">
            <w:pPr>
              <w:jc w:val="center"/>
              <w:rPr>
                <w:rFonts w:ascii="宋体" w:hAnsi="宋体"/>
                <w:szCs w:val="21"/>
              </w:rPr>
            </w:pPr>
            <w:r>
              <w:rPr>
                <w:rFonts w:hint="eastAsia" w:ascii="宋体" w:hAnsi="宋体"/>
                <w:szCs w:val="21"/>
              </w:rPr>
              <w:t>240</w:t>
            </w:r>
          </w:p>
        </w:tc>
        <w:tc>
          <w:tcPr>
            <w:tcW w:w="535" w:type="pct"/>
            <w:tcBorders>
              <w:top w:val="single" w:color="auto" w:sz="6" w:space="0"/>
              <w:left w:val="single" w:color="auto" w:sz="6" w:space="0"/>
              <w:bottom w:val="single" w:color="auto" w:sz="6" w:space="0"/>
              <w:right w:val="single" w:color="auto" w:sz="6" w:space="0"/>
            </w:tcBorders>
            <w:vAlign w:val="center"/>
          </w:tcPr>
          <w:p w14:paraId="390D9C80">
            <w:pPr>
              <w:jc w:val="center"/>
              <w:rPr>
                <w:rFonts w:ascii="宋体" w:hAnsi="宋体"/>
                <w:bCs/>
                <w:szCs w:val="21"/>
              </w:rPr>
            </w:pPr>
            <w:r>
              <w:rPr>
                <w:rFonts w:hint="eastAsia" w:ascii="宋体" w:hAnsi="宋体"/>
              </w:rPr>
              <w:t>东莞村、林诗岛终端站</w:t>
            </w:r>
          </w:p>
        </w:tc>
        <w:tc>
          <w:tcPr>
            <w:tcW w:w="306" w:type="pct"/>
            <w:tcBorders>
              <w:top w:val="single" w:color="auto" w:sz="6" w:space="0"/>
              <w:left w:val="single" w:color="auto" w:sz="6" w:space="0"/>
              <w:bottom w:val="single" w:color="auto" w:sz="6" w:space="0"/>
              <w:right w:val="single" w:color="auto" w:sz="6" w:space="0"/>
            </w:tcBorders>
            <w:vAlign w:val="center"/>
          </w:tcPr>
          <w:p w14:paraId="5A39A221">
            <w:pPr>
              <w:jc w:val="center"/>
              <w:rPr>
                <w:rFonts w:ascii="宋体" w:hAnsi="宋体"/>
                <w:bCs/>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700DBEB3">
            <w:pPr>
              <w:jc w:val="center"/>
              <w:rPr>
                <w:rFonts w:ascii="宋体" w:hAnsi="宋体"/>
                <w:bCs/>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5A59DCC0">
            <w:pPr>
              <w:jc w:val="center"/>
              <w:rPr>
                <w:rFonts w:ascii="宋体" w:hAnsi="宋体"/>
                <w:bCs/>
                <w:szCs w:val="21"/>
              </w:rPr>
            </w:pPr>
            <w:r>
              <w:rPr>
                <w:rFonts w:hint="eastAsia" w:ascii="宋体" w:hAnsi="宋体"/>
                <w:bCs/>
                <w:szCs w:val="21"/>
              </w:rPr>
              <w:t>具体数量以施工图数量为准。</w:t>
            </w:r>
          </w:p>
        </w:tc>
      </w:tr>
      <w:tr w14:paraId="115EF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14B8DBCE">
            <w:pPr>
              <w:jc w:val="center"/>
              <w:rPr>
                <w:rFonts w:ascii="宋体" w:hAnsi="宋体"/>
                <w:szCs w:val="21"/>
              </w:rPr>
            </w:pPr>
            <w:r>
              <w:rPr>
                <w:rFonts w:ascii="宋体" w:hAnsi="宋体"/>
                <w:szCs w:val="21"/>
              </w:rPr>
              <w:t>1.12</w:t>
            </w:r>
          </w:p>
        </w:tc>
        <w:tc>
          <w:tcPr>
            <w:tcW w:w="692" w:type="pct"/>
            <w:tcBorders>
              <w:top w:val="single" w:color="auto" w:sz="6" w:space="0"/>
              <w:left w:val="single" w:color="auto" w:sz="6" w:space="0"/>
              <w:bottom w:val="single" w:color="auto" w:sz="6" w:space="0"/>
              <w:right w:val="single" w:color="auto" w:sz="6" w:space="0"/>
            </w:tcBorders>
            <w:vAlign w:val="center"/>
          </w:tcPr>
          <w:p w14:paraId="12D51F11">
            <w:pPr>
              <w:jc w:val="center"/>
              <w:rPr>
                <w:rFonts w:ascii="宋体" w:hAnsi="宋体"/>
                <w:szCs w:val="21"/>
              </w:rPr>
            </w:pPr>
            <w:r>
              <w:rPr>
                <w:rFonts w:hint="eastAsia" w:ascii="宋体" w:hAnsi="宋体"/>
                <w:szCs w:val="21"/>
              </w:rPr>
              <w:t>光缆接续盒</w:t>
            </w:r>
          </w:p>
        </w:tc>
        <w:tc>
          <w:tcPr>
            <w:tcW w:w="989" w:type="pct"/>
            <w:tcBorders>
              <w:top w:val="single" w:color="auto" w:sz="6" w:space="0"/>
              <w:left w:val="single" w:color="auto" w:sz="6" w:space="0"/>
              <w:bottom w:val="single" w:color="auto" w:sz="6" w:space="0"/>
              <w:right w:val="single" w:color="auto" w:sz="6" w:space="0"/>
            </w:tcBorders>
            <w:vAlign w:val="center"/>
          </w:tcPr>
          <w:p w14:paraId="15158F9E">
            <w:pPr>
              <w:jc w:val="center"/>
              <w:rPr>
                <w:rFonts w:ascii="宋体" w:hAnsi="宋体"/>
                <w:szCs w:val="21"/>
              </w:rPr>
            </w:pPr>
            <w:r>
              <w:rPr>
                <w:rFonts w:hint="eastAsia" w:ascii="宋体" w:hAnsi="宋体"/>
                <w:szCs w:val="21"/>
              </w:rPr>
              <w:t>96芯光缆接头盒</w:t>
            </w:r>
          </w:p>
        </w:tc>
        <w:tc>
          <w:tcPr>
            <w:tcW w:w="304" w:type="pct"/>
            <w:tcBorders>
              <w:top w:val="single" w:color="auto" w:sz="6" w:space="0"/>
              <w:left w:val="single" w:color="auto" w:sz="6" w:space="0"/>
              <w:bottom w:val="single" w:color="auto" w:sz="6" w:space="0"/>
              <w:right w:val="single" w:color="auto" w:sz="6" w:space="0"/>
            </w:tcBorders>
            <w:vAlign w:val="center"/>
          </w:tcPr>
          <w:p w14:paraId="77335BF7">
            <w:pPr>
              <w:jc w:val="center"/>
              <w:rPr>
                <w:rFonts w:ascii="宋体" w:hAnsi="宋体"/>
                <w:szCs w:val="21"/>
              </w:rPr>
            </w:pPr>
            <w:r>
              <w:rPr>
                <w:rFonts w:hint="eastAsia" w:ascii="宋体" w:hAnsi="宋体"/>
                <w:szCs w:val="21"/>
              </w:rPr>
              <w:t>套</w:t>
            </w:r>
          </w:p>
        </w:tc>
        <w:tc>
          <w:tcPr>
            <w:tcW w:w="306" w:type="pct"/>
            <w:tcBorders>
              <w:top w:val="single" w:color="auto" w:sz="6" w:space="0"/>
              <w:left w:val="single" w:color="auto" w:sz="6" w:space="0"/>
              <w:bottom w:val="single" w:color="auto" w:sz="6" w:space="0"/>
              <w:right w:val="single" w:color="auto" w:sz="6" w:space="0"/>
            </w:tcBorders>
            <w:vAlign w:val="center"/>
          </w:tcPr>
          <w:p w14:paraId="085BFC15">
            <w:pPr>
              <w:jc w:val="center"/>
              <w:rPr>
                <w:rFonts w:ascii="宋体" w:hAnsi="宋体"/>
                <w:szCs w:val="21"/>
              </w:rPr>
            </w:pPr>
            <w:r>
              <w:rPr>
                <w:rFonts w:hint="eastAsia" w:ascii="宋体" w:hAnsi="宋体"/>
                <w:szCs w:val="21"/>
              </w:rPr>
              <w:t>6</w:t>
            </w:r>
          </w:p>
        </w:tc>
        <w:tc>
          <w:tcPr>
            <w:tcW w:w="535" w:type="pct"/>
            <w:tcBorders>
              <w:top w:val="single" w:color="auto" w:sz="6" w:space="0"/>
              <w:left w:val="single" w:color="auto" w:sz="6" w:space="0"/>
              <w:bottom w:val="single" w:color="auto" w:sz="6" w:space="0"/>
              <w:right w:val="single" w:color="auto" w:sz="6" w:space="0"/>
            </w:tcBorders>
            <w:vAlign w:val="center"/>
          </w:tcPr>
          <w:p w14:paraId="4BE27417">
            <w:pPr>
              <w:jc w:val="center"/>
              <w:rPr>
                <w:rFonts w:ascii="宋体" w:hAnsi="宋体"/>
                <w:bCs/>
                <w:szCs w:val="21"/>
              </w:rPr>
            </w:pPr>
            <w:r>
              <w:rPr>
                <w:rFonts w:hint="eastAsia" w:ascii="宋体" w:hAnsi="宋体"/>
              </w:rPr>
              <w:t>东莞村、林诗岛终端站</w:t>
            </w:r>
          </w:p>
        </w:tc>
        <w:tc>
          <w:tcPr>
            <w:tcW w:w="306" w:type="pct"/>
            <w:tcBorders>
              <w:top w:val="single" w:color="auto" w:sz="6" w:space="0"/>
              <w:left w:val="single" w:color="auto" w:sz="6" w:space="0"/>
              <w:bottom w:val="single" w:color="auto" w:sz="6" w:space="0"/>
              <w:right w:val="single" w:color="auto" w:sz="6" w:space="0"/>
            </w:tcBorders>
            <w:vAlign w:val="center"/>
          </w:tcPr>
          <w:p w14:paraId="498C749D">
            <w:pPr>
              <w:jc w:val="center"/>
              <w:rPr>
                <w:rFonts w:ascii="宋体" w:hAnsi="宋体"/>
                <w:bCs/>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2C629835">
            <w:pPr>
              <w:jc w:val="center"/>
              <w:rPr>
                <w:rFonts w:ascii="宋体" w:hAnsi="宋体"/>
                <w:bCs/>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5D75F5AE">
            <w:pPr>
              <w:jc w:val="center"/>
              <w:rPr>
                <w:rFonts w:ascii="宋体" w:hAnsi="宋体"/>
                <w:bCs/>
                <w:szCs w:val="21"/>
              </w:rPr>
            </w:pPr>
            <w:r>
              <w:rPr>
                <w:rFonts w:hint="eastAsia" w:ascii="宋体" w:hAnsi="宋体"/>
                <w:bCs/>
                <w:szCs w:val="21"/>
              </w:rPr>
              <w:t>3根光缆×2端</w:t>
            </w:r>
          </w:p>
        </w:tc>
      </w:tr>
      <w:tr w14:paraId="73BC3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378" w:type="pct"/>
            <w:tcBorders>
              <w:top w:val="single" w:color="auto" w:sz="6" w:space="0"/>
              <w:left w:val="single" w:color="auto" w:sz="6" w:space="0"/>
              <w:bottom w:val="single" w:color="auto" w:sz="6" w:space="0"/>
              <w:right w:val="single" w:color="auto" w:sz="6" w:space="0"/>
            </w:tcBorders>
            <w:vAlign w:val="center"/>
          </w:tcPr>
          <w:p w14:paraId="0371A84B">
            <w:pPr>
              <w:jc w:val="center"/>
              <w:rPr>
                <w:rFonts w:ascii="宋体" w:hAnsi="宋体"/>
                <w:szCs w:val="21"/>
              </w:rPr>
            </w:pPr>
            <w:r>
              <w:rPr>
                <w:rFonts w:ascii="宋体" w:hAnsi="宋体"/>
                <w:szCs w:val="21"/>
              </w:rPr>
              <w:t>1.13</w:t>
            </w:r>
          </w:p>
        </w:tc>
        <w:tc>
          <w:tcPr>
            <w:tcW w:w="692" w:type="pct"/>
            <w:tcBorders>
              <w:top w:val="single" w:color="auto" w:sz="6" w:space="0"/>
              <w:left w:val="single" w:color="auto" w:sz="6" w:space="0"/>
              <w:bottom w:val="single" w:color="auto" w:sz="6" w:space="0"/>
              <w:right w:val="single" w:color="auto" w:sz="6" w:space="0"/>
            </w:tcBorders>
            <w:vAlign w:val="center"/>
          </w:tcPr>
          <w:p w14:paraId="3A51F6C6">
            <w:pPr>
              <w:jc w:val="center"/>
              <w:rPr>
                <w:rFonts w:ascii="宋体" w:hAnsi="宋体"/>
                <w:szCs w:val="21"/>
              </w:rPr>
            </w:pPr>
            <w:r>
              <w:rPr>
                <w:rFonts w:hint="eastAsia" w:ascii="宋体" w:hAnsi="宋体"/>
                <w:szCs w:val="21"/>
              </w:rPr>
              <w:t>其他海缆敷设施工与海缆运行时的必要附件或设备</w:t>
            </w:r>
          </w:p>
        </w:tc>
        <w:tc>
          <w:tcPr>
            <w:tcW w:w="989" w:type="pct"/>
            <w:tcBorders>
              <w:top w:val="single" w:color="auto" w:sz="6" w:space="0"/>
              <w:left w:val="single" w:color="auto" w:sz="6" w:space="0"/>
              <w:bottom w:val="single" w:color="auto" w:sz="6" w:space="0"/>
              <w:right w:val="single" w:color="auto" w:sz="6" w:space="0"/>
            </w:tcBorders>
            <w:vAlign w:val="center"/>
          </w:tcPr>
          <w:p w14:paraId="7574E63D">
            <w:pPr>
              <w:jc w:val="center"/>
              <w:rPr>
                <w:rFonts w:ascii="宋体" w:hAnsi="宋体"/>
                <w:szCs w:val="21"/>
              </w:rPr>
            </w:pPr>
          </w:p>
        </w:tc>
        <w:tc>
          <w:tcPr>
            <w:tcW w:w="304" w:type="pct"/>
            <w:tcBorders>
              <w:top w:val="single" w:color="auto" w:sz="6" w:space="0"/>
              <w:left w:val="single" w:color="auto" w:sz="6" w:space="0"/>
              <w:bottom w:val="single" w:color="auto" w:sz="6" w:space="0"/>
              <w:right w:val="single" w:color="auto" w:sz="6" w:space="0"/>
            </w:tcBorders>
            <w:vAlign w:val="center"/>
          </w:tcPr>
          <w:p w14:paraId="20B1A9F9">
            <w:pPr>
              <w:jc w:val="center"/>
              <w:rPr>
                <w:rFonts w:ascii="宋体" w:hAnsi="宋体"/>
                <w:szCs w:val="21"/>
              </w:rPr>
            </w:pPr>
          </w:p>
        </w:tc>
        <w:tc>
          <w:tcPr>
            <w:tcW w:w="306" w:type="pct"/>
            <w:tcBorders>
              <w:top w:val="single" w:color="auto" w:sz="6" w:space="0"/>
              <w:left w:val="single" w:color="auto" w:sz="6" w:space="0"/>
              <w:bottom w:val="single" w:color="auto" w:sz="6" w:space="0"/>
              <w:right w:val="single" w:color="auto" w:sz="6" w:space="0"/>
            </w:tcBorders>
            <w:vAlign w:val="center"/>
          </w:tcPr>
          <w:p w14:paraId="5AD27A04">
            <w:pPr>
              <w:jc w:val="center"/>
              <w:rPr>
                <w:rFonts w:ascii="宋体" w:hAnsi="宋体"/>
                <w:szCs w:val="21"/>
              </w:rPr>
            </w:pPr>
          </w:p>
        </w:tc>
        <w:tc>
          <w:tcPr>
            <w:tcW w:w="535" w:type="pct"/>
            <w:tcBorders>
              <w:top w:val="single" w:color="auto" w:sz="6" w:space="0"/>
              <w:left w:val="single" w:color="auto" w:sz="6" w:space="0"/>
              <w:bottom w:val="single" w:color="auto" w:sz="6" w:space="0"/>
              <w:right w:val="single" w:color="auto" w:sz="6" w:space="0"/>
            </w:tcBorders>
            <w:vAlign w:val="center"/>
          </w:tcPr>
          <w:p w14:paraId="579FCD02">
            <w:pPr>
              <w:jc w:val="center"/>
              <w:rPr>
                <w:rFonts w:ascii="宋体" w:hAnsi="宋体"/>
                <w:bCs/>
                <w:szCs w:val="21"/>
              </w:rPr>
            </w:pPr>
          </w:p>
        </w:tc>
        <w:tc>
          <w:tcPr>
            <w:tcW w:w="306" w:type="pct"/>
            <w:tcBorders>
              <w:top w:val="single" w:color="auto" w:sz="6" w:space="0"/>
              <w:left w:val="single" w:color="auto" w:sz="6" w:space="0"/>
              <w:bottom w:val="single" w:color="auto" w:sz="6" w:space="0"/>
              <w:right w:val="single" w:color="auto" w:sz="6" w:space="0"/>
            </w:tcBorders>
            <w:vAlign w:val="center"/>
          </w:tcPr>
          <w:p w14:paraId="2888B299">
            <w:pPr>
              <w:jc w:val="center"/>
              <w:rPr>
                <w:rFonts w:ascii="宋体" w:hAnsi="宋体"/>
                <w:bCs/>
                <w:szCs w:val="21"/>
              </w:rPr>
            </w:pPr>
          </w:p>
        </w:tc>
        <w:tc>
          <w:tcPr>
            <w:tcW w:w="687" w:type="pct"/>
            <w:tcBorders>
              <w:top w:val="single" w:color="auto" w:sz="6" w:space="0"/>
              <w:left w:val="single" w:color="auto" w:sz="6" w:space="0"/>
              <w:bottom w:val="single" w:color="auto" w:sz="6" w:space="0"/>
              <w:right w:val="single" w:color="auto" w:sz="6" w:space="0"/>
            </w:tcBorders>
            <w:vAlign w:val="center"/>
          </w:tcPr>
          <w:p w14:paraId="1F386E80">
            <w:pPr>
              <w:jc w:val="center"/>
              <w:rPr>
                <w:rFonts w:ascii="宋体" w:hAnsi="宋体"/>
                <w:bCs/>
                <w:szCs w:val="21"/>
              </w:rPr>
            </w:pPr>
          </w:p>
        </w:tc>
        <w:tc>
          <w:tcPr>
            <w:tcW w:w="803" w:type="pct"/>
            <w:tcBorders>
              <w:top w:val="single" w:color="auto" w:sz="6" w:space="0"/>
              <w:left w:val="single" w:color="auto" w:sz="6" w:space="0"/>
              <w:bottom w:val="single" w:color="auto" w:sz="6" w:space="0"/>
              <w:right w:val="single" w:color="auto" w:sz="6" w:space="0"/>
            </w:tcBorders>
            <w:vAlign w:val="center"/>
          </w:tcPr>
          <w:p w14:paraId="52F3F2F3">
            <w:pPr>
              <w:jc w:val="center"/>
              <w:rPr>
                <w:rFonts w:ascii="宋体" w:hAnsi="宋体"/>
                <w:bCs/>
                <w:szCs w:val="21"/>
              </w:rPr>
            </w:pPr>
          </w:p>
        </w:tc>
      </w:tr>
    </w:tbl>
    <w:p w14:paraId="16479ACE">
      <w:pPr>
        <w:pStyle w:val="152"/>
        <w:adjustRightInd w:val="0"/>
        <w:snapToGrid w:val="0"/>
        <w:spacing w:line="360" w:lineRule="auto"/>
        <w:rPr>
          <w:rFonts w:eastAsia="宋体" w:cs="Times New Roman"/>
          <w:szCs w:val="21"/>
          <w:highlight w:val="yellow"/>
        </w:rPr>
      </w:pPr>
    </w:p>
    <w:p w14:paraId="540A8C8E">
      <w:pPr>
        <w:spacing w:line="360" w:lineRule="auto"/>
        <w:rPr>
          <w:rFonts w:hAnsi="仿宋_GB2312"/>
          <w:b/>
          <w:szCs w:val="21"/>
        </w:rPr>
      </w:pPr>
      <w:r>
        <w:rPr>
          <w:rFonts w:hAnsi="仿宋_GB2312"/>
          <w:b/>
          <w:szCs w:val="21"/>
        </w:rPr>
        <w:t>说明：</w:t>
      </w:r>
    </w:p>
    <w:p w14:paraId="33BEF482">
      <w:pPr>
        <w:spacing w:line="360" w:lineRule="auto"/>
      </w:pPr>
      <w:r>
        <w:rPr>
          <w:rFonts w:hAnsi="仿宋_GB2312"/>
          <w:b/>
          <w:szCs w:val="21"/>
        </w:rPr>
        <w:tab/>
      </w:r>
      <w:r>
        <w:rPr>
          <w:rFonts w:hint="eastAsia" w:hAnsi="仿宋_GB2312"/>
          <w:szCs w:val="21"/>
        </w:rPr>
        <w:t>1、本清单仅列出主要部件或者主要的分系统，投标方根据设备实际情况严格按照本表格格式补齐，不允许更改表格格式，如有差异可在备注栏标注，如有增加项，可在表格下方增行填写，并在备注栏中标注“增加”字样。</w:t>
      </w:r>
    </w:p>
    <w:p w14:paraId="3FB6FFA9">
      <w:pPr>
        <w:snapToGrid w:val="0"/>
        <w:spacing w:line="360" w:lineRule="auto"/>
        <w:ind w:firstLine="420" w:firstLineChars="200"/>
      </w:pPr>
      <w:r>
        <w:rPr>
          <w:rFonts w:hint="eastAsia"/>
        </w:rPr>
        <w:t>2、海底电缆制造长度应以施工图及另行签订的供货确认表为准，生产长度需经招标方确认。</w:t>
      </w:r>
    </w:p>
    <w:p w14:paraId="6A7AC777">
      <w:pPr>
        <w:snapToGrid w:val="0"/>
        <w:spacing w:line="360" w:lineRule="auto"/>
        <w:ind w:firstLine="420" w:firstLineChars="200"/>
      </w:pPr>
      <w:r>
        <w:rPr>
          <w:rFonts w:hint="eastAsia"/>
        </w:rPr>
        <w:t>3、验收标准：中标人须完成全部供货商品的生产制造、厂内组装及质量检测，并确保货物达到国家</w:t>
      </w:r>
      <w:r>
        <w:t>/</w:t>
      </w:r>
      <w:r>
        <w:rPr>
          <w:rFonts w:hint="eastAsia"/>
        </w:rPr>
        <w:t>行业</w:t>
      </w:r>
      <w:r>
        <w:t>/</w:t>
      </w:r>
      <w:r>
        <w:rPr>
          <w:rFonts w:hint="eastAsia"/>
        </w:rPr>
        <w:t>招标文件规定的出厂标准。若出现逾期未完成或未达标准的情况，将按招标文件中相关违约条例执行。</w:t>
      </w:r>
    </w:p>
    <w:p w14:paraId="03430E9B">
      <w:pPr>
        <w:pStyle w:val="152"/>
        <w:adjustRightInd w:val="0"/>
        <w:snapToGrid w:val="0"/>
        <w:spacing w:line="360" w:lineRule="auto"/>
        <w:ind w:firstLine="422"/>
        <w:rPr>
          <w:rFonts w:ascii="Segoe UI" w:hAnsi="Segoe UI" w:cs="Segoe UI"/>
          <w:b/>
          <w:color w:val="0F1115"/>
          <w:shd w:val="clear" w:color="auto" w:fill="FFFFFF"/>
        </w:rPr>
      </w:pPr>
      <w:r>
        <w:rPr>
          <w:rFonts w:hint="eastAsia" w:ascii="Segoe UI" w:hAnsi="Segoe UI" w:cs="Segoe UI"/>
          <w:b/>
          <w:color w:val="0F1115"/>
          <w:shd w:val="clear" w:color="auto" w:fill="FFFFFF"/>
        </w:rPr>
        <w:t>4、若使用</w:t>
      </w:r>
      <w:r>
        <w:rPr>
          <w:rFonts w:hint="eastAsia" w:cs="Times New Roman" w:asciiTheme="minorEastAsia" w:hAnsiTheme="minorEastAsia" w:eastAsiaTheme="minorEastAsia"/>
          <w:b/>
          <w:szCs w:val="24"/>
        </w:rPr>
        <w:t>自主可控海缆</w:t>
      </w:r>
      <w:r>
        <w:rPr>
          <w:rFonts w:hint="eastAsia" w:ascii="Segoe UI" w:hAnsi="Segoe UI" w:cs="Segoe UI"/>
          <w:b/>
          <w:color w:val="0F1115"/>
          <w:shd w:val="clear" w:color="auto" w:fill="FFFFFF"/>
        </w:rPr>
        <w:t>方案，</w:t>
      </w:r>
      <w:r>
        <w:rPr>
          <w:rFonts w:ascii="Segoe UI" w:hAnsi="Segoe UI" w:cs="Segoe UI"/>
          <w:b/>
          <w:color w:val="0F1115"/>
          <w:shd w:val="clear" w:color="auto" w:fill="FFFFFF"/>
        </w:rPr>
        <w:t>投标方应自行评估并承担本工程应用</w:t>
      </w:r>
      <w:r>
        <w:rPr>
          <w:rFonts w:hint="eastAsia" w:cs="Times New Roman" w:asciiTheme="minorEastAsia" w:hAnsiTheme="minorEastAsia" w:eastAsiaTheme="minorEastAsia"/>
          <w:b/>
          <w:szCs w:val="24"/>
        </w:rPr>
        <w:t>自主可控</w:t>
      </w:r>
      <w:r>
        <w:rPr>
          <w:rFonts w:ascii="Segoe UI" w:hAnsi="Segoe UI" w:cs="Segoe UI"/>
          <w:b/>
          <w:color w:val="0F1115"/>
          <w:shd w:val="clear" w:color="auto" w:fill="FFFFFF"/>
        </w:rPr>
        <w:t>海缆所带来的全部附加成本，包括但不限于为满足</w:t>
      </w:r>
      <w:r>
        <w:rPr>
          <w:rFonts w:hint="eastAsia" w:cs="Times New Roman" w:asciiTheme="minorEastAsia" w:hAnsiTheme="minorEastAsia" w:eastAsiaTheme="minorEastAsia"/>
          <w:b/>
          <w:szCs w:val="24"/>
        </w:rPr>
        <w:t>自主可控</w:t>
      </w:r>
      <w:r>
        <w:rPr>
          <w:rFonts w:ascii="Segoe UI" w:hAnsi="Segoe UI" w:cs="Segoe UI"/>
          <w:b/>
          <w:color w:val="0F1115"/>
          <w:shd w:val="clear" w:color="auto" w:fill="FFFFFF"/>
        </w:rPr>
        <w:t>要求而开展的试制、检测、验证等</w:t>
      </w:r>
      <w:r>
        <w:rPr>
          <w:rFonts w:hint="eastAsia" w:ascii="Segoe UI" w:hAnsi="Segoe UI" w:cs="Segoe UI"/>
          <w:b/>
          <w:color w:val="0F1115"/>
          <w:shd w:val="clear" w:color="auto" w:fill="FFFFFF"/>
        </w:rPr>
        <w:t>海缆研发</w:t>
      </w:r>
      <w:r>
        <w:rPr>
          <w:rFonts w:ascii="Segoe UI" w:hAnsi="Segoe UI" w:cs="Segoe UI"/>
          <w:b/>
          <w:color w:val="0F1115"/>
          <w:shd w:val="clear" w:color="auto" w:fill="FFFFFF"/>
        </w:rPr>
        <w:t>工作所产生的费用</w:t>
      </w:r>
      <w:r>
        <w:rPr>
          <w:rFonts w:hint="eastAsia" w:ascii="Segoe UI" w:hAnsi="Segoe UI" w:cs="Segoe UI"/>
          <w:b/>
          <w:color w:val="0F1115"/>
          <w:shd w:val="clear" w:color="auto" w:fill="FFFFFF"/>
        </w:rPr>
        <w:t>，相关</w:t>
      </w:r>
      <w:r>
        <w:rPr>
          <w:rFonts w:ascii="Segoe UI" w:hAnsi="Segoe UI" w:cs="Segoe UI"/>
          <w:b/>
          <w:color w:val="0F1115"/>
          <w:shd w:val="clear" w:color="auto" w:fill="FFFFFF"/>
        </w:rPr>
        <w:t>费用应视为已包含在海缆本体</w:t>
      </w:r>
      <w:r>
        <w:rPr>
          <w:rFonts w:hint="eastAsia" w:ascii="Segoe UI" w:hAnsi="Segoe UI" w:cs="Segoe UI"/>
          <w:b/>
          <w:color w:val="0F1115"/>
          <w:shd w:val="clear" w:color="auto" w:fill="FFFFFF"/>
        </w:rPr>
        <w:t>综合</w:t>
      </w:r>
      <w:r>
        <w:rPr>
          <w:rFonts w:ascii="Segoe UI" w:hAnsi="Segoe UI" w:cs="Segoe UI"/>
          <w:b/>
          <w:color w:val="0F1115"/>
          <w:shd w:val="clear" w:color="auto" w:fill="FFFFFF"/>
        </w:rPr>
        <w:t>报价中，招标方不接受任何形式的单独报价或追加费用。</w:t>
      </w:r>
    </w:p>
    <w:bookmarkEnd w:id="24"/>
    <w:bookmarkEnd w:id="25"/>
    <w:p w14:paraId="3E93F2C7">
      <w:pPr>
        <w:pStyle w:val="395"/>
        <w:numPr>
          <w:ilvl w:val="0"/>
          <w:numId w:val="0"/>
        </w:numPr>
      </w:pPr>
      <w:bookmarkStart w:id="36" w:name="_Toc322681851"/>
      <w:bookmarkStart w:id="37" w:name="_Toc226123937"/>
      <w:bookmarkStart w:id="38" w:name="_Toc22302708"/>
      <w:bookmarkStart w:id="39" w:name="_Toc232443344"/>
      <w:r>
        <w:rPr>
          <w:rFonts w:hint="eastAsia"/>
        </w:rPr>
        <w:t>4</w:t>
      </w:r>
      <w:r>
        <w:t xml:space="preserve"> </w:t>
      </w:r>
      <w:r>
        <w:rPr>
          <w:rFonts w:hint="eastAsia"/>
        </w:rPr>
        <w:t>应遵循的主要标准</w:t>
      </w:r>
      <w:bookmarkEnd w:id="36"/>
      <w:bookmarkEnd w:id="37"/>
      <w:bookmarkEnd w:id="38"/>
      <w:bookmarkEnd w:id="39"/>
    </w:p>
    <w:p w14:paraId="4CD5850D">
      <w:pPr>
        <w:pStyle w:val="394"/>
      </w:pPr>
      <w:bookmarkStart w:id="40" w:name="_Toc455373921"/>
      <w:bookmarkStart w:id="41" w:name="_Toc155114612"/>
      <w:bookmarkStart w:id="42" w:name="_Toc459534976"/>
      <w:bookmarkStart w:id="43" w:name="_Toc455543289"/>
      <w:bookmarkStart w:id="44" w:name="_Toc457986926"/>
      <w:bookmarkStart w:id="45" w:name="_Toc114253693"/>
      <w:bookmarkStart w:id="46" w:name="_Toc241912000"/>
      <w:bookmarkStart w:id="47" w:name="_Toc448828694"/>
      <w:bookmarkStart w:id="48" w:name="_Toc457979127"/>
      <w:bookmarkStart w:id="49" w:name="_Toc146182538"/>
      <w:bookmarkStart w:id="50" w:name="_Toc482581219"/>
      <w:r>
        <w:t>除本规范书特殊规定外，投标方所提供的设备均按规定的标准和规程的最新版本进行设计、制造、试验和安装。如果这些标准内容有矛盾时，应按最高标准的条款执行或按双方商定的标准执行。如果投标方选用本规范书规定以外的标准时，则需提交这种替换标准供审查和分析。</w:t>
      </w:r>
      <w:r>
        <w:rPr>
          <w:rFonts w:hint="eastAsia"/>
        </w:rPr>
        <w:t>且</w:t>
      </w:r>
      <w:r>
        <w:t>仅在投标方已证明替换标准相当或优于规范书规定的标准，并从招标方处获得书面的认可</w:t>
      </w:r>
      <w:r>
        <w:rPr>
          <w:rFonts w:hint="eastAsia"/>
        </w:rPr>
        <w:t>方</w:t>
      </w:r>
      <w:r>
        <w:t>能使用。提交供审查的标准应为中文或英文版本。</w:t>
      </w:r>
      <w:r>
        <w:rPr>
          <w:rFonts w:hint="eastAsia"/>
        </w:rPr>
        <w:t>主要引用标准如下：</w:t>
      </w:r>
    </w:p>
    <w:p w14:paraId="365E1C83">
      <w:pPr>
        <w:adjustRightInd w:val="0"/>
        <w:snapToGrid w:val="0"/>
        <w:spacing w:line="360" w:lineRule="auto"/>
        <w:ind w:firstLine="420" w:firstLineChars="200"/>
      </w:pPr>
      <w:bookmarkStart w:id="51" w:name="_Toc282993250"/>
      <w:bookmarkStart w:id="52" w:name="_Toc22302709"/>
      <w:bookmarkStart w:id="53" w:name="_Toc322681852"/>
      <w:r>
        <w:rPr>
          <w:rFonts w:hint="eastAsia"/>
        </w:rPr>
        <w:t>GB 50217  电力工程电缆设计标准</w:t>
      </w:r>
    </w:p>
    <w:p w14:paraId="5378B0CB">
      <w:pPr>
        <w:adjustRightInd w:val="0"/>
        <w:snapToGrid w:val="0"/>
        <w:spacing w:line="360" w:lineRule="auto"/>
        <w:ind w:firstLine="420" w:firstLineChars="200"/>
      </w:pPr>
      <w:r>
        <w:rPr>
          <w:rFonts w:hint="eastAsia"/>
        </w:rPr>
        <w:t>GB 5589   电缆附件试验方法</w:t>
      </w:r>
    </w:p>
    <w:p w14:paraId="58234877">
      <w:pPr>
        <w:adjustRightInd w:val="0"/>
        <w:snapToGrid w:val="0"/>
        <w:spacing w:line="360" w:lineRule="auto"/>
        <w:ind w:firstLine="420" w:firstLineChars="200"/>
      </w:pPr>
      <w:r>
        <w:rPr>
          <w:rFonts w:hint="eastAsia"/>
        </w:rPr>
        <w:t xml:space="preserve">GB 6995  </w:t>
      </w:r>
      <w:r>
        <w:t xml:space="preserve"> </w:t>
      </w:r>
      <w:r>
        <w:rPr>
          <w:rFonts w:hint="eastAsia"/>
        </w:rPr>
        <w:t>电线电缆识别标志</w:t>
      </w:r>
    </w:p>
    <w:p w14:paraId="5C9FEC93">
      <w:pPr>
        <w:adjustRightInd w:val="0"/>
        <w:snapToGrid w:val="0"/>
        <w:spacing w:line="360" w:lineRule="auto"/>
        <w:ind w:firstLine="420" w:firstLineChars="200"/>
      </w:pPr>
      <w:r>
        <w:rPr>
          <w:rFonts w:hint="eastAsia"/>
        </w:rPr>
        <w:t>GB 311.1  高压输变电设备的绝缘配合</w:t>
      </w:r>
    </w:p>
    <w:p w14:paraId="7E439A17">
      <w:pPr>
        <w:adjustRightInd w:val="0"/>
        <w:snapToGrid w:val="0"/>
        <w:spacing w:line="360" w:lineRule="auto"/>
        <w:ind w:firstLine="420" w:firstLineChars="200"/>
      </w:pPr>
      <w:r>
        <w:rPr>
          <w:rFonts w:hint="eastAsia"/>
        </w:rPr>
        <w:t>GJB 4489    海底光缆通用规范</w:t>
      </w:r>
    </w:p>
    <w:p w14:paraId="027B6AA2">
      <w:pPr>
        <w:adjustRightInd w:val="0"/>
        <w:snapToGrid w:val="0"/>
        <w:spacing w:line="360" w:lineRule="auto"/>
        <w:ind w:firstLine="420" w:firstLineChars="200"/>
      </w:pPr>
      <w:r>
        <w:rPr>
          <w:rFonts w:hint="eastAsia"/>
        </w:rPr>
        <w:t>GB/T 41629  额定电压500kV(Um=550kV）交联聚乙烯绝缘大长度交流海底电缆及其附件（所有部分）</w:t>
      </w:r>
    </w:p>
    <w:p w14:paraId="53B66925">
      <w:pPr>
        <w:adjustRightInd w:val="0"/>
        <w:snapToGrid w:val="0"/>
        <w:spacing w:line="360" w:lineRule="auto"/>
        <w:ind w:firstLine="420" w:firstLineChars="200"/>
      </w:pPr>
      <w:r>
        <w:rPr>
          <w:rFonts w:hint="eastAsia"/>
        </w:rPr>
        <w:t>GB/T 22381 额定电压72.5kV及以上气体绝缘金属封闭开关设备与充流体及挤包绝缘电力电缆的连接 充流体及干式电缆终端</w:t>
      </w:r>
    </w:p>
    <w:p w14:paraId="17EC954D">
      <w:pPr>
        <w:adjustRightInd w:val="0"/>
        <w:snapToGrid w:val="0"/>
        <w:spacing w:line="360" w:lineRule="auto"/>
        <w:ind w:firstLine="420" w:firstLineChars="200"/>
      </w:pPr>
      <w:r>
        <w:rPr>
          <w:rFonts w:hint="eastAsia"/>
        </w:rPr>
        <w:t xml:space="preserve">GB/T 3956 </w:t>
      </w:r>
      <w:r>
        <w:t xml:space="preserve"> </w:t>
      </w:r>
      <w:r>
        <w:rPr>
          <w:rFonts w:hint="eastAsia"/>
        </w:rPr>
        <w:t>电缆的导体</w:t>
      </w:r>
    </w:p>
    <w:p w14:paraId="6A2861D1">
      <w:pPr>
        <w:adjustRightInd w:val="0"/>
        <w:snapToGrid w:val="0"/>
        <w:spacing w:line="360" w:lineRule="auto"/>
        <w:ind w:firstLine="420" w:firstLineChars="200"/>
      </w:pPr>
      <w:r>
        <w:rPr>
          <w:rFonts w:hint="eastAsia"/>
        </w:rPr>
        <w:t>GB/</w:t>
      </w:r>
      <w:r>
        <w:t>T</w:t>
      </w:r>
      <w:r>
        <w:rPr>
          <w:rFonts w:hint="eastAsia"/>
        </w:rPr>
        <w:t xml:space="preserve"> 2952  电缆外护层</w:t>
      </w:r>
    </w:p>
    <w:p w14:paraId="2A3D8DA2">
      <w:pPr>
        <w:pStyle w:val="2"/>
        <w:ind w:left="420"/>
      </w:pPr>
      <w:r>
        <w:rPr>
          <w:rFonts w:hint="eastAsia"/>
        </w:rPr>
        <w:t>GB/T 3953  电工圆铜线</w:t>
      </w:r>
    </w:p>
    <w:p w14:paraId="166F3940">
      <w:pPr>
        <w:adjustRightInd w:val="0"/>
        <w:snapToGrid w:val="0"/>
        <w:spacing w:line="360" w:lineRule="auto"/>
        <w:ind w:firstLine="420" w:firstLineChars="200"/>
      </w:pPr>
      <w:r>
        <w:rPr>
          <w:rFonts w:hint="eastAsia"/>
        </w:rPr>
        <w:t>GB/</w:t>
      </w:r>
      <w:r>
        <w:t>T</w:t>
      </w:r>
      <w:r>
        <w:rPr>
          <w:rFonts w:hint="eastAsia"/>
        </w:rPr>
        <w:t xml:space="preserve"> 3082  铠装电缆用镀锌低碳钢丝</w:t>
      </w:r>
    </w:p>
    <w:p w14:paraId="43F404F9">
      <w:pPr>
        <w:adjustRightInd w:val="0"/>
        <w:snapToGrid w:val="0"/>
        <w:spacing w:line="360" w:lineRule="auto"/>
        <w:ind w:firstLine="420" w:firstLineChars="200"/>
      </w:pPr>
      <w:r>
        <w:rPr>
          <w:rFonts w:hint="eastAsia"/>
        </w:rPr>
        <w:t>GB/T 2951  电缆绝缘和护套材料通用试验方法</w:t>
      </w:r>
    </w:p>
    <w:p w14:paraId="036F8B32">
      <w:pPr>
        <w:adjustRightInd w:val="0"/>
        <w:snapToGrid w:val="0"/>
        <w:spacing w:line="360" w:lineRule="auto"/>
        <w:ind w:firstLine="420" w:firstLineChars="200"/>
      </w:pPr>
      <w:r>
        <w:rPr>
          <w:rFonts w:hint="eastAsia"/>
        </w:rPr>
        <w:t>GB/T 9771  通信用单模光纤系列</w:t>
      </w:r>
    </w:p>
    <w:p w14:paraId="693B9C42">
      <w:pPr>
        <w:adjustRightInd w:val="0"/>
        <w:snapToGrid w:val="0"/>
        <w:spacing w:line="360" w:lineRule="auto"/>
        <w:ind w:firstLine="420" w:firstLineChars="200"/>
      </w:pPr>
      <w:r>
        <w:rPr>
          <w:rFonts w:hint="eastAsia"/>
        </w:rPr>
        <w:t>GB/T 7424  通信光缆一般要求(ITU-TG.652)</w:t>
      </w:r>
    </w:p>
    <w:p w14:paraId="2EE6786E">
      <w:pPr>
        <w:adjustRightInd w:val="0"/>
        <w:snapToGrid w:val="0"/>
        <w:spacing w:line="360" w:lineRule="auto"/>
        <w:ind w:firstLine="420" w:firstLineChars="200"/>
      </w:pPr>
      <w:r>
        <w:rPr>
          <w:rFonts w:hint="eastAsia"/>
        </w:rPr>
        <w:t>GB/T 7425  光缆的机械性能试验方法(IEC794-1)</w:t>
      </w:r>
    </w:p>
    <w:p w14:paraId="5AA6CF61">
      <w:pPr>
        <w:adjustRightInd w:val="0"/>
        <w:snapToGrid w:val="0"/>
        <w:spacing w:line="360" w:lineRule="auto"/>
        <w:ind w:firstLine="420" w:firstLineChars="200"/>
      </w:pPr>
      <w:r>
        <w:rPr>
          <w:rFonts w:hint="eastAsia"/>
        </w:rPr>
        <w:t>GB/T 18480  海底光缆规范</w:t>
      </w:r>
    </w:p>
    <w:p w14:paraId="4C6E97A6">
      <w:pPr>
        <w:adjustRightInd w:val="0"/>
        <w:snapToGrid w:val="0"/>
        <w:spacing w:line="360" w:lineRule="auto"/>
        <w:ind w:firstLine="420" w:firstLineChars="200"/>
      </w:pPr>
      <w:r>
        <w:rPr>
          <w:rFonts w:hint="eastAsia"/>
        </w:rPr>
        <w:t>GB/T 9771.1 通信用单模光纤系列 第1部分:非色散位移单模光纤特性</w:t>
      </w:r>
    </w:p>
    <w:p w14:paraId="49BCAC39">
      <w:pPr>
        <w:adjustRightInd w:val="0"/>
        <w:snapToGrid w:val="0"/>
        <w:spacing w:line="360" w:lineRule="auto"/>
        <w:ind w:firstLine="420" w:firstLineChars="200"/>
      </w:pPr>
      <w:r>
        <w:rPr>
          <w:rFonts w:hint="eastAsia"/>
        </w:rPr>
        <w:t>GB/T 9771.5 通信用单模光纤系列 第5部分:非零色散位移单模光纤特性</w:t>
      </w:r>
    </w:p>
    <w:p w14:paraId="6627D647">
      <w:pPr>
        <w:adjustRightInd w:val="0"/>
        <w:snapToGrid w:val="0"/>
        <w:spacing w:line="360" w:lineRule="auto"/>
        <w:ind w:firstLine="420" w:firstLineChars="200"/>
      </w:pPr>
      <w:r>
        <w:rPr>
          <w:rFonts w:hint="eastAsia"/>
        </w:rPr>
        <w:t>DL/T 2060  额定电压500kV(Um=550kV）交联聚乙烯绝缘大长度交流海底电缆及附件</w:t>
      </w:r>
    </w:p>
    <w:p w14:paraId="21545E40">
      <w:pPr>
        <w:adjustRightInd w:val="0"/>
        <w:snapToGrid w:val="0"/>
        <w:spacing w:line="360" w:lineRule="auto"/>
        <w:ind w:firstLine="420" w:firstLineChars="200"/>
      </w:pPr>
      <w:r>
        <w:rPr>
          <w:rFonts w:hint="eastAsia"/>
        </w:rPr>
        <w:t>DL/T 401 高压电缆选用导则</w:t>
      </w:r>
    </w:p>
    <w:p w14:paraId="3CB08BC6">
      <w:pPr>
        <w:adjustRightInd w:val="0"/>
        <w:snapToGrid w:val="0"/>
        <w:spacing w:line="360" w:lineRule="auto"/>
        <w:ind w:firstLine="420" w:firstLineChars="200"/>
      </w:pPr>
      <w:r>
        <w:rPr>
          <w:rFonts w:hint="eastAsia"/>
        </w:rPr>
        <w:t>D</w:t>
      </w:r>
      <w:r>
        <w:t xml:space="preserve">L/T </w:t>
      </w:r>
      <w:r>
        <w:rPr>
          <w:rFonts w:hint="eastAsia"/>
        </w:rPr>
        <w:t>1279</w:t>
      </w:r>
      <w:r>
        <w:t xml:space="preserve"> </w:t>
      </w:r>
      <w:r>
        <w:rPr>
          <w:rFonts w:hint="eastAsia"/>
        </w:rPr>
        <w:t>500kV 及以下海底电力电缆线路验收规范</w:t>
      </w:r>
    </w:p>
    <w:p w14:paraId="5BEF128E">
      <w:pPr>
        <w:adjustRightInd w:val="0"/>
        <w:snapToGrid w:val="0"/>
        <w:spacing w:line="360" w:lineRule="auto"/>
        <w:ind w:firstLine="420" w:firstLineChars="200"/>
      </w:pPr>
      <w:r>
        <w:rPr>
          <w:rFonts w:hint="eastAsia"/>
        </w:rPr>
        <w:t>JB/T 5268.1～5268.2   电缆金属套</w:t>
      </w:r>
    </w:p>
    <w:p w14:paraId="7DA7B370">
      <w:pPr>
        <w:adjustRightInd w:val="0"/>
        <w:snapToGrid w:val="0"/>
        <w:spacing w:line="360" w:lineRule="auto"/>
        <w:ind w:firstLine="420" w:firstLineChars="200"/>
      </w:pPr>
      <w:r>
        <w:rPr>
          <w:rFonts w:hint="eastAsia"/>
        </w:rPr>
        <w:t>JB/T 10181.1～10181.6   电缆载流量计算</w:t>
      </w:r>
    </w:p>
    <w:p w14:paraId="259BD86F">
      <w:pPr>
        <w:adjustRightInd w:val="0"/>
        <w:snapToGrid w:val="0"/>
        <w:spacing w:line="360" w:lineRule="auto"/>
        <w:ind w:firstLine="420" w:firstLineChars="200"/>
      </w:pPr>
      <w:r>
        <w:rPr>
          <w:rFonts w:hint="eastAsia"/>
        </w:rPr>
        <w:t>IEC 60287  电缆连续载流量计算</w:t>
      </w:r>
    </w:p>
    <w:p w14:paraId="66CAE0D4">
      <w:pPr>
        <w:adjustRightInd w:val="0"/>
        <w:snapToGrid w:val="0"/>
        <w:spacing w:line="360" w:lineRule="auto"/>
        <w:ind w:firstLine="420" w:firstLineChars="200"/>
      </w:pPr>
      <w:r>
        <w:rPr>
          <w:rFonts w:hint="eastAsia"/>
        </w:rPr>
        <w:t>IEC 60230  电缆及附件的冲击耐压试验</w:t>
      </w:r>
    </w:p>
    <w:p w14:paraId="1020224D">
      <w:pPr>
        <w:adjustRightInd w:val="0"/>
        <w:snapToGrid w:val="0"/>
        <w:spacing w:line="360" w:lineRule="auto"/>
        <w:ind w:firstLine="420" w:firstLineChars="200"/>
      </w:pPr>
      <w:r>
        <w:rPr>
          <w:rFonts w:hint="eastAsia"/>
        </w:rPr>
        <w:t>IEC 61443  额定电压30kV以上电缆允许短路温度导则</w:t>
      </w:r>
    </w:p>
    <w:p w14:paraId="3BD08C0F">
      <w:pPr>
        <w:adjustRightInd w:val="0"/>
        <w:snapToGrid w:val="0"/>
        <w:spacing w:line="360" w:lineRule="auto"/>
        <w:ind w:firstLine="420" w:firstLineChars="200"/>
      </w:pPr>
      <w:r>
        <w:rPr>
          <w:rFonts w:hint="eastAsia"/>
        </w:rPr>
        <w:t>IEC 60060-1 高电压试验技术 第一部分 一般定义与试验要求</w:t>
      </w:r>
    </w:p>
    <w:p w14:paraId="4A99FC1B">
      <w:pPr>
        <w:adjustRightInd w:val="0"/>
        <w:snapToGrid w:val="0"/>
        <w:spacing w:line="360" w:lineRule="auto"/>
        <w:ind w:firstLine="420" w:firstLineChars="200"/>
      </w:pPr>
      <w:r>
        <w:rPr>
          <w:rFonts w:hint="eastAsia"/>
        </w:rPr>
        <w:t>IEC 60228 电缆的导体</w:t>
      </w:r>
    </w:p>
    <w:p w14:paraId="10697DCA">
      <w:pPr>
        <w:adjustRightInd w:val="0"/>
        <w:snapToGrid w:val="0"/>
        <w:spacing w:line="360" w:lineRule="auto"/>
        <w:ind w:firstLine="420" w:firstLineChars="200"/>
      </w:pPr>
      <w:r>
        <w:rPr>
          <w:rFonts w:hint="eastAsia"/>
        </w:rPr>
        <w:t>IEC 60229 具有特殊保护作用的挤出外护套的试验</w:t>
      </w:r>
    </w:p>
    <w:p w14:paraId="3A0B6A07">
      <w:pPr>
        <w:adjustRightInd w:val="0"/>
        <w:snapToGrid w:val="0"/>
        <w:spacing w:line="360" w:lineRule="auto"/>
        <w:ind w:firstLine="420" w:firstLineChars="200"/>
      </w:pPr>
      <w:r>
        <w:rPr>
          <w:rFonts w:hint="eastAsia"/>
        </w:rPr>
        <w:t>IEC 60811 电缆绝缘和护套材料通用试验方法</w:t>
      </w:r>
    </w:p>
    <w:p w14:paraId="62EF587F">
      <w:pPr>
        <w:adjustRightInd w:val="0"/>
        <w:snapToGrid w:val="0"/>
        <w:spacing w:line="360" w:lineRule="auto"/>
        <w:ind w:firstLine="420" w:firstLineChars="200"/>
      </w:pPr>
      <w:r>
        <w:rPr>
          <w:rFonts w:hint="eastAsia"/>
        </w:rPr>
        <w:t>IEC 60815 污秽条件下绝缘子选择导则</w:t>
      </w:r>
    </w:p>
    <w:p w14:paraId="1322E4B2">
      <w:pPr>
        <w:adjustRightInd w:val="0"/>
        <w:snapToGrid w:val="0"/>
        <w:spacing w:line="360" w:lineRule="auto"/>
        <w:ind w:firstLine="420" w:firstLineChars="200"/>
      </w:pPr>
      <w:r>
        <w:rPr>
          <w:rFonts w:hint="eastAsia"/>
        </w:rPr>
        <w:t>IEC 60859 额定电压72.5kV及以上气体绝缘开关设备的电缆连接装置</w:t>
      </w:r>
    </w:p>
    <w:p w14:paraId="3CAC2B00">
      <w:pPr>
        <w:adjustRightInd w:val="0"/>
        <w:snapToGrid w:val="0"/>
        <w:spacing w:line="360" w:lineRule="auto"/>
        <w:ind w:firstLine="420" w:firstLineChars="200"/>
      </w:pPr>
      <w:r>
        <w:rPr>
          <w:rFonts w:hint="eastAsia"/>
        </w:rPr>
        <w:t>IEC 60885-3 电缆的电性能试验方法 第三部分 整根交联聚乙烯绝缘电缆局部放电测试方法</w:t>
      </w:r>
    </w:p>
    <w:p w14:paraId="33FA6A87">
      <w:pPr>
        <w:adjustRightInd w:val="0"/>
        <w:snapToGrid w:val="0"/>
        <w:spacing w:line="360" w:lineRule="auto"/>
        <w:ind w:firstLine="420" w:firstLineChars="200"/>
      </w:pPr>
      <w:r>
        <w:rPr>
          <w:rFonts w:hint="eastAsia"/>
        </w:rPr>
        <w:t>IEC 60949 考虑非绝热效应的允许的短路电流的计算</w:t>
      </w:r>
    </w:p>
    <w:p w14:paraId="28D59A7B">
      <w:pPr>
        <w:adjustRightInd w:val="0"/>
        <w:snapToGrid w:val="0"/>
        <w:spacing w:line="360" w:lineRule="auto"/>
        <w:ind w:firstLine="420" w:firstLineChars="200"/>
      </w:pPr>
      <w:r>
        <w:rPr>
          <w:rFonts w:hint="eastAsia"/>
        </w:rPr>
        <w:t>IEC 61034-1 电缆或光缆在特定条件下燃烧时的烟密度的测定 第1部分 试验装置</w:t>
      </w:r>
    </w:p>
    <w:p w14:paraId="25942791">
      <w:pPr>
        <w:adjustRightInd w:val="0"/>
        <w:snapToGrid w:val="0"/>
        <w:spacing w:line="360" w:lineRule="auto"/>
        <w:ind w:firstLine="420" w:firstLineChars="200"/>
      </w:pPr>
      <w:r>
        <w:rPr>
          <w:rFonts w:hint="eastAsia"/>
        </w:rPr>
        <w:t>IEC 61034-2 电缆或光缆在特定条件下燃烧时的烟密度的测定 第2部分 试验步骤和要求</w:t>
      </w:r>
    </w:p>
    <w:p w14:paraId="3FBEB912">
      <w:pPr>
        <w:adjustRightInd w:val="0"/>
        <w:snapToGrid w:val="0"/>
        <w:spacing w:line="360" w:lineRule="auto"/>
        <w:ind w:firstLine="420" w:firstLineChars="200"/>
      </w:pPr>
      <w:r>
        <w:rPr>
          <w:rFonts w:hint="eastAsia"/>
        </w:rPr>
        <w:t>IEC 62067  额定电压150 kV（Um=170kV）以上至500kV（Um=550kV）挤出绝缘电力电缆及其附件的电力电缆系统——试验方法和要求</w:t>
      </w:r>
    </w:p>
    <w:p w14:paraId="12CEC7C0">
      <w:pPr>
        <w:adjustRightInd w:val="0"/>
        <w:snapToGrid w:val="0"/>
        <w:spacing w:line="360" w:lineRule="auto"/>
        <w:ind w:firstLine="420" w:firstLineChars="200"/>
      </w:pPr>
      <w:r>
        <w:rPr>
          <w:rFonts w:hint="eastAsia"/>
        </w:rPr>
        <w:t>IEC 60333电气设备空心绝缘测试</w:t>
      </w:r>
    </w:p>
    <w:p w14:paraId="21D1CCEB">
      <w:pPr>
        <w:adjustRightInd w:val="0"/>
        <w:snapToGrid w:val="0"/>
        <w:spacing w:line="360" w:lineRule="auto"/>
        <w:ind w:firstLine="420" w:firstLineChars="200"/>
      </w:pPr>
      <w:r>
        <w:rPr>
          <w:rFonts w:hint="eastAsia"/>
        </w:rPr>
        <w:t>IEC 60092-3 船用电气装置 第3部分：电缆(结构、试验和敷设)</w:t>
      </w:r>
    </w:p>
    <w:p w14:paraId="08AF27BE">
      <w:pPr>
        <w:adjustRightInd w:val="0"/>
        <w:snapToGrid w:val="0"/>
        <w:spacing w:line="360" w:lineRule="auto"/>
        <w:ind w:firstLine="420" w:firstLineChars="200"/>
      </w:pPr>
      <w:r>
        <w:rPr>
          <w:rFonts w:hint="eastAsia"/>
        </w:rPr>
        <w:t>IEC 60794-1 光缆一般性要求</w:t>
      </w:r>
    </w:p>
    <w:p w14:paraId="42946BBB">
      <w:pPr>
        <w:adjustRightInd w:val="0"/>
        <w:snapToGrid w:val="0"/>
        <w:spacing w:line="360" w:lineRule="auto"/>
        <w:ind w:firstLine="420" w:firstLineChars="200"/>
      </w:pPr>
      <w:r>
        <w:rPr>
          <w:rFonts w:hint="eastAsia"/>
        </w:rPr>
        <w:t>IEC 60793-1 光纤一般性要求</w:t>
      </w:r>
    </w:p>
    <w:p w14:paraId="52F5B841">
      <w:pPr>
        <w:adjustRightInd w:val="0"/>
        <w:snapToGrid w:val="0"/>
        <w:spacing w:line="360" w:lineRule="auto"/>
        <w:ind w:firstLine="420" w:firstLineChars="200"/>
      </w:pPr>
      <w:r>
        <w:rPr>
          <w:rFonts w:hint="eastAsia"/>
        </w:rPr>
        <w:t>CIGRE TB 490  系统电压30(36)以上至500(550)kV的大长度挤出绝缘交流海底电缆的试验推荐要求</w:t>
      </w:r>
    </w:p>
    <w:p w14:paraId="37AA6EDB">
      <w:pPr>
        <w:adjustRightInd w:val="0"/>
        <w:snapToGrid w:val="0"/>
        <w:spacing w:line="360" w:lineRule="auto"/>
        <w:ind w:firstLine="420" w:firstLineChars="200"/>
      </w:pPr>
      <w:r>
        <w:t>CIGRE TB 623</w:t>
      </w:r>
      <w:r>
        <w:rPr>
          <w:rFonts w:hint="eastAsia"/>
        </w:rPr>
        <w:t xml:space="preserve">  海底电缆机械性能试验的建议</w:t>
      </w:r>
    </w:p>
    <w:p w14:paraId="206B87D9">
      <w:pPr>
        <w:adjustRightInd w:val="0"/>
        <w:snapToGrid w:val="0"/>
        <w:spacing w:line="360" w:lineRule="auto"/>
        <w:ind w:firstLine="420" w:firstLineChars="200"/>
      </w:pPr>
      <w:r>
        <w:rPr>
          <w:rFonts w:hint="eastAsia"/>
        </w:rPr>
        <w:t>ITU-TG.652  通信光缆的一般要求</w:t>
      </w:r>
    </w:p>
    <w:p w14:paraId="584763D3">
      <w:pPr>
        <w:adjustRightInd w:val="0"/>
        <w:snapToGrid w:val="0"/>
        <w:spacing w:line="360" w:lineRule="auto"/>
        <w:ind w:firstLine="420" w:firstLineChars="200"/>
      </w:pPr>
      <w:r>
        <w:rPr>
          <w:rFonts w:hint="eastAsia"/>
        </w:rPr>
        <w:t>ITU-TG-650  光纤电缆几何尺寸参数测量方法一般原则</w:t>
      </w:r>
    </w:p>
    <w:p w14:paraId="45CD873E">
      <w:pPr>
        <w:adjustRightInd w:val="0"/>
        <w:snapToGrid w:val="0"/>
        <w:spacing w:line="360" w:lineRule="auto"/>
        <w:ind w:firstLine="420" w:firstLineChars="200"/>
      </w:pPr>
      <w:r>
        <w:t>YD/T 814.3 光缆接头盒</w:t>
      </w:r>
      <w:r>
        <w:rPr>
          <w:rFonts w:hint="eastAsia"/>
        </w:rPr>
        <w:t xml:space="preserve"> 第3部分：无中继海底光缆接头盒</w:t>
      </w:r>
    </w:p>
    <w:p w14:paraId="78CA3D72">
      <w:pPr>
        <w:adjustRightInd w:val="0"/>
        <w:snapToGrid w:val="0"/>
        <w:spacing w:line="360" w:lineRule="auto"/>
        <w:ind w:left="420"/>
        <w:rPr>
          <w:rFonts w:ascii="宋体" w:hAnsi="宋体" w:cstheme="majorBidi"/>
        </w:rPr>
      </w:pPr>
      <w:r>
        <w:t>Q/CSG 1205064</w:t>
      </w:r>
      <w:r>
        <w:rPr>
          <w:rFonts w:ascii="宋体" w:hAnsi="宋体" w:cstheme="majorBidi"/>
        </w:rPr>
        <w:t>南方电网企业标准《海底电力电缆工程建设及保护技术规范》</w:t>
      </w:r>
    </w:p>
    <w:p w14:paraId="01A43C26">
      <w:pPr>
        <w:adjustRightInd w:val="0"/>
        <w:snapToGrid w:val="0"/>
        <w:spacing w:line="360" w:lineRule="auto"/>
        <w:ind w:left="420"/>
        <w:rPr>
          <w:rFonts w:ascii="宋体" w:hAnsi="宋体" w:cstheme="majorBidi"/>
        </w:rPr>
      </w:pPr>
      <w:r>
        <w:t>Q/CSG 1205059</w:t>
      </w:r>
      <w:r>
        <w:rPr>
          <w:rFonts w:hint="eastAsia" w:ascii="宋体" w:hAnsi="宋体" w:cstheme="majorBidi"/>
        </w:rPr>
        <w:t>南方电网企业标准《海底电缆施工及运维海上作业安全技术规定》</w:t>
      </w:r>
    </w:p>
    <w:p w14:paraId="14A4297E">
      <w:pPr>
        <w:adjustRightInd w:val="0"/>
        <w:snapToGrid w:val="0"/>
        <w:spacing w:line="360" w:lineRule="auto"/>
        <w:ind w:firstLine="420" w:firstLineChars="200"/>
      </w:pPr>
      <w:r>
        <w:t>Q/CSG 1205063</w:t>
      </w:r>
      <w:r>
        <w:rPr>
          <w:rFonts w:hint="eastAsia"/>
        </w:rPr>
        <w:t>南方电网企业标准《35kV~500kV电力电缆线路运行规程》</w:t>
      </w:r>
    </w:p>
    <w:p w14:paraId="78D87647">
      <w:pPr>
        <w:pStyle w:val="284"/>
      </w:pPr>
      <w:bookmarkStart w:id="54" w:name="_Toc232443345"/>
      <w:bookmarkStart w:id="55" w:name="_Toc226123938"/>
      <w:r>
        <w:rPr>
          <w:rFonts w:hint="eastAsia"/>
        </w:rPr>
        <w:t>5</w:t>
      </w:r>
      <w:r>
        <w:t xml:space="preserve"> </w:t>
      </w:r>
      <w:r>
        <w:rPr>
          <w:rFonts w:hint="eastAsia"/>
        </w:rPr>
        <w:t>本技术规范书使用条件</w:t>
      </w:r>
      <w:bookmarkEnd w:id="51"/>
      <w:bookmarkEnd w:id="52"/>
      <w:bookmarkEnd w:id="53"/>
      <w:bookmarkEnd w:id="54"/>
      <w:bookmarkEnd w:id="55"/>
    </w:p>
    <w:p w14:paraId="233E6D48">
      <w:pPr>
        <w:pStyle w:val="397"/>
      </w:pPr>
      <w:bookmarkStart w:id="56" w:name="_Toc226123939"/>
      <w:bookmarkStart w:id="57" w:name="_Toc232443346"/>
      <w:r>
        <w:rPr>
          <w:rFonts w:hint="eastAsia"/>
        </w:rPr>
        <w:t>5</w:t>
      </w:r>
      <w:r>
        <w:t xml:space="preserve">.1 </w:t>
      </w:r>
      <w:r>
        <w:rPr>
          <w:rFonts w:hint="eastAsia"/>
        </w:rPr>
        <w:t>工程概况</w:t>
      </w:r>
      <w:bookmarkEnd w:id="56"/>
      <w:bookmarkEnd w:id="57"/>
    </w:p>
    <w:p w14:paraId="2CF3192E">
      <w:pPr>
        <w:adjustRightInd w:val="0"/>
        <w:snapToGrid w:val="0"/>
        <w:spacing w:line="360" w:lineRule="auto"/>
        <w:ind w:firstLine="420" w:firstLineChars="200"/>
        <w:rPr>
          <w:szCs w:val="21"/>
        </w:rPr>
      </w:pPr>
      <w:r>
        <w:rPr>
          <w:szCs w:val="21"/>
        </w:rPr>
        <w:t>本技术规范书采购的设备适用的工程概况如下：</w:t>
      </w:r>
    </w:p>
    <w:p w14:paraId="0519D221">
      <w:pPr>
        <w:widowControl/>
        <w:spacing w:line="360" w:lineRule="auto"/>
        <w:jc w:val="center"/>
        <w:rPr>
          <w:kern w:val="0"/>
          <w:szCs w:val="21"/>
        </w:rPr>
      </w:pPr>
      <w:r>
        <w:rPr>
          <w:kern w:val="0"/>
          <w:szCs w:val="21"/>
        </w:rPr>
        <w:t>表</w:t>
      </w:r>
      <w:r>
        <w:rPr>
          <w:rFonts w:hint="eastAsia"/>
          <w:kern w:val="0"/>
          <w:szCs w:val="21"/>
        </w:rPr>
        <w:t>5</w:t>
      </w:r>
      <w:r>
        <w:rPr>
          <w:kern w:val="0"/>
          <w:szCs w:val="21"/>
        </w:rPr>
        <w:t xml:space="preserve">.1  工程概况一览表 </w:t>
      </w:r>
    </w:p>
    <w:tbl>
      <w:tblPr>
        <w:tblStyle w:val="8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3962"/>
        <w:gridCol w:w="3860"/>
      </w:tblGrid>
      <w:tr w14:paraId="20B7C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vAlign w:val="center"/>
          </w:tcPr>
          <w:p w14:paraId="4A9EFC5A">
            <w:pPr>
              <w:jc w:val="center"/>
              <w:rPr>
                <w:szCs w:val="21"/>
              </w:rPr>
            </w:pPr>
            <w:r>
              <w:rPr>
                <w:szCs w:val="21"/>
              </w:rPr>
              <w:t>序号</w:t>
            </w:r>
          </w:p>
        </w:tc>
        <w:tc>
          <w:tcPr>
            <w:tcW w:w="3962" w:type="dxa"/>
            <w:vAlign w:val="center"/>
          </w:tcPr>
          <w:p w14:paraId="5043E3A8">
            <w:pPr>
              <w:jc w:val="center"/>
              <w:rPr>
                <w:szCs w:val="21"/>
              </w:rPr>
            </w:pPr>
            <w:r>
              <w:rPr>
                <w:szCs w:val="21"/>
              </w:rPr>
              <w:t>名 称</w:t>
            </w:r>
          </w:p>
        </w:tc>
        <w:tc>
          <w:tcPr>
            <w:tcW w:w="3860" w:type="dxa"/>
            <w:vAlign w:val="center"/>
          </w:tcPr>
          <w:p w14:paraId="57819180">
            <w:pPr>
              <w:ind w:left="101"/>
              <w:jc w:val="center"/>
              <w:rPr>
                <w:szCs w:val="21"/>
              </w:rPr>
            </w:pPr>
            <w:r>
              <w:rPr>
                <w:szCs w:val="21"/>
              </w:rPr>
              <w:t>项目单位填写</w:t>
            </w:r>
          </w:p>
        </w:tc>
      </w:tr>
      <w:tr w14:paraId="7DD5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00" w:type="dxa"/>
            <w:vAlign w:val="center"/>
          </w:tcPr>
          <w:p w14:paraId="44DF6351">
            <w:pPr>
              <w:jc w:val="center"/>
              <w:rPr>
                <w:szCs w:val="21"/>
              </w:rPr>
            </w:pPr>
            <w:r>
              <w:rPr>
                <w:szCs w:val="21"/>
              </w:rPr>
              <w:t>1</w:t>
            </w:r>
          </w:p>
        </w:tc>
        <w:tc>
          <w:tcPr>
            <w:tcW w:w="3962" w:type="dxa"/>
            <w:vAlign w:val="center"/>
          </w:tcPr>
          <w:p w14:paraId="48F1FE15">
            <w:pPr>
              <w:jc w:val="center"/>
              <w:rPr>
                <w:szCs w:val="21"/>
              </w:rPr>
            </w:pPr>
            <w:r>
              <w:rPr>
                <w:szCs w:val="21"/>
              </w:rPr>
              <w:t>工程名称</w:t>
            </w:r>
          </w:p>
        </w:tc>
        <w:tc>
          <w:tcPr>
            <w:tcW w:w="3860" w:type="dxa"/>
            <w:vAlign w:val="center"/>
          </w:tcPr>
          <w:p w14:paraId="06AD3570">
            <w:pPr>
              <w:jc w:val="center"/>
              <w:rPr>
                <w:szCs w:val="21"/>
              </w:rPr>
            </w:pPr>
            <w:r>
              <w:rPr>
                <w:rFonts w:hint="eastAsia"/>
                <w:szCs w:val="21"/>
              </w:rPr>
              <w:t>海南-广东电力灵活互济工程</w:t>
            </w:r>
          </w:p>
          <w:p w14:paraId="3DE7B9F1">
            <w:pPr>
              <w:jc w:val="center"/>
              <w:rPr>
                <w:szCs w:val="21"/>
              </w:rPr>
            </w:pPr>
            <w:r>
              <w:rPr>
                <w:rFonts w:hint="eastAsia"/>
                <w:szCs w:val="21"/>
              </w:rPr>
              <w:t>500kV海缆线路新建工程</w:t>
            </w:r>
          </w:p>
        </w:tc>
      </w:tr>
      <w:tr w14:paraId="4BBF6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00" w:type="dxa"/>
            <w:vAlign w:val="center"/>
          </w:tcPr>
          <w:p w14:paraId="75F24B8D">
            <w:pPr>
              <w:jc w:val="center"/>
              <w:rPr>
                <w:szCs w:val="21"/>
              </w:rPr>
            </w:pPr>
            <w:r>
              <w:rPr>
                <w:szCs w:val="21"/>
              </w:rPr>
              <w:t>2</w:t>
            </w:r>
          </w:p>
        </w:tc>
        <w:tc>
          <w:tcPr>
            <w:tcW w:w="3962" w:type="dxa"/>
            <w:vAlign w:val="center"/>
          </w:tcPr>
          <w:p w14:paraId="6B4944D9">
            <w:pPr>
              <w:jc w:val="center"/>
              <w:rPr>
                <w:szCs w:val="21"/>
              </w:rPr>
            </w:pPr>
            <w:r>
              <w:rPr>
                <w:szCs w:val="21"/>
              </w:rPr>
              <w:t>工程建设单位</w:t>
            </w:r>
          </w:p>
        </w:tc>
        <w:tc>
          <w:tcPr>
            <w:tcW w:w="3860" w:type="dxa"/>
            <w:vAlign w:val="center"/>
          </w:tcPr>
          <w:p w14:paraId="74E336EF">
            <w:pPr>
              <w:jc w:val="center"/>
              <w:rPr>
                <w:szCs w:val="21"/>
              </w:rPr>
            </w:pPr>
            <w:r>
              <w:rPr>
                <w:rFonts w:hint="eastAsia"/>
                <w:szCs w:val="21"/>
              </w:rPr>
              <w:t>中国南方电网有限责任公司超高压输电公司</w:t>
            </w:r>
          </w:p>
        </w:tc>
      </w:tr>
      <w:tr w14:paraId="1D76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0" w:type="dxa"/>
            <w:vAlign w:val="center"/>
          </w:tcPr>
          <w:p w14:paraId="085E44F3">
            <w:pPr>
              <w:jc w:val="center"/>
              <w:rPr>
                <w:szCs w:val="21"/>
              </w:rPr>
            </w:pPr>
            <w:r>
              <w:rPr>
                <w:szCs w:val="21"/>
              </w:rPr>
              <w:t>3</w:t>
            </w:r>
          </w:p>
        </w:tc>
        <w:tc>
          <w:tcPr>
            <w:tcW w:w="3962" w:type="dxa"/>
            <w:vAlign w:val="center"/>
          </w:tcPr>
          <w:p w14:paraId="2387E4DD">
            <w:pPr>
              <w:jc w:val="center"/>
              <w:rPr>
                <w:szCs w:val="21"/>
              </w:rPr>
            </w:pPr>
            <w:r>
              <w:rPr>
                <w:szCs w:val="21"/>
              </w:rPr>
              <w:t>工程地址</w:t>
            </w:r>
          </w:p>
        </w:tc>
        <w:tc>
          <w:tcPr>
            <w:tcW w:w="3860" w:type="dxa"/>
            <w:vAlign w:val="center"/>
          </w:tcPr>
          <w:p w14:paraId="2F63A9CF">
            <w:pPr>
              <w:jc w:val="center"/>
              <w:rPr>
                <w:szCs w:val="21"/>
              </w:rPr>
            </w:pPr>
            <w:r>
              <w:rPr>
                <w:rFonts w:hint="eastAsia"/>
                <w:szCs w:val="21"/>
              </w:rPr>
              <w:t>广东徐闻、海南澄迈、琼州海峡</w:t>
            </w:r>
          </w:p>
        </w:tc>
      </w:tr>
      <w:tr w14:paraId="5D73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0" w:type="dxa"/>
            <w:vAlign w:val="center"/>
          </w:tcPr>
          <w:p w14:paraId="5ACA0013">
            <w:pPr>
              <w:jc w:val="center"/>
              <w:rPr>
                <w:szCs w:val="21"/>
              </w:rPr>
            </w:pPr>
            <w:r>
              <w:rPr>
                <w:szCs w:val="21"/>
              </w:rPr>
              <w:t>4</w:t>
            </w:r>
          </w:p>
        </w:tc>
        <w:tc>
          <w:tcPr>
            <w:tcW w:w="3962" w:type="dxa"/>
            <w:vAlign w:val="center"/>
          </w:tcPr>
          <w:p w14:paraId="1271BB5C">
            <w:pPr>
              <w:jc w:val="center"/>
              <w:rPr>
                <w:szCs w:val="21"/>
              </w:rPr>
            </w:pPr>
            <w:r>
              <w:rPr>
                <w:szCs w:val="21"/>
              </w:rPr>
              <w:t>是否为扩建工程（是/否）</w:t>
            </w:r>
          </w:p>
        </w:tc>
        <w:tc>
          <w:tcPr>
            <w:tcW w:w="3860" w:type="dxa"/>
            <w:vAlign w:val="center"/>
          </w:tcPr>
          <w:p w14:paraId="302D85D3">
            <w:pPr>
              <w:jc w:val="center"/>
              <w:rPr>
                <w:szCs w:val="21"/>
              </w:rPr>
            </w:pPr>
            <w:r>
              <w:rPr>
                <w:szCs w:val="21"/>
              </w:rPr>
              <w:t>否</w:t>
            </w:r>
          </w:p>
        </w:tc>
      </w:tr>
      <w:tr w14:paraId="69302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0" w:type="dxa"/>
            <w:vAlign w:val="center"/>
          </w:tcPr>
          <w:p w14:paraId="3BEC30A1">
            <w:pPr>
              <w:jc w:val="center"/>
              <w:rPr>
                <w:szCs w:val="21"/>
              </w:rPr>
            </w:pPr>
            <w:r>
              <w:rPr>
                <w:szCs w:val="21"/>
              </w:rPr>
              <w:t>5</w:t>
            </w:r>
          </w:p>
        </w:tc>
        <w:tc>
          <w:tcPr>
            <w:tcW w:w="3962" w:type="dxa"/>
            <w:vAlign w:val="center"/>
          </w:tcPr>
          <w:p w14:paraId="6F126D3F">
            <w:pPr>
              <w:jc w:val="center"/>
              <w:rPr>
                <w:szCs w:val="21"/>
              </w:rPr>
            </w:pPr>
            <w:r>
              <w:rPr>
                <w:szCs w:val="21"/>
              </w:rPr>
              <w:t>运输条件</w:t>
            </w:r>
          </w:p>
        </w:tc>
        <w:tc>
          <w:tcPr>
            <w:tcW w:w="3860" w:type="dxa"/>
            <w:vAlign w:val="center"/>
          </w:tcPr>
          <w:p w14:paraId="30F60525">
            <w:pPr>
              <w:jc w:val="center"/>
              <w:rPr>
                <w:szCs w:val="21"/>
              </w:rPr>
            </w:pPr>
            <w:r>
              <w:rPr>
                <w:rFonts w:hint="eastAsia"/>
                <w:szCs w:val="21"/>
              </w:rPr>
              <w:t>海运、陆运</w:t>
            </w:r>
          </w:p>
        </w:tc>
      </w:tr>
      <w:tr w14:paraId="6F74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00" w:type="dxa"/>
            <w:vAlign w:val="center"/>
          </w:tcPr>
          <w:p w14:paraId="787A0704">
            <w:pPr>
              <w:jc w:val="center"/>
              <w:rPr>
                <w:szCs w:val="21"/>
              </w:rPr>
            </w:pPr>
            <w:r>
              <w:rPr>
                <w:szCs w:val="21"/>
              </w:rPr>
              <w:t>6</w:t>
            </w:r>
          </w:p>
        </w:tc>
        <w:tc>
          <w:tcPr>
            <w:tcW w:w="3962" w:type="dxa"/>
            <w:vAlign w:val="center"/>
          </w:tcPr>
          <w:p w14:paraId="7C6C228E">
            <w:pPr>
              <w:jc w:val="center"/>
              <w:rPr>
                <w:szCs w:val="21"/>
              </w:rPr>
            </w:pPr>
            <w:r>
              <w:rPr>
                <w:szCs w:val="21"/>
              </w:rPr>
              <w:t>安装点短路电流</w:t>
            </w:r>
          </w:p>
        </w:tc>
        <w:tc>
          <w:tcPr>
            <w:tcW w:w="3860" w:type="dxa"/>
            <w:vAlign w:val="center"/>
          </w:tcPr>
          <w:p w14:paraId="5B769666">
            <w:pPr>
              <w:jc w:val="center"/>
              <w:rPr>
                <w:szCs w:val="21"/>
              </w:rPr>
            </w:pPr>
            <w:r>
              <w:rPr>
                <w:szCs w:val="21"/>
              </w:rPr>
              <w:t>63kA</w:t>
            </w:r>
            <w:r>
              <w:rPr>
                <w:rFonts w:hint="eastAsia"/>
                <w:szCs w:val="21"/>
              </w:rPr>
              <w:t>，5s</w:t>
            </w:r>
          </w:p>
        </w:tc>
      </w:tr>
      <w:tr w14:paraId="50C20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0" w:type="dxa"/>
            <w:vAlign w:val="center"/>
          </w:tcPr>
          <w:p w14:paraId="6955B6F7">
            <w:pPr>
              <w:jc w:val="center"/>
              <w:rPr>
                <w:szCs w:val="21"/>
              </w:rPr>
            </w:pPr>
            <w:r>
              <w:rPr>
                <w:szCs w:val="21"/>
              </w:rPr>
              <w:t>7</w:t>
            </w:r>
          </w:p>
        </w:tc>
        <w:tc>
          <w:tcPr>
            <w:tcW w:w="3962" w:type="dxa"/>
            <w:vAlign w:val="center"/>
          </w:tcPr>
          <w:p w14:paraId="1858FFC5">
            <w:pPr>
              <w:jc w:val="center"/>
              <w:rPr>
                <w:szCs w:val="21"/>
              </w:rPr>
            </w:pPr>
            <w:r>
              <w:rPr>
                <w:rFonts w:hint="eastAsia"/>
                <w:szCs w:val="21"/>
              </w:rPr>
              <w:t>额定</w:t>
            </w:r>
            <w:r>
              <w:rPr>
                <w:szCs w:val="21"/>
              </w:rPr>
              <w:t>电压</w:t>
            </w:r>
            <w:r>
              <w:rPr>
                <w:i/>
                <w:szCs w:val="21"/>
              </w:rPr>
              <w:t>U</w:t>
            </w:r>
            <w:r>
              <w:rPr>
                <w:i/>
                <w:szCs w:val="21"/>
                <w:vertAlign w:val="subscript"/>
              </w:rPr>
              <w:t>0</w:t>
            </w:r>
          </w:p>
        </w:tc>
        <w:tc>
          <w:tcPr>
            <w:tcW w:w="3860" w:type="dxa"/>
            <w:vAlign w:val="center"/>
          </w:tcPr>
          <w:p w14:paraId="2958DA78">
            <w:pPr>
              <w:jc w:val="center"/>
              <w:rPr>
                <w:szCs w:val="21"/>
              </w:rPr>
            </w:pPr>
            <w:r>
              <w:rPr>
                <w:szCs w:val="21"/>
              </w:rPr>
              <w:t>290/</w:t>
            </w:r>
            <w:r>
              <w:rPr>
                <w:rFonts w:hint="eastAsia"/>
                <w:szCs w:val="21"/>
              </w:rPr>
              <w:t>500kV</w:t>
            </w:r>
          </w:p>
        </w:tc>
      </w:tr>
      <w:tr w14:paraId="504E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0" w:type="dxa"/>
            <w:vAlign w:val="center"/>
          </w:tcPr>
          <w:p w14:paraId="3E7BC0CF">
            <w:pPr>
              <w:jc w:val="center"/>
              <w:rPr>
                <w:szCs w:val="21"/>
              </w:rPr>
            </w:pPr>
            <w:r>
              <w:rPr>
                <w:szCs w:val="21"/>
              </w:rPr>
              <w:t>8</w:t>
            </w:r>
          </w:p>
        </w:tc>
        <w:tc>
          <w:tcPr>
            <w:tcW w:w="3962" w:type="dxa"/>
            <w:vAlign w:val="center"/>
          </w:tcPr>
          <w:p w14:paraId="2CA08B8F">
            <w:pPr>
              <w:jc w:val="center"/>
              <w:rPr>
                <w:szCs w:val="21"/>
              </w:rPr>
            </w:pPr>
            <w:r>
              <w:rPr>
                <w:szCs w:val="21"/>
              </w:rPr>
              <w:t>系统最高电压</w:t>
            </w:r>
            <w:r>
              <w:rPr>
                <w:i/>
                <w:szCs w:val="21"/>
              </w:rPr>
              <w:t>U</w:t>
            </w:r>
            <w:r>
              <w:rPr>
                <w:i/>
                <w:szCs w:val="21"/>
                <w:vertAlign w:val="subscript"/>
              </w:rPr>
              <w:t>m</w:t>
            </w:r>
          </w:p>
        </w:tc>
        <w:tc>
          <w:tcPr>
            <w:tcW w:w="3860" w:type="dxa"/>
            <w:vAlign w:val="center"/>
          </w:tcPr>
          <w:p w14:paraId="2616B5EE">
            <w:pPr>
              <w:jc w:val="center"/>
              <w:rPr>
                <w:szCs w:val="21"/>
              </w:rPr>
            </w:pPr>
            <w:r>
              <w:rPr>
                <w:szCs w:val="21"/>
              </w:rPr>
              <w:t>550kV</w:t>
            </w:r>
          </w:p>
        </w:tc>
      </w:tr>
      <w:tr w14:paraId="1FD9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0" w:type="dxa"/>
            <w:vAlign w:val="center"/>
          </w:tcPr>
          <w:p w14:paraId="654CB213">
            <w:pPr>
              <w:jc w:val="center"/>
              <w:rPr>
                <w:szCs w:val="21"/>
              </w:rPr>
            </w:pPr>
            <w:r>
              <w:rPr>
                <w:szCs w:val="21"/>
              </w:rPr>
              <w:t>9</w:t>
            </w:r>
          </w:p>
        </w:tc>
        <w:tc>
          <w:tcPr>
            <w:tcW w:w="3962" w:type="dxa"/>
            <w:vAlign w:val="center"/>
          </w:tcPr>
          <w:p w14:paraId="4A586FEC">
            <w:pPr>
              <w:jc w:val="center"/>
              <w:rPr>
                <w:szCs w:val="21"/>
              </w:rPr>
            </w:pPr>
            <w:r>
              <w:rPr>
                <w:szCs w:val="21"/>
              </w:rPr>
              <w:t>系统额定频率</w:t>
            </w:r>
          </w:p>
        </w:tc>
        <w:tc>
          <w:tcPr>
            <w:tcW w:w="3860" w:type="dxa"/>
            <w:vAlign w:val="center"/>
          </w:tcPr>
          <w:p w14:paraId="3DCA9597">
            <w:pPr>
              <w:jc w:val="center"/>
              <w:rPr>
                <w:szCs w:val="21"/>
              </w:rPr>
            </w:pPr>
            <w:r>
              <w:rPr>
                <w:rFonts w:hint="eastAsia"/>
                <w:szCs w:val="21"/>
              </w:rPr>
              <w:t>5</w:t>
            </w:r>
            <w:r>
              <w:rPr>
                <w:szCs w:val="21"/>
              </w:rPr>
              <w:t>0Hz</w:t>
            </w:r>
          </w:p>
        </w:tc>
      </w:tr>
      <w:tr w14:paraId="6547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0" w:type="dxa"/>
            <w:vAlign w:val="center"/>
          </w:tcPr>
          <w:p w14:paraId="7745AF37">
            <w:pPr>
              <w:jc w:val="center"/>
              <w:rPr>
                <w:szCs w:val="21"/>
              </w:rPr>
            </w:pPr>
            <w:r>
              <w:rPr>
                <w:rFonts w:hint="eastAsia"/>
                <w:szCs w:val="21"/>
              </w:rPr>
              <w:t>1</w:t>
            </w:r>
            <w:r>
              <w:rPr>
                <w:szCs w:val="21"/>
              </w:rPr>
              <w:t>0</w:t>
            </w:r>
          </w:p>
        </w:tc>
        <w:tc>
          <w:tcPr>
            <w:tcW w:w="3962" w:type="dxa"/>
            <w:vAlign w:val="center"/>
          </w:tcPr>
          <w:p w14:paraId="475FD647">
            <w:pPr>
              <w:jc w:val="center"/>
              <w:rPr>
                <w:szCs w:val="21"/>
              </w:rPr>
            </w:pPr>
            <w:r>
              <w:rPr>
                <w:rFonts w:hint="eastAsia"/>
                <w:szCs w:val="21"/>
              </w:rPr>
              <w:t>路由最大水深</w:t>
            </w:r>
          </w:p>
        </w:tc>
        <w:tc>
          <w:tcPr>
            <w:tcW w:w="3860" w:type="dxa"/>
            <w:vAlign w:val="center"/>
          </w:tcPr>
          <w:p w14:paraId="42AC4107">
            <w:pPr>
              <w:jc w:val="center"/>
              <w:rPr>
                <w:szCs w:val="21"/>
              </w:rPr>
            </w:pPr>
            <w:r>
              <w:rPr>
                <w:rFonts w:hint="eastAsia"/>
                <w:szCs w:val="21"/>
              </w:rPr>
              <w:t>110m</w:t>
            </w:r>
          </w:p>
        </w:tc>
      </w:tr>
    </w:tbl>
    <w:p w14:paraId="02C1C133">
      <w:pPr>
        <w:pStyle w:val="394"/>
      </w:pPr>
    </w:p>
    <w:p w14:paraId="5E1D845D">
      <w:pPr>
        <w:pStyle w:val="394"/>
      </w:pPr>
      <w:r>
        <w:rPr>
          <w:rFonts w:hint="eastAsia"/>
        </w:rPr>
        <w:t>本技术规范书</w:t>
      </w:r>
      <w:r>
        <w:t>主要包含</w:t>
      </w:r>
      <w:r>
        <w:rPr>
          <w:rFonts w:hint="eastAsia"/>
        </w:rPr>
        <w:t>徐闻侧东莞村终端站、海口侧林诗岛终端站</w:t>
      </w:r>
      <w:r>
        <w:t>之间的</w:t>
      </w:r>
      <w:r>
        <w:rPr>
          <w:rFonts w:hint="eastAsia"/>
        </w:rPr>
        <w:t>新建</w:t>
      </w:r>
      <w:r>
        <w:t>1回</w:t>
      </w:r>
      <w:r>
        <w:rPr>
          <w:rFonts w:hint="eastAsia"/>
        </w:rPr>
        <w:t>500kV海底</w:t>
      </w:r>
      <w:r>
        <w:t>电缆</w:t>
      </w:r>
      <w:r>
        <w:rPr>
          <w:rFonts w:hint="eastAsia"/>
        </w:rPr>
        <w:t>系统及附属设备</w:t>
      </w:r>
      <w:r>
        <w:t>。</w:t>
      </w:r>
    </w:p>
    <w:p w14:paraId="2D6BBE87">
      <w:pPr>
        <w:adjustRightInd w:val="0"/>
        <w:snapToGrid w:val="0"/>
        <w:spacing w:line="360" w:lineRule="auto"/>
        <w:ind w:firstLine="420" w:firstLineChars="200"/>
      </w:pPr>
    </w:p>
    <w:p w14:paraId="19790A40">
      <w:pPr>
        <w:pStyle w:val="4"/>
        <w:keepNext w:val="0"/>
        <w:tabs>
          <w:tab w:val="left" w:pos="576"/>
        </w:tabs>
        <w:topLinePunct w:val="0"/>
        <w:adjustRightInd w:val="0"/>
        <w:snapToGrid w:val="0"/>
        <w:spacing w:line="360" w:lineRule="auto"/>
        <w:ind w:left="0"/>
        <w:rPr>
          <w:rFonts w:eastAsia="宋体"/>
        </w:rPr>
      </w:pPr>
      <w:bookmarkStart w:id="58" w:name="_Toc226123940"/>
      <w:bookmarkStart w:id="59" w:name="_Toc232443347"/>
      <w:bookmarkStart w:id="60" w:name="_Toc22302710"/>
      <w:r>
        <w:rPr>
          <w:rFonts w:hint="eastAsia" w:ascii="黑体" w:hAnsi="黑体"/>
        </w:rPr>
        <w:t>5.</w:t>
      </w:r>
      <w:r>
        <w:rPr>
          <w:rFonts w:ascii="黑体" w:hAnsi="黑体"/>
        </w:rPr>
        <w:t xml:space="preserve">2 </w:t>
      </w:r>
      <w:r>
        <w:rPr>
          <w:rFonts w:hint="eastAsia" w:ascii="黑体" w:hAnsi="黑体"/>
        </w:rPr>
        <w:t>环境条件</w:t>
      </w:r>
      <w:bookmarkEnd w:id="58"/>
      <w:bookmarkEnd w:id="59"/>
      <w:bookmarkEnd w:id="60"/>
    </w:p>
    <w:p w14:paraId="538AFE7C">
      <w:pPr>
        <w:pStyle w:val="290"/>
        <w:rPr>
          <w:szCs w:val="21"/>
        </w:rPr>
      </w:pPr>
      <w:bookmarkStart w:id="61" w:name="_Toc213169309"/>
      <w:r>
        <w:rPr>
          <w:rFonts w:hint="eastAsia"/>
        </w:rPr>
        <w:t>5</w:t>
      </w:r>
      <w:r>
        <w:t xml:space="preserve">.2.1 </w:t>
      </w:r>
      <w:r>
        <w:rPr>
          <w:rFonts w:hint="eastAsia"/>
        </w:rPr>
        <w:t>工程</w:t>
      </w:r>
      <w:r>
        <w:t>水文气象条件</w:t>
      </w:r>
      <w:bookmarkEnd w:id="61"/>
    </w:p>
    <w:p w14:paraId="1651AE98">
      <w:pPr>
        <w:pStyle w:val="152"/>
        <w:adjustRightInd w:val="0"/>
        <w:snapToGrid w:val="0"/>
        <w:spacing w:line="360" w:lineRule="auto"/>
        <w:rPr>
          <w:rFonts w:eastAsia="宋体" w:cs="Times New Roman"/>
          <w:szCs w:val="21"/>
        </w:rPr>
      </w:pPr>
      <w:r>
        <w:rPr>
          <w:rFonts w:hint="eastAsia" w:eastAsia="宋体" w:cs="Times New Roman"/>
          <w:szCs w:val="21"/>
        </w:rPr>
        <w:t>本工程海域部分与海缆线路相关的主要设计气象条件要素简述如下。具体以勘测报告终稿为准。</w:t>
      </w:r>
    </w:p>
    <w:p w14:paraId="56A3C500">
      <w:pPr>
        <w:pStyle w:val="152"/>
        <w:adjustRightInd w:val="0"/>
        <w:snapToGrid w:val="0"/>
        <w:spacing w:line="360" w:lineRule="auto"/>
        <w:rPr>
          <w:rFonts w:eastAsia="宋体" w:cs="Times New Roman"/>
          <w:szCs w:val="21"/>
        </w:rPr>
      </w:pPr>
      <w:r>
        <w:rPr>
          <w:rFonts w:hint="eastAsia" w:eastAsia="宋体" w:cs="Times New Roman"/>
          <w:szCs w:val="21"/>
        </w:rPr>
        <w:t xml:space="preserve">1、风 </w:t>
      </w:r>
      <w:r>
        <w:rPr>
          <w:rFonts w:eastAsia="宋体" w:cs="Times New Roman"/>
          <w:szCs w:val="21"/>
        </w:rPr>
        <w:t xml:space="preserve">   </w:t>
      </w:r>
    </w:p>
    <w:p w14:paraId="63C96B49">
      <w:pPr>
        <w:pStyle w:val="152"/>
        <w:adjustRightInd w:val="0"/>
        <w:snapToGrid w:val="0"/>
        <w:spacing w:line="360" w:lineRule="auto"/>
        <w:rPr>
          <w:rFonts w:eastAsia="宋体" w:cs="Times New Roman"/>
          <w:szCs w:val="21"/>
        </w:rPr>
      </w:pPr>
      <w:r>
        <w:rPr>
          <w:rFonts w:hint="eastAsia" w:eastAsia="宋体" w:cs="Times New Roman"/>
          <w:szCs w:val="21"/>
        </w:rPr>
        <w:t>路由区处于琼州海峡西部，地处热带季风区，风存在明显的季节变化，且琼州海峡南北岸有所差异。</w:t>
      </w:r>
      <w:r>
        <w:rPr>
          <w:rFonts w:eastAsia="宋体" w:cs="Times New Roman"/>
          <w:szCs w:val="21"/>
        </w:rPr>
        <w:t>琼州海峡北岸全年常风向为E向，多年平均出现频率为22.96﹪；其次为ENE、NE和ESE，频率分别为18.60%、10.32%和8.63%；最少风向是SW、WSW、NW和NNW向，其出现频率均不到2.00﹪；其余各向频率均在2.00%～6.00%之间，多年平均静风频率为0.76%。琼州海峡南岸全年常风向为ENE向，多年平均出现频率为</w:t>
      </w:r>
      <w:bookmarkStart w:id="62" w:name="_Hlk190011544"/>
      <w:r>
        <w:rPr>
          <w:rFonts w:eastAsia="宋体" w:cs="Times New Roman"/>
          <w:szCs w:val="21"/>
        </w:rPr>
        <w:t>14.03﹪</w:t>
      </w:r>
      <w:bookmarkEnd w:id="62"/>
      <w:r>
        <w:rPr>
          <w:rFonts w:eastAsia="宋体" w:cs="Times New Roman"/>
          <w:szCs w:val="21"/>
        </w:rPr>
        <w:t>；其次为E和SE向，频率分别为11.38%和11.69%；最少风向是WSW、W和WNW向，其出现频率均不到2.00﹪；其余各向频率均在2.00%～10.32%之间，多年平均静风频率为1.71%。</w:t>
      </w:r>
    </w:p>
    <w:p w14:paraId="4125CB00">
      <w:pPr>
        <w:pStyle w:val="152"/>
        <w:adjustRightInd w:val="0"/>
        <w:snapToGrid w:val="0"/>
        <w:spacing w:line="360" w:lineRule="auto"/>
        <w:rPr>
          <w:rFonts w:eastAsia="宋体" w:cs="Times New Roman"/>
          <w:szCs w:val="21"/>
        </w:rPr>
      </w:pPr>
      <w:r>
        <w:rPr>
          <w:rFonts w:hint="eastAsia" w:eastAsia="宋体" w:cs="Times New Roman"/>
          <w:szCs w:val="21"/>
        </w:rPr>
        <w:t>琼州海峡两岸的风速存在一定差异，北岸的风速大于南岸风速，两岸年平均风速分别为4.3m/s和2.4m/s，最大风速分别为41.7m/s和33.4m/s，极大风速分别为56.3m/s和45.6m/s。北岸月平均风速6月最小，为3.5m/s，10月最高，为4.8m/s，而南岸月平均风速6月、8月最小，为1.8m/s ，10月–12月最高，为2.9 m/s。</w:t>
      </w:r>
    </w:p>
    <w:p w14:paraId="61E9A606">
      <w:pPr>
        <w:pStyle w:val="152"/>
        <w:adjustRightInd w:val="0"/>
        <w:snapToGrid w:val="0"/>
        <w:spacing w:line="360" w:lineRule="auto"/>
        <w:rPr>
          <w:rFonts w:eastAsia="宋体" w:cs="Times New Roman"/>
          <w:szCs w:val="21"/>
        </w:rPr>
      </w:pPr>
      <w:r>
        <w:rPr>
          <w:rFonts w:hint="eastAsia" w:eastAsia="宋体" w:cs="Times New Roman"/>
          <w:szCs w:val="21"/>
        </w:rPr>
        <w:t>琼州海峡北岸各月最大风速均在13.0m/s以上，9月最大风速为41.7m/s，6月–11月最大风速均在20.0m/s以上，其他月份最大风速分布在13.0m/s～18.0m/s之间。琼州海峡南岸各月最大风速均在8.0m/s以上，7月最大风速为33.4m/s，1月最大风速为8.6m/s，其他月份最大风速分布在10.0m/s～30.0m/s之间。</w:t>
      </w:r>
    </w:p>
    <w:p w14:paraId="5B932B04">
      <w:pPr>
        <w:pStyle w:val="152"/>
        <w:adjustRightInd w:val="0"/>
        <w:snapToGrid w:val="0"/>
        <w:spacing w:line="360" w:lineRule="auto"/>
        <w:rPr>
          <w:rFonts w:eastAsia="宋体" w:cs="Times New Roman"/>
          <w:szCs w:val="21"/>
        </w:rPr>
      </w:pPr>
      <w:r>
        <w:rPr>
          <w:rFonts w:hint="eastAsia" w:eastAsia="宋体" w:cs="Times New Roman"/>
          <w:szCs w:val="21"/>
        </w:rPr>
        <w:t>琼州海峡北岸历年最大风速为41.7m/s，风向270°，出现在2024年9月7日；极大风速为56.3m/s，风向267°，亦出现在2024年9月7日，这是受2411号超强台风“摩羯”影响的结果。海峡南岸历年最大风速为33.4m/s，风向298°，出现在2014年7月18日；极大风速为45.6m/s，风向292°，亦出现在2014年7月18日，这是受1409号超强台风“威马逊”影响的结果。</w:t>
      </w:r>
    </w:p>
    <w:p w14:paraId="37E61571">
      <w:pPr>
        <w:pStyle w:val="152"/>
        <w:adjustRightInd w:val="0"/>
        <w:snapToGrid w:val="0"/>
        <w:spacing w:line="360" w:lineRule="auto"/>
        <w:rPr>
          <w:rFonts w:eastAsia="宋体" w:cs="Times New Roman"/>
          <w:szCs w:val="21"/>
        </w:rPr>
      </w:pPr>
      <w:r>
        <w:rPr>
          <w:rFonts w:hint="eastAsia" w:eastAsia="宋体" w:cs="Times New Roman"/>
          <w:szCs w:val="21"/>
        </w:rPr>
        <w:t>2、海流</w:t>
      </w:r>
    </w:p>
    <w:p w14:paraId="10D1537D">
      <w:pPr>
        <w:pStyle w:val="152"/>
        <w:adjustRightInd w:val="0"/>
        <w:snapToGrid w:val="0"/>
        <w:spacing w:line="360" w:lineRule="auto"/>
        <w:rPr>
          <w:rFonts w:eastAsia="宋体" w:cs="Times New Roman"/>
          <w:szCs w:val="21"/>
        </w:rPr>
      </w:pPr>
      <w:r>
        <w:rPr>
          <w:rFonts w:hint="eastAsia" w:eastAsia="宋体" w:cs="Times New Roman"/>
          <w:szCs w:val="21"/>
        </w:rPr>
        <w:t>根据大潮4个站的定点同步海流连续观测资料和路由南端林诗港V6站潮位观测资料，路由区海流具有如下特征：</w:t>
      </w:r>
    </w:p>
    <w:p w14:paraId="497CA82B">
      <w:pPr>
        <w:pStyle w:val="152"/>
        <w:adjustRightInd w:val="0"/>
        <w:snapToGrid w:val="0"/>
        <w:spacing w:line="360" w:lineRule="auto"/>
        <w:rPr>
          <w:rFonts w:eastAsia="宋体" w:cs="Times New Roman"/>
          <w:szCs w:val="21"/>
        </w:rPr>
      </w:pPr>
      <w:r>
        <w:rPr>
          <w:rFonts w:hint="eastAsia" w:eastAsia="宋体" w:cs="Times New Roman"/>
          <w:szCs w:val="21"/>
        </w:rPr>
        <w:t>（1）路由区实测海流主流向为东—西向，涨、落潮流流向不易区分，东、西向可为涨潮流，也可为落潮流，但高潮时段为东向流，低潮时段为西向流，实测海流主流向与琼州海峡地形总体走向（东—西向）一致。</w:t>
      </w:r>
    </w:p>
    <w:p w14:paraId="4E4C5795">
      <w:pPr>
        <w:pStyle w:val="152"/>
        <w:adjustRightInd w:val="0"/>
        <w:snapToGrid w:val="0"/>
        <w:spacing w:line="360" w:lineRule="auto"/>
        <w:rPr>
          <w:rFonts w:eastAsia="宋体" w:cs="Times New Roman"/>
          <w:szCs w:val="21"/>
        </w:rPr>
      </w:pPr>
      <w:r>
        <w:rPr>
          <w:rFonts w:hint="eastAsia" w:eastAsia="宋体" w:cs="Times New Roman"/>
          <w:szCs w:val="21"/>
        </w:rPr>
        <w:t>（2）路由区各站表层平均流速在52.0cm/s～89.0cm/s之间；0.6H层平均流速在43.8cm/s～73.1cm/s之间；底层平均流速在29.6cm/s～56.1cm/s之间；垂线平均流速的平均值在43.1cm/s～74.6cm/s之间。实测表层最大流速为157.1cm/s；0.6H层最大流速为128.0cm/s；底层最大流速为117.1cm/s。路由区实测最大流速为157.1cm/s，对应流速为105°。</w:t>
      </w:r>
    </w:p>
    <w:p w14:paraId="61C8C06D">
      <w:pPr>
        <w:pStyle w:val="152"/>
        <w:adjustRightInd w:val="0"/>
        <w:snapToGrid w:val="0"/>
        <w:spacing w:line="360" w:lineRule="auto"/>
        <w:rPr>
          <w:rFonts w:eastAsia="宋体" w:cs="Times New Roman"/>
          <w:szCs w:val="21"/>
        </w:rPr>
      </w:pPr>
      <w:r>
        <w:rPr>
          <w:rFonts w:hint="eastAsia" w:eastAsia="宋体" w:cs="Times New Roman"/>
          <w:szCs w:val="21"/>
        </w:rPr>
        <w:t>（3）垂向上，各层流速分布相似，受海床底摩擦力的影响不同，由表及底，流速总体呈现减小的变化规律，表层和0.2H层流速较大，底层流速较小。平面上，受地形峡管效应影响，路由区流速普遍较大，且具有路由区中间大于两端的变化特点。</w:t>
      </w:r>
    </w:p>
    <w:p w14:paraId="6D8AF282">
      <w:pPr>
        <w:pStyle w:val="152"/>
        <w:adjustRightInd w:val="0"/>
        <w:snapToGrid w:val="0"/>
        <w:spacing w:line="360" w:lineRule="auto"/>
        <w:rPr>
          <w:rFonts w:eastAsia="宋体" w:cs="Times New Roman"/>
          <w:szCs w:val="21"/>
        </w:rPr>
      </w:pPr>
      <w:r>
        <w:rPr>
          <w:rFonts w:hint="eastAsia" w:eastAsia="宋体" w:cs="Times New Roman"/>
          <w:szCs w:val="21"/>
        </w:rPr>
        <w:t>（4）流速的最大值往往出现在高、低潮位附近，最小值往往出现在中潮位附近，路由区的潮波表现为前进波的性质。</w:t>
      </w:r>
    </w:p>
    <w:p w14:paraId="06864810">
      <w:pPr>
        <w:pStyle w:val="382"/>
        <w:spacing w:after="156"/>
        <w:rPr>
          <w:rFonts w:asciiTheme="minorEastAsia" w:hAnsiTheme="minorEastAsia" w:eastAsiaTheme="minorEastAsia"/>
          <w:color w:val="000000"/>
        </w:rPr>
      </w:pPr>
      <w:r>
        <w:t>表</w:t>
      </w:r>
      <w:r>
        <w:rPr>
          <w:rFonts w:hint="eastAsia"/>
        </w:rPr>
        <w:t>5</w:t>
      </w:r>
      <w:r>
        <w:t>.2.1-</w:t>
      </w:r>
      <w:r>
        <w:rPr>
          <w:rFonts w:hint="eastAsia"/>
        </w:rPr>
        <w:t>1</w:t>
      </w:r>
      <w:r>
        <w:t xml:space="preserve"> 大潮期最大流速（cm/s）、流向(°)统计</w:t>
      </w:r>
    </w:p>
    <w:tbl>
      <w:tblPr>
        <w:tblStyle w:val="85"/>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750"/>
        <w:gridCol w:w="717"/>
        <w:gridCol w:w="750"/>
        <w:gridCol w:w="717"/>
        <w:gridCol w:w="750"/>
        <w:gridCol w:w="717"/>
        <w:gridCol w:w="750"/>
        <w:gridCol w:w="717"/>
        <w:gridCol w:w="750"/>
        <w:gridCol w:w="717"/>
        <w:gridCol w:w="696"/>
        <w:gridCol w:w="562"/>
      </w:tblGrid>
      <w:tr w14:paraId="00332AC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73" w:type="pct"/>
            <w:vMerge w:val="restart"/>
            <w:noWrap/>
            <w:vAlign w:val="center"/>
          </w:tcPr>
          <w:p w14:paraId="68873167">
            <w:pPr>
              <w:jc w:val="center"/>
              <w:rPr>
                <w:kern w:val="0"/>
                <w:szCs w:val="21"/>
              </w:rPr>
            </w:pPr>
            <w:r>
              <w:rPr>
                <w:kern w:val="0"/>
                <w:szCs w:val="21"/>
              </w:rPr>
              <w:t>站号</w:t>
            </w:r>
          </w:p>
        </w:tc>
        <w:tc>
          <w:tcPr>
            <w:tcW w:w="790" w:type="pct"/>
            <w:gridSpan w:val="2"/>
            <w:noWrap/>
            <w:vAlign w:val="center"/>
          </w:tcPr>
          <w:p w14:paraId="257F20F9">
            <w:pPr>
              <w:widowControl/>
              <w:jc w:val="center"/>
              <w:rPr>
                <w:kern w:val="0"/>
                <w:szCs w:val="21"/>
              </w:rPr>
            </w:pPr>
            <w:r>
              <w:rPr>
                <w:kern w:val="0"/>
                <w:szCs w:val="21"/>
              </w:rPr>
              <w:t>表层</w:t>
            </w:r>
          </w:p>
        </w:tc>
        <w:tc>
          <w:tcPr>
            <w:tcW w:w="790" w:type="pct"/>
            <w:gridSpan w:val="2"/>
            <w:vAlign w:val="center"/>
          </w:tcPr>
          <w:p w14:paraId="1920C128">
            <w:pPr>
              <w:jc w:val="center"/>
              <w:rPr>
                <w:kern w:val="0"/>
                <w:szCs w:val="21"/>
              </w:rPr>
            </w:pPr>
            <w:r>
              <w:rPr>
                <w:kern w:val="0"/>
                <w:szCs w:val="21"/>
              </w:rPr>
              <w:t>0.2H层</w:t>
            </w:r>
          </w:p>
        </w:tc>
        <w:tc>
          <w:tcPr>
            <w:tcW w:w="790" w:type="pct"/>
            <w:gridSpan w:val="2"/>
            <w:vAlign w:val="center"/>
          </w:tcPr>
          <w:p w14:paraId="189EE710">
            <w:pPr>
              <w:jc w:val="center"/>
              <w:rPr>
                <w:kern w:val="0"/>
                <w:szCs w:val="21"/>
              </w:rPr>
            </w:pPr>
            <w:r>
              <w:rPr>
                <w:kern w:val="0"/>
                <w:szCs w:val="21"/>
              </w:rPr>
              <w:t>0.4H层</w:t>
            </w:r>
          </w:p>
        </w:tc>
        <w:tc>
          <w:tcPr>
            <w:tcW w:w="790" w:type="pct"/>
            <w:gridSpan w:val="2"/>
            <w:vAlign w:val="center"/>
          </w:tcPr>
          <w:p w14:paraId="231307E3">
            <w:pPr>
              <w:jc w:val="center"/>
              <w:rPr>
                <w:kern w:val="0"/>
                <w:szCs w:val="21"/>
              </w:rPr>
            </w:pPr>
            <w:r>
              <w:rPr>
                <w:kern w:val="0"/>
                <w:szCs w:val="21"/>
              </w:rPr>
              <w:t>0.6H层</w:t>
            </w:r>
          </w:p>
        </w:tc>
        <w:tc>
          <w:tcPr>
            <w:tcW w:w="790" w:type="pct"/>
            <w:gridSpan w:val="2"/>
            <w:noWrap/>
            <w:vAlign w:val="center"/>
          </w:tcPr>
          <w:p w14:paraId="2C225659">
            <w:pPr>
              <w:jc w:val="center"/>
              <w:rPr>
                <w:kern w:val="0"/>
                <w:szCs w:val="21"/>
              </w:rPr>
            </w:pPr>
            <w:r>
              <w:rPr>
                <w:kern w:val="0"/>
                <w:szCs w:val="21"/>
              </w:rPr>
              <w:t>0.8H层</w:t>
            </w:r>
          </w:p>
        </w:tc>
        <w:tc>
          <w:tcPr>
            <w:tcW w:w="678" w:type="pct"/>
            <w:gridSpan w:val="2"/>
            <w:vAlign w:val="center"/>
          </w:tcPr>
          <w:p w14:paraId="3C5767BA">
            <w:pPr>
              <w:jc w:val="center"/>
              <w:rPr>
                <w:kern w:val="0"/>
                <w:szCs w:val="21"/>
              </w:rPr>
            </w:pPr>
            <w:r>
              <w:rPr>
                <w:kern w:val="0"/>
                <w:szCs w:val="21"/>
              </w:rPr>
              <w:t>底层</w:t>
            </w:r>
          </w:p>
        </w:tc>
      </w:tr>
      <w:tr w14:paraId="797C2D5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73" w:type="pct"/>
            <w:vMerge w:val="continue"/>
            <w:noWrap/>
            <w:vAlign w:val="center"/>
          </w:tcPr>
          <w:p w14:paraId="45FCF6D3">
            <w:pPr>
              <w:widowControl/>
              <w:jc w:val="center"/>
              <w:rPr>
                <w:kern w:val="0"/>
                <w:szCs w:val="21"/>
              </w:rPr>
            </w:pPr>
          </w:p>
        </w:tc>
        <w:tc>
          <w:tcPr>
            <w:tcW w:w="404" w:type="pct"/>
            <w:noWrap/>
            <w:vAlign w:val="center"/>
          </w:tcPr>
          <w:p w14:paraId="1495D107">
            <w:pPr>
              <w:widowControl/>
              <w:jc w:val="center"/>
              <w:rPr>
                <w:kern w:val="0"/>
                <w:szCs w:val="21"/>
              </w:rPr>
            </w:pPr>
            <w:r>
              <w:rPr>
                <w:kern w:val="0"/>
                <w:szCs w:val="21"/>
              </w:rPr>
              <w:t>流速</w:t>
            </w:r>
          </w:p>
        </w:tc>
        <w:tc>
          <w:tcPr>
            <w:tcW w:w="386" w:type="pct"/>
            <w:vAlign w:val="center"/>
          </w:tcPr>
          <w:p w14:paraId="5280A946">
            <w:pPr>
              <w:widowControl/>
              <w:jc w:val="center"/>
              <w:rPr>
                <w:kern w:val="0"/>
                <w:szCs w:val="21"/>
              </w:rPr>
            </w:pPr>
            <w:r>
              <w:rPr>
                <w:kern w:val="0"/>
                <w:szCs w:val="21"/>
              </w:rPr>
              <w:t>流向</w:t>
            </w:r>
          </w:p>
        </w:tc>
        <w:tc>
          <w:tcPr>
            <w:tcW w:w="404" w:type="pct"/>
            <w:vAlign w:val="center"/>
          </w:tcPr>
          <w:p w14:paraId="2CEAB0F5">
            <w:pPr>
              <w:widowControl/>
              <w:jc w:val="center"/>
              <w:rPr>
                <w:kern w:val="0"/>
                <w:szCs w:val="21"/>
              </w:rPr>
            </w:pPr>
            <w:r>
              <w:rPr>
                <w:kern w:val="0"/>
                <w:szCs w:val="21"/>
              </w:rPr>
              <w:t>流速</w:t>
            </w:r>
          </w:p>
        </w:tc>
        <w:tc>
          <w:tcPr>
            <w:tcW w:w="386" w:type="pct"/>
            <w:vAlign w:val="center"/>
          </w:tcPr>
          <w:p w14:paraId="42936844">
            <w:pPr>
              <w:widowControl/>
              <w:jc w:val="center"/>
              <w:rPr>
                <w:kern w:val="0"/>
                <w:szCs w:val="21"/>
              </w:rPr>
            </w:pPr>
            <w:r>
              <w:rPr>
                <w:kern w:val="0"/>
                <w:szCs w:val="21"/>
              </w:rPr>
              <w:t>流向</w:t>
            </w:r>
          </w:p>
        </w:tc>
        <w:tc>
          <w:tcPr>
            <w:tcW w:w="404" w:type="pct"/>
            <w:vAlign w:val="center"/>
          </w:tcPr>
          <w:p w14:paraId="2C13DA90">
            <w:pPr>
              <w:widowControl/>
              <w:jc w:val="center"/>
              <w:rPr>
                <w:kern w:val="0"/>
                <w:szCs w:val="21"/>
              </w:rPr>
            </w:pPr>
            <w:r>
              <w:rPr>
                <w:kern w:val="0"/>
                <w:szCs w:val="21"/>
              </w:rPr>
              <w:t>流速</w:t>
            </w:r>
          </w:p>
        </w:tc>
        <w:tc>
          <w:tcPr>
            <w:tcW w:w="386" w:type="pct"/>
            <w:vAlign w:val="center"/>
          </w:tcPr>
          <w:p w14:paraId="10B48255">
            <w:pPr>
              <w:widowControl/>
              <w:jc w:val="center"/>
              <w:rPr>
                <w:kern w:val="0"/>
                <w:szCs w:val="21"/>
              </w:rPr>
            </w:pPr>
            <w:r>
              <w:rPr>
                <w:kern w:val="0"/>
                <w:szCs w:val="21"/>
              </w:rPr>
              <w:t>流向</w:t>
            </w:r>
          </w:p>
        </w:tc>
        <w:tc>
          <w:tcPr>
            <w:tcW w:w="404" w:type="pct"/>
            <w:vAlign w:val="center"/>
          </w:tcPr>
          <w:p w14:paraId="77F8BD4F">
            <w:pPr>
              <w:widowControl/>
              <w:jc w:val="center"/>
              <w:rPr>
                <w:kern w:val="0"/>
                <w:szCs w:val="21"/>
              </w:rPr>
            </w:pPr>
            <w:r>
              <w:rPr>
                <w:kern w:val="0"/>
                <w:szCs w:val="21"/>
              </w:rPr>
              <w:t>流速</w:t>
            </w:r>
          </w:p>
        </w:tc>
        <w:tc>
          <w:tcPr>
            <w:tcW w:w="386" w:type="pct"/>
            <w:vAlign w:val="center"/>
          </w:tcPr>
          <w:p w14:paraId="1C837603">
            <w:pPr>
              <w:widowControl/>
              <w:jc w:val="center"/>
              <w:rPr>
                <w:kern w:val="0"/>
                <w:szCs w:val="21"/>
              </w:rPr>
            </w:pPr>
            <w:r>
              <w:rPr>
                <w:kern w:val="0"/>
                <w:szCs w:val="21"/>
              </w:rPr>
              <w:t>流向</w:t>
            </w:r>
          </w:p>
        </w:tc>
        <w:tc>
          <w:tcPr>
            <w:tcW w:w="404" w:type="pct"/>
            <w:noWrap/>
            <w:vAlign w:val="center"/>
          </w:tcPr>
          <w:p w14:paraId="7A5323BC">
            <w:pPr>
              <w:widowControl/>
              <w:jc w:val="center"/>
              <w:rPr>
                <w:kern w:val="0"/>
                <w:szCs w:val="21"/>
              </w:rPr>
            </w:pPr>
            <w:r>
              <w:rPr>
                <w:kern w:val="0"/>
                <w:szCs w:val="21"/>
              </w:rPr>
              <w:t>流速</w:t>
            </w:r>
          </w:p>
        </w:tc>
        <w:tc>
          <w:tcPr>
            <w:tcW w:w="386" w:type="pct"/>
            <w:vAlign w:val="center"/>
          </w:tcPr>
          <w:p w14:paraId="628ECA8C">
            <w:pPr>
              <w:widowControl/>
              <w:jc w:val="center"/>
              <w:rPr>
                <w:kern w:val="0"/>
                <w:szCs w:val="21"/>
              </w:rPr>
            </w:pPr>
            <w:r>
              <w:rPr>
                <w:kern w:val="0"/>
                <w:szCs w:val="21"/>
              </w:rPr>
              <w:t>流向</w:t>
            </w:r>
          </w:p>
        </w:tc>
        <w:tc>
          <w:tcPr>
            <w:tcW w:w="375" w:type="pct"/>
            <w:noWrap/>
            <w:vAlign w:val="center"/>
          </w:tcPr>
          <w:p w14:paraId="1AFD4264">
            <w:pPr>
              <w:widowControl/>
              <w:jc w:val="center"/>
              <w:rPr>
                <w:kern w:val="0"/>
                <w:szCs w:val="21"/>
              </w:rPr>
            </w:pPr>
            <w:r>
              <w:rPr>
                <w:kern w:val="0"/>
                <w:szCs w:val="21"/>
              </w:rPr>
              <w:t>流速</w:t>
            </w:r>
          </w:p>
        </w:tc>
        <w:tc>
          <w:tcPr>
            <w:tcW w:w="302" w:type="pct"/>
            <w:vAlign w:val="center"/>
          </w:tcPr>
          <w:p w14:paraId="00E8AE87">
            <w:pPr>
              <w:widowControl/>
              <w:jc w:val="center"/>
              <w:rPr>
                <w:kern w:val="0"/>
                <w:szCs w:val="21"/>
              </w:rPr>
            </w:pPr>
            <w:r>
              <w:rPr>
                <w:kern w:val="0"/>
                <w:szCs w:val="21"/>
              </w:rPr>
              <w:t>流向</w:t>
            </w:r>
          </w:p>
        </w:tc>
      </w:tr>
      <w:tr w14:paraId="511A718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73" w:type="pct"/>
            <w:noWrap/>
            <w:vAlign w:val="center"/>
          </w:tcPr>
          <w:p w14:paraId="2BE504BB">
            <w:pPr>
              <w:rPr>
                <w:szCs w:val="21"/>
              </w:rPr>
            </w:pPr>
            <w:r>
              <w:rPr>
                <w:szCs w:val="21"/>
              </w:rPr>
              <w:t>C1</w:t>
            </w:r>
          </w:p>
        </w:tc>
        <w:tc>
          <w:tcPr>
            <w:tcW w:w="404" w:type="pct"/>
            <w:noWrap/>
            <w:vAlign w:val="center"/>
          </w:tcPr>
          <w:p w14:paraId="0BF344F1">
            <w:pPr>
              <w:contextualSpacing/>
              <w:jc w:val="center"/>
            </w:pPr>
            <w:r>
              <w:t>106.9</w:t>
            </w:r>
          </w:p>
        </w:tc>
        <w:tc>
          <w:tcPr>
            <w:tcW w:w="386" w:type="pct"/>
            <w:vAlign w:val="center"/>
          </w:tcPr>
          <w:p w14:paraId="0EA87E36">
            <w:pPr>
              <w:contextualSpacing/>
              <w:jc w:val="center"/>
            </w:pPr>
            <w:r>
              <w:t>74</w:t>
            </w:r>
          </w:p>
        </w:tc>
        <w:tc>
          <w:tcPr>
            <w:tcW w:w="404" w:type="pct"/>
            <w:vAlign w:val="center"/>
          </w:tcPr>
          <w:p w14:paraId="70FE9AFB">
            <w:pPr>
              <w:contextualSpacing/>
              <w:jc w:val="center"/>
            </w:pPr>
            <w:r>
              <w:t>106.1</w:t>
            </w:r>
          </w:p>
        </w:tc>
        <w:tc>
          <w:tcPr>
            <w:tcW w:w="386" w:type="pct"/>
            <w:vAlign w:val="center"/>
          </w:tcPr>
          <w:p w14:paraId="728C8651">
            <w:pPr>
              <w:contextualSpacing/>
              <w:jc w:val="center"/>
            </w:pPr>
            <w:r>
              <w:t>75</w:t>
            </w:r>
          </w:p>
        </w:tc>
        <w:tc>
          <w:tcPr>
            <w:tcW w:w="404" w:type="pct"/>
            <w:vAlign w:val="center"/>
          </w:tcPr>
          <w:p w14:paraId="1409CA70">
            <w:pPr>
              <w:contextualSpacing/>
              <w:jc w:val="center"/>
            </w:pPr>
            <w:r>
              <w:t>94.3</w:t>
            </w:r>
          </w:p>
        </w:tc>
        <w:tc>
          <w:tcPr>
            <w:tcW w:w="386" w:type="pct"/>
            <w:vAlign w:val="center"/>
          </w:tcPr>
          <w:p w14:paraId="56A7EBA6">
            <w:pPr>
              <w:contextualSpacing/>
              <w:jc w:val="center"/>
            </w:pPr>
            <w:r>
              <w:t>78</w:t>
            </w:r>
          </w:p>
        </w:tc>
        <w:tc>
          <w:tcPr>
            <w:tcW w:w="404" w:type="pct"/>
            <w:vAlign w:val="center"/>
          </w:tcPr>
          <w:p w14:paraId="03082BA8">
            <w:pPr>
              <w:contextualSpacing/>
              <w:jc w:val="center"/>
            </w:pPr>
            <w:r>
              <w:t>82.5</w:t>
            </w:r>
          </w:p>
        </w:tc>
        <w:tc>
          <w:tcPr>
            <w:tcW w:w="386" w:type="pct"/>
            <w:vAlign w:val="center"/>
          </w:tcPr>
          <w:p w14:paraId="6B7F722B">
            <w:pPr>
              <w:contextualSpacing/>
              <w:jc w:val="center"/>
            </w:pPr>
            <w:r>
              <w:t>80</w:t>
            </w:r>
          </w:p>
        </w:tc>
        <w:tc>
          <w:tcPr>
            <w:tcW w:w="404" w:type="pct"/>
            <w:noWrap/>
            <w:vAlign w:val="center"/>
          </w:tcPr>
          <w:p w14:paraId="134BC6EC">
            <w:pPr>
              <w:contextualSpacing/>
              <w:jc w:val="center"/>
            </w:pPr>
            <w:r>
              <w:t>71.8</w:t>
            </w:r>
          </w:p>
        </w:tc>
        <w:tc>
          <w:tcPr>
            <w:tcW w:w="386" w:type="pct"/>
            <w:vAlign w:val="center"/>
          </w:tcPr>
          <w:p w14:paraId="5D1B1A7C">
            <w:pPr>
              <w:contextualSpacing/>
              <w:jc w:val="center"/>
            </w:pPr>
            <w:r>
              <w:t>84</w:t>
            </w:r>
          </w:p>
        </w:tc>
        <w:tc>
          <w:tcPr>
            <w:tcW w:w="375" w:type="pct"/>
            <w:noWrap/>
            <w:vAlign w:val="center"/>
          </w:tcPr>
          <w:p w14:paraId="73D3DD36">
            <w:pPr>
              <w:contextualSpacing/>
              <w:jc w:val="center"/>
            </w:pPr>
            <w:r>
              <w:t>60.1</w:t>
            </w:r>
          </w:p>
        </w:tc>
        <w:tc>
          <w:tcPr>
            <w:tcW w:w="302" w:type="pct"/>
            <w:vAlign w:val="center"/>
          </w:tcPr>
          <w:p w14:paraId="21DA5C7A">
            <w:pPr>
              <w:contextualSpacing/>
              <w:jc w:val="center"/>
            </w:pPr>
            <w:r>
              <w:t>79</w:t>
            </w:r>
          </w:p>
        </w:tc>
      </w:tr>
      <w:tr w14:paraId="3AEE5D8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73" w:type="pct"/>
            <w:noWrap/>
            <w:vAlign w:val="center"/>
          </w:tcPr>
          <w:p w14:paraId="7E827DF7">
            <w:pPr>
              <w:rPr>
                <w:szCs w:val="21"/>
              </w:rPr>
            </w:pPr>
            <w:r>
              <w:rPr>
                <w:szCs w:val="21"/>
              </w:rPr>
              <w:t>C2</w:t>
            </w:r>
          </w:p>
        </w:tc>
        <w:tc>
          <w:tcPr>
            <w:tcW w:w="404" w:type="pct"/>
            <w:noWrap/>
            <w:vAlign w:val="center"/>
          </w:tcPr>
          <w:p w14:paraId="6F276DD4">
            <w:pPr>
              <w:contextualSpacing/>
              <w:jc w:val="center"/>
            </w:pPr>
            <w:r>
              <w:t>143.1</w:t>
            </w:r>
          </w:p>
        </w:tc>
        <w:tc>
          <w:tcPr>
            <w:tcW w:w="386" w:type="pct"/>
            <w:vAlign w:val="center"/>
          </w:tcPr>
          <w:p w14:paraId="56AD5D05">
            <w:pPr>
              <w:contextualSpacing/>
              <w:jc w:val="center"/>
            </w:pPr>
            <w:r>
              <w:t>78</w:t>
            </w:r>
          </w:p>
        </w:tc>
        <w:tc>
          <w:tcPr>
            <w:tcW w:w="404" w:type="pct"/>
            <w:vAlign w:val="center"/>
          </w:tcPr>
          <w:p w14:paraId="53D65E29">
            <w:pPr>
              <w:contextualSpacing/>
              <w:jc w:val="center"/>
            </w:pPr>
            <w:r>
              <w:t>138.4</w:t>
            </w:r>
          </w:p>
        </w:tc>
        <w:tc>
          <w:tcPr>
            <w:tcW w:w="386" w:type="pct"/>
            <w:vAlign w:val="center"/>
          </w:tcPr>
          <w:p w14:paraId="61E72076">
            <w:pPr>
              <w:contextualSpacing/>
              <w:jc w:val="center"/>
            </w:pPr>
            <w:r>
              <w:t>73</w:t>
            </w:r>
          </w:p>
        </w:tc>
        <w:tc>
          <w:tcPr>
            <w:tcW w:w="404" w:type="pct"/>
            <w:vAlign w:val="center"/>
          </w:tcPr>
          <w:p w14:paraId="7AD53956">
            <w:pPr>
              <w:contextualSpacing/>
              <w:jc w:val="center"/>
            </w:pPr>
            <w:r>
              <w:t>131.3</w:t>
            </w:r>
          </w:p>
        </w:tc>
        <w:tc>
          <w:tcPr>
            <w:tcW w:w="386" w:type="pct"/>
            <w:vAlign w:val="center"/>
          </w:tcPr>
          <w:p w14:paraId="61059CB7">
            <w:pPr>
              <w:contextualSpacing/>
              <w:jc w:val="center"/>
            </w:pPr>
            <w:r>
              <w:t>77</w:t>
            </w:r>
          </w:p>
        </w:tc>
        <w:tc>
          <w:tcPr>
            <w:tcW w:w="404" w:type="pct"/>
            <w:vAlign w:val="center"/>
          </w:tcPr>
          <w:p w14:paraId="2F59F7B7">
            <w:pPr>
              <w:contextualSpacing/>
              <w:jc w:val="center"/>
            </w:pPr>
            <w:r>
              <w:t>125.4</w:t>
            </w:r>
          </w:p>
        </w:tc>
        <w:tc>
          <w:tcPr>
            <w:tcW w:w="386" w:type="pct"/>
            <w:vAlign w:val="center"/>
          </w:tcPr>
          <w:p w14:paraId="2980FC27">
            <w:pPr>
              <w:contextualSpacing/>
              <w:jc w:val="center"/>
            </w:pPr>
            <w:r>
              <w:t>72</w:t>
            </w:r>
          </w:p>
        </w:tc>
        <w:tc>
          <w:tcPr>
            <w:tcW w:w="404" w:type="pct"/>
            <w:noWrap/>
            <w:vAlign w:val="center"/>
          </w:tcPr>
          <w:p w14:paraId="54562162">
            <w:pPr>
              <w:contextualSpacing/>
              <w:jc w:val="center"/>
            </w:pPr>
            <w:r>
              <w:t>107.1</w:t>
            </w:r>
          </w:p>
        </w:tc>
        <w:tc>
          <w:tcPr>
            <w:tcW w:w="386" w:type="pct"/>
            <w:vAlign w:val="center"/>
          </w:tcPr>
          <w:p w14:paraId="074B95CE">
            <w:pPr>
              <w:contextualSpacing/>
              <w:jc w:val="center"/>
            </w:pPr>
            <w:r>
              <w:t>82</w:t>
            </w:r>
          </w:p>
        </w:tc>
        <w:tc>
          <w:tcPr>
            <w:tcW w:w="375" w:type="pct"/>
            <w:noWrap/>
            <w:vAlign w:val="center"/>
          </w:tcPr>
          <w:p w14:paraId="79BEB435">
            <w:pPr>
              <w:contextualSpacing/>
              <w:jc w:val="center"/>
            </w:pPr>
            <w:r>
              <w:t>99.0</w:t>
            </w:r>
          </w:p>
        </w:tc>
        <w:tc>
          <w:tcPr>
            <w:tcW w:w="302" w:type="pct"/>
            <w:vAlign w:val="center"/>
          </w:tcPr>
          <w:p w14:paraId="2414542F">
            <w:pPr>
              <w:contextualSpacing/>
              <w:jc w:val="center"/>
            </w:pPr>
            <w:r>
              <w:t>260</w:t>
            </w:r>
          </w:p>
        </w:tc>
      </w:tr>
      <w:tr w14:paraId="02274A7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73" w:type="pct"/>
            <w:noWrap/>
            <w:vAlign w:val="center"/>
          </w:tcPr>
          <w:p w14:paraId="6586BE56">
            <w:pPr>
              <w:rPr>
                <w:szCs w:val="21"/>
              </w:rPr>
            </w:pPr>
            <w:r>
              <w:rPr>
                <w:szCs w:val="21"/>
              </w:rPr>
              <w:t>C3</w:t>
            </w:r>
          </w:p>
        </w:tc>
        <w:tc>
          <w:tcPr>
            <w:tcW w:w="404" w:type="pct"/>
            <w:noWrap/>
            <w:vAlign w:val="center"/>
          </w:tcPr>
          <w:p w14:paraId="7D40CF37">
            <w:pPr>
              <w:contextualSpacing/>
              <w:jc w:val="center"/>
            </w:pPr>
            <w:r>
              <w:t>151.4</w:t>
            </w:r>
          </w:p>
        </w:tc>
        <w:tc>
          <w:tcPr>
            <w:tcW w:w="386" w:type="pct"/>
            <w:vAlign w:val="center"/>
          </w:tcPr>
          <w:p w14:paraId="3A5A795A">
            <w:pPr>
              <w:contextualSpacing/>
              <w:jc w:val="center"/>
            </w:pPr>
            <w:r>
              <w:t>92</w:t>
            </w:r>
          </w:p>
        </w:tc>
        <w:tc>
          <w:tcPr>
            <w:tcW w:w="404" w:type="pct"/>
            <w:vAlign w:val="center"/>
          </w:tcPr>
          <w:p w14:paraId="3BEE3BA6">
            <w:pPr>
              <w:contextualSpacing/>
              <w:jc w:val="center"/>
            </w:pPr>
            <w:r>
              <w:t>134.5</w:t>
            </w:r>
          </w:p>
        </w:tc>
        <w:tc>
          <w:tcPr>
            <w:tcW w:w="386" w:type="pct"/>
            <w:vAlign w:val="center"/>
          </w:tcPr>
          <w:p w14:paraId="3D7333DC">
            <w:pPr>
              <w:contextualSpacing/>
              <w:jc w:val="center"/>
            </w:pPr>
            <w:r>
              <w:t>87</w:t>
            </w:r>
          </w:p>
        </w:tc>
        <w:tc>
          <w:tcPr>
            <w:tcW w:w="404" w:type="pct"/>
            <w:vAlign w:val="center"/>
          </w:tcPr>
          <w:p w14:paraId="07994FA0">
            <w:pPr>
              <w:contextualSpacing/>
              <w:jc w:val="center"/>
            </w:pPr>
            <w:r>
              <w:t>127.9</w:t>
            </w:r>
          </w:p>
        </w:tc>
        <w:tc>
          <w:tcPr>
            <w:tcW w:w="386" w:type="pct"/>
            <w:vAlign w:val="center"/>
          </w:tcPr>
          <w:p w14:paraId="1F90524B">
            <w:pPr>
              <w:contextualSpacing/>
              <w:jc w:val="center"/>
            </w:pPr>
            <w:r>
              <w:t>84</w:t>
            </w:r>
          </w:p>
        </w:tc>
        <w:tc>
          <w:tcPr>
            <w:tcW w:w="404" w:type="pct"/>
            <w:vAlign w:val="center"/>
          </w:tcPr>
          <w:p w14:paraId="7EB1BE51">
            <w:pPr>
              <w:contextualSpacing/>
              <w:jc w:val="center"/>
            </w:pPr>
            <w:r>
              <w:t>128.0</w:t>
            </w:r>
          </w:p>
        </w:tc>
        <w:tc>
          <w:tcPr>
            <w:tcW w:w="386" w:type="pct"/>
            <w:vAlign w:val="center"/>
          </w:tcPr>
          <w:p w14:paraId="03DF16AD">
            <w:pPr>
              <w:contextualSpacing/>
              <w:jc w:val="center"/>
            </w:pPr>
            <w:r>
              <w:t>85</w:t>
            </w:r>
          </w:p>
        </w:tc>
        <w:tc>
          <w:tcPr>
            <w:tcW w:w="404" w:type="pct"/>
            <w:noWrap/>
            <w:vAlign w:val="center"/>
          </w:tcPr>
          <w:p w14:paraId="20759808">
            <w:pPr>
              <w:contextualSpacing/>
              <w:jc w:val="center"/>
            </w:pPr>
            <w:r>
              <w:t>122.6</w:t>
            </w:r>
          </w:p>
        </w:tc>
        <w:tc>
          <w:tcPr>
            <w:tcW w:w="386" w:type="pct"/>
            <w:vAlign w:val="center"/>
          </w:tcPr>
          <w:p w14:paraId="5A5632B0">
            <w:pPr>
              <w:contextualSpacing/>
              <w:jc w:val="center"/>
            </w:pPr>
            <w:r>
              <w:t>84</w:t>
            </w:r>
          </w:p>
        </w:tc>
        <w:tc>
          <w:tcPr>
            <w:tcW w:w="375" w:type="pct"/>
            <w:noWrap/>
            <w:vAlign w:val="center"/>
          </w:tcPr>
          <w:p w14:paraId="37E3643A">
            <w:pPr>
              <w:contextualSpacing/>
              <w:jc w:val="center"/>
            </w:pPr>
            <w:r>
              <w:t>117.1</w:t>
            </w:r>
          </w:p>
        </w:tc>
        <w:tc>
          <w:tcPr>
            <w:tcW w:w="302" w:type="pct"/>
            <w:vAlign w:val="center"/>
          </w:tcPr>
          <w:p w14:paraId="2988DA31">
            <w:pPr>
              <w:contextualSpacing/>
              <w:jc w:val="center"/>
            </w:pPr>
            <w:r>
              <w:t>88</w:t>
            </w:r>
          </w:p>
        </w:tc>
      </w:tr>
      <w:tr w14:paraId="1B553CD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73" w:type="pct"/>
            <w:noWrap/>
            <w:vAlign w:val="center"/>
          </w:tcPr>
          <w:p w14:paraId="386087B4">
            <w:pPr>
              <w:rPr>
                <w:szCs w:val="21"/>
              </w:rPr>
            </w:pPr>
            <w:r>
              <w:rPr>
                <w:szCs w:val="21"/>
              </w:rPr>
              <w:t>C4</w:t>
            </w:r>
          </w:p>
        </w:tc>
        <w:tc>
          <w:tcPr>
            <w:tcW w:w="404" w:type="pct"/>
            <w:noWrap/>
            <w:vAlign w:val="center"/>
          </w:tcPr>
          <w:p w14:paraId="6A42E160">
            <w:pPr>
              <w:contextualSpacing/>
              <w:jc w:val="center"/>
            </w:pPr>
            <w:r>
              <w:t>157.1</w:t>
            </w:r>
          </w:p>
        </w:tc>
        <w:tc>
          <w:tcPr>
            <w:tcW w:w="386" w:type="pct"/>
            <w:vAlign w:val="center"/>
          </w:tcPr>
          <w:p w14:paraId="22CD20AE">
            <w:pPr>
              <w:contextualSpacing/>
              <w:jc w:val="center"/>
            </w:pPr>
            <w:r>
              <w:t>105</w:t>
            </w:r>
          </w:p>
        </w:tc>
        <w:tc>
          <w:tcPr>
            <w:tcW w:w="404" w:type="pct"/>
            <w:vAlign w:val="center"/>
          </w:tcPr>
          <w:p w14:paraId="326B6FE7">
            <w:pPr>
              <w:contextualSpacing/>
              <w:jc w:val="center"/>
            </w:pPr>
            <w:r>
              <w:t>150.6</w:t>
            </w:r>
          </w:p>
        </w:tc>
        <w:tc>
          <w:tcPr>
            <w:tcW w:w="386" w:type="pct"/>
            <w:vAlign w:val="center"/>
          </w:tcPr>
          <w:p w14:paraId="5EB0CFB3">
            <w:pPr>
              <w:contextualSpacing/>
              <w:jc w:val="center"/>
            </w:pPr>
            <w:r>
              <w:t>102</w:t>
            </w:r>
          </w:p>
        </w:tc>
        <w:tc>
          <w:tcPr>
            <w:tcW w:w="404" w:type="pct"/>
            <w:vAlign w:val="center"/>
          </w:tcPr>
          <w:p w14:paraId="401CFD9D">
            <w:pPr>
              <w:contextualSpacing/>
              <w:jc w:val="center"/>
            </w:pPr>
            <w:r>
              <w:t>130.9</w:t>
            </w:r>
          </w:p>
        </w:tc>
        <w:tc>
          <w:tcPr>
            <w:tcW w:w="386" w:type="pct"/>
            <w:vAlign w:val="center"/>
          </w:tcPr>
          <w:p w14:paraId="333A45FB">
            <w:pPr>
              <w:contextualSpacing/>
              <w:jc w:val="center"/>
            </w:pPr>
            <w:r>
              <w:t>107</w:t>
            </w:r>
          </w:p>
        </w:tc>
        <w:tc>
          <w:tcPr>
            <w:tcW w:w="404" w:type="pct"/>
            <w:vAlign w:val="center"/>
          </w:tcPr>
          <w:p w14:paraId="5D9B6EC5">
            <w:pPr>
              <w:contextualSpacing/>
              <w:jc w:val="center"/>
            </w:pPr>
            <w:r>
              <w:t>113.2</w:t>
            </w:r>
          </w:p>
        </w:tc>
        <w:tc>
          <w:tcPr>
            <w:tcW w:w="386" w:type="pct"/>
            <w:vAlign w:val="center"/>
          </w:tcPr>
          <w:p w14:paraId="2EF56B70">
            <w:pPr>
              <w:contextualSpacing/>
              <w:jc w:val="center"/>
            </w:pPr>
            <w:r>
              <w:t>107</w:t>
            </w:r>
          </w:p>
        </w:tc>
        <w:tc>
          <w:tcPr>
            <w:tcW w:w="404" w:type="pct"/>
            <w:noWrap/>
            <w:vAlign w:val="center"/>
          </w:tcPr>
          <w:p w14:paraId="1827626F">
            <w:pPr>
              <w:contextualSpacing/>
              <w:jc w:val="center"/>
            </w:pPr>
            <w:r>
              <w:t>104.4</w:t>
            </w:r>
          </w:p>
        </w:tc>
        <w:tc>
          <w:tcPr>
            <w:tcW w:w="386" w:type="pct"/>
            <w:vAlign w:val="center"/>
          </w:tcPr>
          <w:p w14:paraId="39F7FF63">
            <w:pPr>
              <w:contextualSpacing/>
              <w:jc w:val="center"/>
            </w:pPr>
            <w:r>
              <w:t>112</w:t>
            </w:r>
          </w:p>
        </w:tc>
        <w:tc>
          <w:tcPr>
            <w:tcW w:w="375" w:type="pct"/>
            <w:noWrap/>
            <w:vAlign w:val="center"/>
          </w:tcPr>
          <w:p w14:paraId="7A0D423E">
            <w:pPr>
              <w:contextualSpacing/>
              <w:jc w:val="center"/>
            </w:pPr>
            <w:r>
              <w:t>84.3</w:t>
            </w:r>
          </w:p>
        </w:tc>
        <w:tc>
          <w:tcPr>
            <w:tcW w:w="302" w:type="pct"/>
            <w:vAlign w:val="center"/>
          </w:tcPr>
          <w:p w14:paraId="69B33716">
            <w:pPr>
              <w:contextualSpacing/>
              <w:jc w:val="center"/>
            </w:pPr>
            <w:r>
              <w:t>110</w:t>
            </w:r>
          </w:p>
        </w:tc>
      </w:tr>
    </w:tbl>
    <w:p w14:paraId="300C6CAF">
      <w:pPr>
        <w:pStyle w:val="382"/>
        <w:spacing w:after="156"/>
      </w:pPr>
      <w:r>
        <w:t>表</w:t>
      </w:r>
      <w:r>
        <w:rPr>
          <w:rFonts w:hint="eastAsia"/>
        </w:rPr>
        <w:t>5</w:t>
      </w:r>
      <w:r>
        <w:t>.2.1-</w:t>
      </w:r>
      <w:r>
        <w:rPr>
          <w:rFonts w:hint="eastAsia"/>
        </w:rPr>
        <w:t>2</w:t>
      </w:r>
      <w:r>
        <w:t xml:space="preserve"> 大潮期平均流速（cm/s）统计</w:t>
      </w:r>
    </w:p>
    <w:tbl>
      <w:tblPr>
        <w:tblStyle w:val="85"/>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60"/>
        <w:gridCol w:w="1162"/>
        <w:gridCol w:w="1163"/>
        <w:gridCol w:w="1163"/>
        <w:gridCol w:w="1161"/>
        <w:gridCol w:w="1159"/>
        <w:gridCol w:w="1159"/>
        <w:gridCol w:w="1159"/>
      </w:tblGrid>
      <w:tr w14:paraId="6733F97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25" w:type="pct"/>
            <w:noWrap/>
            <w:vAlign w:val="center"/>
          </w:tcPr>
          <w:p w14:paraId="67B24838">
            <w:pPr>
              <w:widowControl/>
              <w:contextualSpacing/>
              <w:jc w:val="center"/>
              <w:rPr>
                <w:kern w:val="0"/>
                <w:szCs w:val="21"/>
              </w:rPr>
            </w:pPr>
            <w:r>
              <w:rPr>
                <w:kern w:val="0"/>
                <w:szCs w:val="21"/>
              </w:rPr>
              <w:t>站号</w:t>
            </w:r>
          </w:p>
        </w:tc>
        <w:tc>
          <w:tcPr>
            <w:tcW w:w="626" w:type="pct"/>
            <w:noWrap/>
            <w:vAlign w:val="center"/>
          </w:tcPr>
          <w:p w14:paraId="3D897398">
            <w:pPr>
              <w:widowControl/>
              <w:contextualSpacing/>
              <w:jc w:val="center"/>
              <w:rPr>
                <w:kern w:val="0"/>
                <w:szCs w:val="21"/>
              </w:rPr>
            </w:pPr>
            <w:r>
              <w:rPr>
                <w:kern w:val="0"/>
                <w:szCs w:val="21"/>
              </w:rPr>
              <w:t>表层</w:t>
            </w:r>
          </w:p>
        </w:tc>
        <w:tc>
          <w:tcPr>
            <w:tcW w:w="626" w:type="pct"/>
            <w:vAlign w:val="center"/>
          </w:tcPr>
          <w:p w14:paraId="5D247398">
            <w:pPr>
              <w:contextualSpacing/>
              <w:jc w:val="center"/>
              <w:rPr>
                <w:kern w:val="0"/>
                <w:szCs w:val="21"/>
              </w:rPr>
            </w:pPr>
            <w:r>
              <w:rPr>
                <w:kern w:val="0"/>
                <w:szCs w:val="21"/>
              </w:rPr>
              <w:t>0.2H层</w:t>
            </w:r>
          </w:p>
        </w:tc>
        <w:tc>
          <w:tcPr>
            <w:tcW w:w="626" w:type="pct"/>
            <w:vAlign w:val="center"/>
          </w:tcPr>
          <w:p w14:paraId="5A738534">
            <w:pPr>
              <w:contextualSpacing/>
              <w:jc w:val="center"/>
              <w:rPr>
                <w:kern w:val="0"/>
                <w:szCs w:val="21"/>
              </w:rPr>
            </w:pPr>
            <w:r>
              <w:rPr>
                <w:kern w:val="0"/>
                <w:szCs w:val="21"/>
              </w:rPr>
              <w:t>0.4H层</w:t>
            </w:r>
          </w:p>
        </w:tc>
        <w:tc>
          <w:tcPr>
            <w:tcW w:w="625" w:type="pct"/>
            <w:vAlign w:val="center"/>
          </w:tcPr>
          <w:p w14:paraId="1CCA06D1">
            <w:pPr>
              <w:contextualSpacing/>
              <w:jc w:val="center"/>
              <w:rPr>
                <w:kern w:val="0"/>
                <w:szCs w:val="21"/>
              </w:rPr>
            </w:pPr>
            <w:r>
              <w:rPr>
                <w:kern w:val="0"/>
                <w:szCs w:val="21"/>
              </w:rPr>
              <w:t>0.6H层</w:t>
            </w:r>
          </w:p>
        </w:tc>
        <w:tc>
          <w:tcPr>
            <w:tcW w:w="624" w:type="pct"/>
            <w:vAlign w:val="center"/>
          </w:tcPr>
          <w:p w14:paraId="0D743B1F">
            <w:pPr>
              <w:contextualSpacing/>
              <w:jc w:val="center"/>
              <w:rPr>
                <w:kern w:val="0"/>
                <w:szCs w:val="21"/>
              </w:rPr>
            </w:pPr>
            <w:r>
              <w:rPr>
                <w:kern w:val="0"/>
                <w:szCs w:val="21"/>
              </w:rPr>
              <w:t>0.8H层</w:t>
            </w:r>
          </w:p>
        </w:tc>
        <w:tc>
          <w:tcPr>
            <w:tcW w:w="624" w:type="pct"/>
            <w:vAlign w:val="center"/>
          </w:tcPr>
          <w:p w14:paraId="3F0CDAC5">
            <w:pPr>
              <w:contextualSpacing/>
              <w:jc w:val="center"/>
              <w:rPr>
                <w:kern w:val="0"/>
                <w:szCs w:val="21"/>
              </w:rPr>
            </w:pPr>
            <w:r>
              <w:rPr>
                <w:kern w:val="0"/>
                <w:szCs w:val="21"/>
              </w:rPr>
              <w:t>底层</w:t>
            </w:r>
          </w:p>
        </w:tc>
        <w:tc>
          <w:tcPr>
            <w:tcW w:w="624" w:type="pct"/>
            <w:vAlign w:val="center"/>
          </w:tcPr>
          <w:p w14:paraId="6B318E7B">
            <w:pPr>
              <w:contextualSpacing/>
              <w:jc w:val="center"/>
              <w:rPr>
                <w:kern w:val="0"/>
                <w:szCs w:val="21"/>
              </w:rPr>
            </w:pPr>
            <w:r>
              <w:rPr>
                <w:kern w:val="0"/>
                <w:szCs w:val="21"/>
              </w:rPr>
              <w:t>垂线平均</w:t>
            </w:r>
          </w:p>
        </w:tc>
      </w:tr>
      <w:tr w14:paraId="2E47FD0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25" w:type="pct"/>
            <w:noWrap/>
            <w:vAlign w:val="center"/>
          </w:tcPr>
          <w:p w14:paraId="4FF75DDE">
            <w:pPr>
              <w:contextualSpacing/>
              <w:jc w:val="center"/>
            </w:pPr>
            <w:r>
              <w:t>C1</w:t>
            </w:r>
          </w:p>
        </w:tc>
        <w:tc>
          <w:tcPr>
            <w:tcW w:w="626" w:type="pct"/>
            <w:noWrap/>
          </w:tcPr>
          <w:p w14:paraId="5FD8FA98">
            <w:pPr>
              <w:contextualSpacing/>
              <w:jc w:val="center"/>
            </w:pPr>
            <w:r>
              <w:t>52.0</w:t>
            </w:r>
          </w:p>
        </w:tc>
        <w:tc>
          <w:tcPr>
            <w:tcW w:w="626" w:type="pct"/>
          </w:tcPr>
          <w:p w14:paraId="2212771B">
            <w:pPr>
              <w:contextualSpacing/>
              <w:jc w:val="center"/>
            </w:pPr>
            <w:r>
              <w:t>54.8</w:t>
            </w:r>
          </w:p>
        </w:tc>
        <w:tc>
          <w:tcPr>
            <w:tcW w:w="626" w:type="pct"/>
          </w:tcPr>
          <w:p w14:paraId="39701123">
            <w:pPr>
              <w:contextualSpacing/>
              <w:jc w:val="center"/>
            </w:pPr>
            <w:r>
              <w:t>49.4</w:t>
            </w:r>
          </w:p>
        </w:tc>
        <w:tc>
          <w:tcPr>
            <w:tcW w:w="625" w:type="pct"/>
          </w:tcPr>
          <w:p w14:paraId="1B4E4CC0">
            <w:pPr>
              <w:contextualSpacing/>
              <w:jc w:val="center"/>
            </w:pPr>
            <w:r>
              <w:t>43.8</w:t>
            </w:r>
          </w:p>
        </w:tc>
        <w:tc>
          <w:tcPr>
            <w:tcW w:w="624" w:type="pct"/>
            <w:noWrap/>
          </w:tcPr>
          <w:p w14:paraId="25E31DD8">
            <w:pPr>
              <w:contextualSpacing/>
              <w:jc w:val="center"/>
            </w:pPr>
            <w:r>
              <w:t>36.3</w:t>
            </w:r>
          </w:p>
        </w:tc>
        <w:tc>
          <w:tcPr>
            <w:tcW w:w="624" w:type="pct"/>
          </w:tcPr>
          <w:p w14:paraId="14FCB4DF">
            <w:pPr>
              <w:contextualSpacing/>
              <w:jc w:val="center"/>
            </w:pPr>
            <w:r>
              <w:t>29.6</w:t>
            </w:r>
          </w:p>
        </w:tc>
        <w:tc>
          <w:tcPr>
            <w:tcW w:w="624" w:type="pct"/>
          </w:tcPr>
          <w:p w14:paraId="3DB39AD7">
            <w:pPr>
              <w:contextualSpacing/>
              <w:jc w:val="center"/>
            </w:pPr>
            <w:r>
              <w:t>43.1</w:t>
            </w:r>
          </w:p>
        </w:tc>
      </w:tr>
      <w:tr w14:paraId="2988761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25" w:type="pct"/>
            <w:noWrap/>
            <w:vAlign w:val="center"/>
          </w:tcPr>
          <w:p w14:paraId="1AC3B87D">
            <w:pPr>
              <w:contextualSpacing/>
              <w:jc w:val="center"/>
            </w:pPr>
            <w:r>
              <w:t>C2</w:t>
            </w:r>
          </w:p>
        </w:tc>
        <w:tc>
          <w:tcPr>
            <w:tcW w:w="626" w:type="pct"/>
            <w:noWrap/>
          </w:tcPr>
          <w:p w14:paraId="618941F0">
            <w:pPr>
              <w:contextualSpacing/>
              <w:jc w:val="center"/>
            </w:pPr>
            <w:r>
              <w:t>89.0</w:t>
            </w:r>
          </w:p>
        </w:tc>
        <w:tc>
          <w:tcPr>
            <w:tcW w:w="626" w:type="pct"/>
          </w:tcPr>
          <w:p w14:paraId="69B38CAC">
            <w:pPr>
              <w:contextualSpacing/>
              <w:jc w:val="center"/>
            </w:pPr>
            <w:r>
              <w:t>85.2</w:t>
            </w:r>
          </w:p>
        </w:tc>
        <w:tc>
          <w:tcPr>
            <w:tcW w:w="626" w:type="pct"/>
          </w:tcPr>
          <w:p w14:paraId="28287F53">
            <w:pPr>
              <w:contextualSpacing/>
              <w:jc w:val="center"/>
            </w:pPr>
            <w:r>
              <w:t>80.3</w:t>
            </w:r>
          </w:p>
        </w:tc>
        <w:tc>
          <w:tcPr>
            <w:tcW w:w="625" w:type="pct"/>
          </w:tcPr>
          <w:p w14:paraId="34A948A7">
            <w:pPr>
              <w:contextualSpacing/>
              <w:jc w:val="center"/>
            </w:pPr>
            <w:r>
              <w:t>73.1</w:t>
            </w:r>
          </w:p>
        </w:tc>
        <w:tc>
          <w:tcPr>
            <w:tcW w:w="624" w:type="pct"/>
            <w:noWrap/>
          </w:tcPr>
          <w:p w14:paraId="5D54FCAB">
            <w:pPr>
              <w:contextualSpacing/>
              <w:jc w:val="center"/>
            </w:pPr>
            <w:r>
              <w:t>64.3</w:t>
            </w:r>
          </w:p>
        </w:tc>
        <w:tc>
          <w:tcPr>
            <w:tcW w:w="624" w:type="pct"/>
          </w:tcPr>
          <w:p w14:paraId="206E0956">
            <w:pPr>
              <w:contextualSpacing/>
              <w:jc w:val="center"/>
            </w:pPr>
            <w:r>
              <w:t>52.6</w:t>
            </w:r>
          </w:p>
        </w:tc>
        <w:tc>
          <w:tcPr>
            <w:tcW w:w="624" w:type="pct"/>
          </w:tcPr>
          <w:p w14:paraId="3868DA38">
            <w:pPr>
              <w:contextualSpacing/>
              <w:jc w:val="center"/>
            </w:pPr>
            <w:r>
              <w:t>74.6</w:t>
            </w:r>
          </w:p>
        </w:tc>
      </w:tr>
      <w:tr w14:paraId="06001C2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25" w:type="pct"/>
            <w:noWrap/>
            <w:vAlign w:val="center"/>
          </w:tcPr>
          <w:p w14:paraId="7327A287">
            <w:pPr>
              <w:contextualSpacing/>
              <w:jc w:val="center"/>
            </w:pPr>
            <w:r>
              <w:t>C3</w:t>
            </w:r>
          </w:p>
        </w:tc>
        <w:tc>
          <w:tcPr>
            <w:tcW w:w="626" w:type="pct"/>
            <w:noWrap/>
          </w:tcPr>
          <w:p w14:paraId="52930223">
            <w:pPr>
              <w:contextualSpacing/>
              <w:jc w:val="center"/>
            </w:pPr>
            <w:r>
              <w:t>73.9</w:t>
            </w:r>
          </w:p>
        </w:tc>
        <w:tc>
          <w:tcPr>
            <w:tcW w:w="626" w:type="pct"/>
          </w:tcPr>
          <w:p w14:paraId="6CC5E489">
            <w:pPr>
              <w:contextualSpacing/>
              <w:jc w:val="center"/>
            </w:pPr>
            <w:r>
              <w:t>76.6</w:t>
            </w:r>
          </w:p>
        </w:tc>
        <w:tc>
          <w:tcPr>
            <w:tcW w:w="626" w:type="pct"/>
          </w:tcPr>
          <w:p w14:paraId="7EDD4437">
            <w:pPr>
              <w:contextualSpacing/>
              <w:jc w:val="center"/>
            </w:pPr>
            <w:r>
              <w:t>73.9</w:t>
            </w:r>
          </w:p>
        </w:tc>
        <w:tc>
          <w:tcPr>
            <w:tcW w:w="625" w:type="pct"/>
          </w:tcPr>
          <w:p w14:paraId="098EFA47">
            <w:pPr>
              <w:contextualSpacing/>
              <w:jc w:val="center"/>
            </w:pPr>
            <w:r>
              <w:t>72.8</w:t>
            </w:r>
          </w:p>
        </w:tc>
        <w:tc>
          <w:tcPr>
            <w:tcW w:w="624" w:type="pct"/>
            <w:noWrap/>
          </w:tcPr>
          <w:p w14:paraId="4D2438DA">
            <w:pPr>
              <w:contextualSpacing/>
              <w:jc w:val="center"/>
            </w:pPr>
            <w:r>
              <w:t>69.3</w:t>
            </w:r>
          </w:p>
        </w:tc>
        <w:tc>
          <w:tcPr>
            <w:tcW w:w="624" w:type="pct"/>
          </w:tcPr>
          <w:p w14:paraId="01A5F2D8">
            <w:pPr>
              <w:contextualSpacing/>
              <w:jc w:val="center"/>
            </w:pPr>
            <w:r>
              <w:t>56.1</w:t>
            </w:r>
          </w:p>
        </w:tc>
        <w:tc>
          <w:tcPr>
            <w:tcW w:w="624" w:type="pct"/>
          </w:tcPr>
          <w:p w14:paraId="5661EE4E">
            <w:pPr>
              <w:contextualSpacing/>
              <w:jc w:val="center"/>
            </w:pPr>
            <w:r>
              <w:t>71.3</w:t>
            </w:r>
          </w:p>
        </w:tc>
      </w:tr>
      <w:tr w14:paraId="1D9B8EB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25" w:type="pct"/>
            <w:noWrap/>
            <w:vAlign w:val="center"/>
          </w:tcPr>
          <w:p w14:paraId="4D43CB3F">
            <w:pPr>
              <w:contextualSpacing/>
              <w:jc w:val="center"/>
            </w:pPr>
            <w:r>
              <w:t>C4</w:t>
            </w:r>
          </w:p>
        </w:tc>
        <w:tc>
          <w:tcPr>
            <w:tcW w:w="626" w:type="pct"/>
            <w:noWrap/>
          </w:tcPr>
          <w:p w14:paraId="3CD8FEA3">
            <w:pPr>
              <w:contextualSpacing/>
              <w:jc w:val="center"/>
            </w:pPr>
            <w:r>
              <w:t>65.2</w:t>
            </w:r>
          </w:p>
        </w:tc>
        <w:tc>
          <w:tcPr>
            <w:tcW w:w="626" w:type="pct"/>
          </w:tcPr>
          <w:p w14:paraId="6BAD8961">
            <w:pPr>
              <w:contextualSpacing/>
              <w:jc w:val="center"/>
            </w:pPr>
            <w:r>
              <w:t>66.2</w:t>
            </w:r>
          </w:p>
        </w:tc>
        <w:tc>
          <w:tcPr>
            <w:tcW w:w="626" w:type="pct"/>
          </w:tcPr>
          <w:p w14:paraId="7B7C4A17">
            <w:pPr>
              <w:contextualSpacing/>
              <w:jc w:val="center"/>
            </w:pPr>
            <w:r>
              <w:t>66.2</w:t>
            </w:r>
          </w:p>
        </w:tc>
        <w:tc>
          <w:tcPr>
            <w:tcW w:w="625" w:type="pct"/>
          </w:tcPr>
          <w:p w14:paraId="6A335E4C">
            <w:pPr>
              <w:contextualSpacing/>
              <w:jc w:val="center"/>
            </w:pPr>
            <w:r>
              <w:t>62.1</w:t>
            </w:r>
          </w:p>
        </w:tc>
        <w:tc>
          <w:tcPr>
            <w:tcW w:w="624" w:type="pct"/>
            <w:noWrap/>
          </w:tcPr>
          <w:p w14:paraId="4FB572E2">
            <w:pPr>
              <w:contextualSpacing/>
              <w:jc w:val="center"/>
            </w:pPr>
            <w:r>
              <w:t>55.2</w:t>
            </w:r>
          </w:p>
        </w:tc>
        <w:tc>
          <w:tcPr>
            <w:tcW w:w="624" w:type="pct"/>
          </w:tcPr>
          <w:p w14:paraId="7F0529CE">
            <w:pPr>
              <w:contextualSpacing/>
              <w:jc w:val="center"/>
            </w:pPr>
            <w:r>
              <w:t>43.2</w:t>
            </w:r>
          </w:p>
        </w:tc>
        <w:tc>
          <w:tcPr>
            <w:tcW w:w="624" w:type="pct"/>
          </w:tcPr>
          <w:p w14:paraId="0421BEA6">
            <w:pPr>
              <w:contextualSpacing/>
              <w:jc w:val="center"/>
            </w:pPr>
            <w:r>
              <w:t>60.5</w:t>
            </w:r>
          </w:p>
        </w:tc>
      </w:tr>
    </w:tbl>
    <w:p w14:paraId="73BDF277">
      <w:pPr>
        <w:pStyle w:val="152"/>
        <w:adjustRightInd w:val="0"/>
        <w:snapToGrid w:val="0"/>
        <w:spacing w:line="360" w:lineRule="auto"/>
        <w:rPr>
          <w:rFonts w:eastAsia="宋体" w:cs="Times New Roman"/>
          <w:szCs w:val="21"/>
        </w:rPr>
      </w:pPr>
      <w:r>
        <w:rPr>
          <w:rFonts w:hint="eastAsia" w:eastAsia="宋体" w:cs="Times New Roman"/>
          <w:szCs w:val="21"/>
        </w:rPr>
        <w:t>3、波浪</w:t>
      </w:r>
    </w:p>
    <w:p w14:paraId="590BBB16">
      <w:pPr>
        <w:pStyle w:val="152"/>
        <w:tabs>
          <w:tab w:val="left" w:pos="1140"/>
        </w:tabs>
        <w:adjustRightInd w:val="0"/>
        <w:snapToGrid w:val="0"/>
        <w:spacing w:line="360" w:lineRule="auto"/>
        <w:rPr>
          <w:rFonts w:eastAsia="宋体" w:cs="Times New Roman"/>
          <w:szCs w:val="21"/>
        </w:rPr>
      </w:pPr>
      <w:r>
        <w:rPr>
          <w:rFonts w:hint="eastAsia" w:eastAsia="宋体" w:cs="Times New Roman"/>
          <w:szCs w:val="21"/>
        </w:rPr>
        <w:t>（1）路由区北岸</w:t>
      </w:r>
    </w:p>
    <w:p w14:paraId="32151E93">
      <w:pPr>
        <w:pStyle w:val="152"/>
        <w:adjustRightInd w:val="0"/>
        <w:snapToGrid w:val="0"/>
        <w:spacing w:line="360" w:lineRule="auto"/>
        <w:rPr>
          <w:rFonts w:eastAsia="宋体" w:cs="Times New Roman"/>
          <w:szCs w:val="21"/>
        </w:rPr>
      </w:pPr>
      <w:r>
        <w:rPr>
          <w:rFonts w:eastAsia="宋体" w:cs="Times New Roman"/>
          <w:szCs w:val="21"/>
        </w:rPr>
        <w:t>以三塘站为代表站，H1/10的最大值，出现在SSW向，H1/10为2.7m，其次为S向，H1/10为2.5m。冬、秋季波浪相对较小， H1/10不超过1.6m，夏季是该海区的大浪季节，H1/10超过2.0m，出现在SE、S、SSW、SW、W向。春季H1/10的最大值为2.7m，波向为SSW向；夏季H1/10的最大值为2.5m，出现于S向；秋季H1/10的最大值为1.6m，出现于ENE、ESE向；冬季H1/10的最大值为1.3m，出现于NNE、ENE、ESE向。</w:t>
      </w:r>
    </w:p>
    <w:p w14:paraId="6F42B03C">
      <w:pPr>
        <w:pStyle w:val="152"/>
        <w:adjustRightInd w:val="0"/>
        <w:snapToGrid w:val="0"/>
        <w:spacing w:line="360" w:lineRule="auto"/>
        <w:rPr>
          <w:rFonts w:eastAsia="宋体" w:cs="Times New Roman"/>
          <w:szCs w:val="21"/>
        </w:rPr>
      </w:pPr>
      <w:r>
        <w:rPr>
          <w:rFonts w:eastAsia="宋体" w:cs="Times New Roman"/>
          <w:szCs w:val="21"/>
        </w:rPr>
        <w:t>各月的平均波高（即H1/10的月平均值），7月、10月、11月份均大于0.7m，10月份为最大，为0.9m，最小值为0.3m，出现于2、4、5 月份。春、夏、秋、冬四个季节H1/10的月平均值分别为0.33m、0.57m、0.73m、0.47m，说明秋季波浪平均状态比冬、春季大，详见表4.2.3–1。</w:t>
      </w:r>
    </w:p>
    <w:p w14:paraId="6C6FEEE5">
      <w:pPr>
        <w:pStyle w:val="152"/>
        <w:adjustRightInd w:val="0"/>
        <w:snapToGrid w:val="0"/>
        <w:spacing w:line="360" w:lineRule="auto"/>
        <w:rPr>
          <w:rFonts w:eastAsia="宋体" w:cs="Times New Roman"/>
          <w:szCs w:val="21"/>
        </w:rPr>
      </w:pPr>
      <w:r>
        <w:rPr>
          <w:rFonts w:eastAsia="宋体" w:cs="Times New Roman"/>
          <w:szCs w:val="21"/>
        </w:rPr>
        <w:t>月平均周期，1 月份最大，平均周期为4.8S，5月平均周期最小，为3.6s，全年平均周期为4.0s。</w:t>
      </w:r>
    </w:p>
    <w:p w14:paraId="1D2CC633">
      <w:pPr>
        <w:pStyle w:val="382"/>
        <w:spacing w:after="156"/>
      </w:pPr>
      <w:r>
        <w:t>表</w:t>
      </w:r>
      <w:r>
        <w:rPr>
          <w:rFonts w:hint="eastAsia"/>
        </w:rPr>
        <w:t>5</w:t>
      </w:r>
      <w:r>
        <w:t>.2.1-</w:t>
      </w:r>
      <w:r>
        <w:rPr>
          <w:rFonts w:hint="eastAsia"/>
        </w:rPr>
        <w:t>3</w:t>
      </w:r>
      <w:r>
        <w:t xml:space="preserve"> 北岸（三塘站）各月及全年平均波高（m）和周期（s）表</w:t>
      </w:r>
    </w:p>
    <w:tbl>
      <w:tblPr>
        <w:tblStyle w:val="85"/>
        <w:tblW w:w="0" w:type="auto"/>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4"/>
        <w:gridCol w:w="596"/>
        <w:gridCol w:w="596"/>
        <w:gridCol w:w="596"/>
        <w:gridCol w:w="596"/>
        <w:gridCol w:w="597"/>
        <w:gridCol w:w="597"/>
        <w:gridCol w:w="597"/>
        <w:gridCol w:w="597"/>
        <w:gridCol w:w="597"/>
        <w:gridCol w:w="597"/>
        <w:gridCol w:w="597"/>
        <w:gridCol w:w="585"/>
        <w:gridCol w:w="711"/>
      </w:tblGrid>
      <w:tr w14:paraId="0CC782D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664" w:type="dxa"/>
            <w:vAlign w:val="center"/>
          </w:tcPr>
          <w:p w14:paraId="59BC4182">
            <w:pPr>
              <w:autoSpaceDE w:val="0"/>
              <w:autoSpaceDN w:val="0"/>
              <w:adjustRightInd w:val="0"/>
              <w:jc w:val="center"/>
              <w:rPr>
                <w:rFonts w:eastAsia="楷体_GB2312"/>
                <w:kern w:val="0"/>
                <w:szCs w:val="21"/>
              </w:rPr>
            </w:pPr>
            <w:r>
              <w:rPr>
                <w:rFonts w:eastAsia="楷体_GB2312"/>
                <w:kern w:val="0"/>
                <w:szCs w:val="21"/>
              </w:rPr>
              <w:t>月份</w:t>
            </w:r>
          </w:p>
        </w:tc>
        <w:tc>
          <w:tcPr>
            <w:tcW w:w="596" w:type="dxa"/>
            <w:vAlign w:val="center"/>
          </w:tcPr>
          <w:p w14:paraId="2629EDCC">
            <w:pPr>
              <w:autoSpaceDE w:val="0"/>
              <w:autoSpaceDN w:val="0"/>
              <w:adjustRightInd w:val="0"/>
              <w:jc w:val="center"/>
              <w:rPr>
                <w:rFonts w:eastAsia="楷体_GB2312"/>
                <w:kern w:val="0"/>
                <w:szCs w:val="21"/>
              </w:rPr>
            </w:pPr>
            <w:r>
              <w:rPr>
                <w:rFonts w:eastAsia="楷体_GB2312"/>
                <w:kern w:val="0"/>
                <w:szCs w:val="21"/>
              </w:rPr>
              <w:t>1</w:t>
            </w:r>
          </w:p>
        </w:tc>
        <w:tc>
          <w:tcPr>
            <w:tcW w:w="596" w:type="dxa"/>
            <w:vAlign w:val="center"/>
          </w:tcPr>
          <w:p w14:paraId="31946F38">
            <w:pPr>
              <w:autoSpaceDE w:val="0"/>
              <w:autoSpaceDN w:val="0"/>
              <w:adjustRightInd w:val="0"/>
              <w:jc w:val="center"/>
              <w:rPr>
                <w:rFonts w:eastAsia="楷体_GB2312"/>
                <w:kern w:val="0"/>
                <w:szCs w:val="21"/>
              </w:rPr>
            </w:pPr>
            <w:r>
              <w:rPr>
                <w:rFonts w:eastAsia="楷体_GB2312"/>
                <w:kern w:val="0"/>
                <w:szCs w:val="21"/>
              </w:rPr>
              <w:t>2</w:t>
            </w:r>
          </w:p>
        </w:tc>
        <w:tc>
          <w:tcPr>
            <w:tcW w:w="596" w:type="dxa"/>
            <w:vAlign w:val="center"/>
          </w:tcPr>
          <w:p w14:paraId="267B9575">
            <w:pPr>
              <w:autoSpaceDE w:val="0"/>
              <w:autoSpaceDN w:val="0"/>
              <w:adjustRightInd w:val="0"/>
              <w:jc w:val="center"/>
              <w:rPr>
                <w:rFonts w:eastAsia="楷体_GB2312"/>
                <w:kern w:val="0"/>
                <w:szCs w:val="21"/>
              </w:rPr>
            </w:pPr>
            <w:r>
              <w:rPr>
                <w:rFonts w:eastAsia="楷体_GB2312"/>
                <w:kern w:val="0"/>
                <w:szCs w:val="21"/>
              </w:rPr>
              <w:t>3</w:t>
            </w:r>
          </w:p>
        </w:tc>
        <w:tc>
          <w:tcPr>
            <w:tcW w:w="596" w:type="dxa"/>
            <w:vAlign w:val="center"/>
          </w:tcPr>
          <w:p w14:paraId="6E21625F">
            <w:pPr>
              <w:autoSpaceDE w:val="0"/>
              <w:autoSpaceDN w:val="0"/>
              <w:adjustRightInd w:val="0"/>
              <w:jc w:val="center"/>
              <w:rPr>
                <w:rFonts w:eastAsia="楷体_GB2312"/>
                <w:kern w:val="0"/>
                <w:szCs w:val="21"/>
              </w:rPr>
            </w:pPr>
            <w:r>
              <w:rPr>
                <w:rFonts w:eastAsia="楷体_GB2312"/>
                <w:kern w:val="0"/>
                <w:szCs w:val="21"/>
              </w:rPr>
              <w:t>4</w:t>
            </w:r>
          </w:p>
        </w:tc>
        <w:tc>
          <w:tcPr>
            <w:tcW w:w="597" w:type="dxa"/>
            <w:vAlign w:val="center"/>
          </w:tcPr>
          <w:p w14:paraId="11C7D18C">
            <w:pPr>
              <w:autoSpaceDE w:val="0"/>
              <w:autoSpaceDN w:val="0"/>
              <w:adjustRightInd w:val="0"/>
              <w:jc w:val="center"/>
              <w:rPr>
                <w:rFonts w:eastAsia="楷体_GB2312"/>
                <w:kern w:val="0"/>
                <w:szCs w:val="21"/>
              </w:rPr>
            </w:pPr>
            <w:r>
              <w:rPr>
                <w:rFonts w:eastAsia="楷体_GB2312"/>
                <w:kern w:val="0"/>
                <w:szCs w:val="21"/>
              </w:rPr>
              <w:t>5</w:t>
            </w:r>
          </w:p>
        </w:tc>
        <w:tc>
          <w:tcPr>
            <w:tcW w:w="597" w:type="dxa"/>
            <w:vAlign w:val="center"/>
          </w:tcPr>
          <w:p w14:paraId="39BEA53A">
            <w:pPr>
              <w:autoSpaceDE w:val="0"/>
              <w:autoSpaceDN w:val="0"/>
              <w:adjustRightInd w:val="0"/>
              <w:jc w:val="center"/>
              <w:rPr>
                <w:rFonts w:eastAsia="楷体_GB2312"/>
                <w:kern w:val="0"/>
                <w:szCs w:val="21"/>
              </w:rPr>
            </w:pPr>
            <w:r>
              <w:rPr>
                <w:rFonts w:eastAsia="楷体_GB2312"/>
                <w:kern w:val="0"/>
                <w:szCs w:val="21"/>
              </w:rPr>
              <w:t>6</w:t>
            </w:r>
          </w:p>
        </w:tc>
        <w:tc>
          <w:tcPr>
            <w:tcW w:w="597" w:type="dxa"/>
            <w:vAlign w:val="center"/>
          </w:tcPr>
          <w:p w14:paraId="61D572D7">
            <w:pPr>
              <w:autoSpaceDE w:val="0"/>
              <w:autoSpaceDN w:val="0"/>
              <w:adjustRightInd w:val="0"/>
              <w:jc w:val="center"/>
              <w:rPr>
                <w:rFonts w:eastAsia="楷体_GB2312"/>
                <w:kern w:val="0"/>
                <w:szCs w:val="21"/>
              </w:rPr>
            </w:pPr>
            <w:r>
              <w:rPr>
                <w:rFonts w:eastAsia="楷体_GB2312"/>
                <w:kern w:val="0"/>
                <w:szCs w:val="21"/>
              </w:rPr>
              <w:t>7</w:t>
            </w:r>
          </w:p>
        </w:tc>
        <w:tc>
          <w:tcPr>
            <w:tcW w:w="597" w:type="dxa"/>
            <w:vAlign w:val="center"/>
          </w:tcPr>
          <w:p w14:paraId="54A39AF7">
            <w:pPr>
              <w:autoSpaceDE w:val="0"/>
              <w:autoSpaceDN w:val="0"/>
              <w:adjustRightInd w:val="0"/>
              <w:jc w:val="center"/>
              <w:rPr>
                <w:rFonts w:eastAsia="楷体_GB2312"/>
                <w:kern w:val="0"/>
                <w:szCs w:val="21"/>
              </w:rPr>
            </w:pPr>
            <w:r>
              <w:rPr>
                <w:rFonts w:eastAsia="楷体_GB2312"/>
                <w:kern w:val="0"/>
                <w:szCs w:val="21"/>
              </w:rPr>
              <w:t>8</w:t>
            </w:r>
          </w:p>
        </w:tc>
        <w:tc>
          <w:tcPr>
            <w:tcW w:w="597" w:type="dxa"/>
            <w:vAlign w:val="center"/>
          </w:tcPr>
          <w:p w14:paraId="237CCF0C">
            <w:pPr>
              <w:autoSpaceDE w:val="0"/>
              <w:autoSpaceDN w:val="0"/>
              <w:adjustRightInd w:val="0"/>
              <w:jc w:val="center"/>
              <w:rPr>
                <w:rFonts w:eastAsia="楷体_GB2312"/>
                <w:kern w:val="0"/>
                <w:szCs w:val="21"/>
              </w:rPr>
            </w:pPr>
            <w:r>
              <w:rPr>
                <w:rFonts w:eastAsia="楷体_GB2312"/>
                <w:kern w:val="0"/>
                <w:szCs w:val="21"/>
              </w:rPr>
              <w:t>9</w:t>
            </w:r>
          </w:p>
        </w:tc>
        <w:tc>
          <w:tcPr>
            <w:tcW w:w="597" w:type="dxa"/>
            <w:vAlign w:val="center"/>
          </w:tcPr>
          <w:p w14:paraId="061FC69F">
            <w:pPr>
              <w:autoSpaceDE w:val="0"/>
              <w:autoSpaceDN w:val="0"/>
              <w:adjustRightInd w:val="0"/>
              <w:jc w:val="center"/>
              <w:rPr>
                <w:rFonts w:eastAsia="楷体_GB2312"/>
                <w:kern w:val="0"/>
                <w:szCs w:val="21"/>
              </w:rPr>
            </w:pPr>
            <w:r>
              <w:rPr>
                <w:rFonts w:eastAsia="楷体_GB2312"/>
                <w:kern w:val="0"/>
                <w:szCs w:val="21"/>
              </w:rPr>
              <w:t>10</w:t>
            </w:r>
          </w:p>
        </w:tc>
        <w:tc>
          <w:tcPr>
            <w:tcW w:w="597" w:type="dxa"/>
            <w:vAlign w:val="center"/>
          </w:tcPr>
          <w:p w14:paraId="0C136B47">
            <w:pPr>
              <w:autoSpaceDE w:val="0"/>
              <w:autoSpaceDN w:val="0"/>
              <w:adjustRightInd w:val="0"/>
              <w:jc w:val="center"/>
              <w:rPr>
                <w:rFonts w:eastAsia="楷体_GB2312"/>
                <w:kern w:val="0"/>
                <w:szCs w:val="21"/>
              </w:rPr>
            </w:pPr>
            <w:r>
              <w:rPr>
                <w:rFonts w:eastAsia="楷体_GB2312"/>
                <w:kern w:val="0"/>
                <w:szCs w:val="21"/>
              </w:rPr>
              <w:t>11</w:t>
            </w:r>
          </w:p>
        </w:tc>
        <w:tc>
          <w:tcPr>
            <w:tcW w:w="585" w:type="dxa"/>
            <w:vAlign w:val="center"/>
          </w:tcPr>
          <w:p w14:paraId="60072808">
            <w:pPr>
              <w:autoSpaceDE w:val="0"/>
              <w:autoSpaceDN w:val="0"/>
              <w:adjustRightInd w:val="0"/>
              <w:jc w:val="center"/>
              <w:rPr>
                <w:rFonts w:eastAsia="楷体_GB2312"/>
                <w:kern w:val="0"/>
                <w:szCs w:val="21"/>
              </w:rPr>
            </w:pPr>
            <w:r>
              <w:rPr>
                <w:rFonts w:eastAsia="楷体_GB2312"/>
                <w:kern w:val="0"/>
                <w:szCs w:val="21"/>
              </w:rPr>
              <w:t>12</w:t>
            </w:r>
          </w:p>
        </w:tc>
        <w:tc>
          <w:tcPr>
            <w:tcW w:w="711" w:type="dxa"/>
            <w:vAlign w:val="center"/>
          </w:tcPr>
          <w:p w14:paraId="0D979F50">
            <w:pPr>
              <w:autoSpaceDE w:val="0"/>
              <w:autoSpaceDN w:val="0"/>
              <w:adjustRightInd w:val="0"/>
              <w:jc w:val="center"/>
              <w:rPr>
                <w:rFonts w:eastAsia="楷体_GB2312"/>
                <w:kern w:val="0"/>
                <w:szCs w:val="21"/>
              </w:rPr>
            </w:pPr>
            <w:r>
              <w:rPr>
                <w:rFonts w:eastAsia="楷体_GB2312"/>
                <w:kern w:val="0"/>
                <w:szCs w:val="21"/>
              </w:rPr>
              <w:t>全年</w:t>
            </w:r>
          </w:p>
        </w:tc>
      </w:tr>
      <w:tr w14:paraId="7244DD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664" w:type="dxa"/>
            <w:vAlign w:val="center"/>
          </w:tcPr>
          <w:p w14:paraId="5CF2AC6C">
            <w:pPr>
              <w:spacing w:line="260" w:lineRule="exact"/>
              <w:jc w:val="center"/>
              <w:rPr>
                <w:spacing w:val="-6"/>
                <w:szCs w:val="21"/>
              </w:rPr>
            </w:pPr>
            <w:r>
              <w:rPr>
                <w:spacing w:val="-6"/>
                <w:szCs w:val="21"/>
              </w:rPr>
              <w:t>H</w:t>
            </w:r>
            <w:r>
              <w:rPr>
                <w:spacing w:val="-6"/>
                <w:szCs w:val="21"/>
                <w:vertAlign w:val="subscript"/>
              </w:rPr>
              <w:t>1/10</w:t>
            </w:r>
          </w:p>
        </w:tc>
        <w:tc>
          <w:tcPr>
            <w:tcW w:w="596" w:type="dxa"/>
            <w:vAlign w:val="center"/>
          </w:tcPr>
          <w:p w14:paraId="64CD87EB">
            <w:pPr>
              <w:autoSpaceDE w:val="0"/>
              <w:autoSpaceDN w:val="0"/>
              <w:adjustRightInd w:val="0"/>
              <w:jc w:val="center"/>
              <w:rPr>
                <w:kern w:val="0"/>
                <w:szCs w:val="21"/>
              </w:rPr>
            </w:pPr>
            <w:r>
              <w:rPr>
                <w:kern w:val="0"/>
                <w:szCs w:val="21"/>
              </w:rPr>
              <w:t>0.5</w:t>
            </w:r>
          </w:p>
        </w:tc>
        <w:tc>
          <w:tcPr>
            <w:tcW w:w="596" w:type="dxa"/>
            <w:vAlign w:val="center"/>
          </w:tcPr>
          <w:p w14:paraId="3BE436A9">
            <w:pPr>
              <w:autoSpaceDE w:val="0"/>
              <w:autoSpaceDN w:val="0"/>
              <w:adjustRightInd w:val="0"/>
              <w:jc w:val="center"/>
              <w:rPr>
                <w:kern w:val="0"/>
                <w:szCs w:val="21"/>
              </w:rPr>
            </w:pPr>
            <w:r>
              <w:rPr>
                <w:kern w:val="0"/>
                <w:szCs w:val="21"/>
              </w:rPr>
              <w:t>0.3</w:t>
            </w:r>
          </w:p>
        </w:tc>
        <w:tc>
          <w:tcPr>
            <w:tcW w:w="596" w:type="dxa"/>
            <w:vAlign w:val="center"/>
          </w:tcPr>
          <w:p w14:paraId="3D11C7A3">
            <w:pPr>
              <w:autoSpaceDE w:val="0"/>
              <w:autoSpaceDN w:val="0"/>
              <w:adjustRightInd w:val="0"/>
              <w:jc w:val="center"/>
              <w:rPr>
                <w:kern w:val="0"/>
                <w:szCs w:val="21"/>
              </w:rPr>
            </w:pPr>
            <w:r>
              <w:rPr>
                <w:kern w:val="0"/>
                <w:szCs w:val="21"/>
              </w:rPr>
              <w:t>0.4</w:t>
            </w:r>
          </w:p>
        </w:tc>
        <w:tc>
          <w:tcPr>
            <w:tcW w:w="596" w:type="dxa"/>
            <w:vAlign w:val="center"/>
          </w:tcPr>
          <w:p w14:paraId="6E2494AD">
            <w:pPr>
              <w:autoSpaceDE w:val="0"/>
              <w:autoSpaceDN w:val="0"/>
              <w:adjustRightInd w:val="0"/>
              <w:jc w:val="center"/>
              <w:rPr>
                <w:kern w:val="0"/>
                <w:szCs w:val="21"/>
              </w:rPr>
            </w:pPr>
            <w:r>
              <w:rPr>
                <w:kern w:val="0"/>
                <w:szCs w:val="21"/>
              </w:rPr>
              <w:t>0.3</w:t>
            </w:r>
          </w:p>
        </w:tc>
        <w:tc>
          <w:tcPr>
            <w:tcW w:w="597" w:type="dxa"/>
            <w:vAlign w:val="center"/>
          </w:tcPr>
          <w:p w14:paraId="0C68903C">
            <w:pPr>
              <w:autoSpaceDE w:val="0"/>
              <w:autoSpaceDN w:val="0"/>
              <w:adjustRightInd w:val="0"/>
              <w:jc w:val="center"/>
              <w:rPr>
                <w:kern w:val="0"/>
                <w:szCs w:val="21"/>
              </w:rPr>
            </w:pPr>
            <w:r>
              <w:rPr>
                <w:kern w:val="0"/>
                <w:szCs w:val="21"/>
              </w:rPr>
              <w:t>0.3</w:t>
            </w:r>
          </w:p>
        </w:tc>
        <w:tc>
          <w:tcPr>
            <w:tcW w:w="597" w:type="dxa"/>
            <w:vAlign w:val="center"/>
          </w:tcPr>
          <w:p w14:paraId="22720A1E">
            <w:pPr>
              <w:autoSpaceDE w:val="0"/>
              <w:autoSpaceDN w:val="0"/>
              <w:adjustRightInd w:val="0"/>
              <w:jc w:val="center"/>
              <w:rPr>
                <w:kern w:val="0"/>
                <w:szCs w:val="21"/>
              </w:rPr>
            </w:pPr>
            <w:r>
              <w:rPr>
                <w:kern w:val="0"/>
                <w:szCs w:val="21"/>
              </w:rPr>
              <w:t>0.5</w:t>
            </w:r>
          </w:p>
        </w:tc>
        <w:tc>
          <w:tcPr>
            <w:tcW w:w="597" w:type="dxa"/>
            <w:vAlign w:val="center"/>
          </w:tcPr>
          <w:p w14:paraId="0BFADCD8">
            <w:pPr>
              <w:autoSpaceDE w:val="0"/>
              <w:autoSpaceDN w:val="0"/>
              <w:adjustRightInd w:val="0"/>
              <w:jc w:val="center"/>
              <w:rPr>
                <w:kern w:val="0"/>
                <w:szCs w:val="21"/>
              </w:rPr>
            </w:pPr>
            <w:r>
              <w:rPr>
                <w:kern w:val="0"/>
                <w:szCs w:val="21"/>
              </w:rPr>
              <w:t>0.7</w:t>
            </w:r>
          </w:p>
        </w:tc>
        <w:tc>
          <w:tcPr>
            <w:tcW w:w="597" w:type="dxa"/>
            <w:vAlign w:val="center"/>
          </w:tcPr>
          <w:p w14:paraId="31F709EF">
            <w:pPr>
              <w:autoSpaceDE w:val="0"/>
              <w:autoSpaceDN w:val="0"/>
              <w:adjustRightInd w:val="0"/>
              <w:jc w:val="center"/>
              <w:rPr>
                <w:kern w:val="0"/>
                <w:szCs w:val="21"/>
              </w:rPr>
            </w:pPr>
            <w:r>
              <w:rPr>
                <w:kern w:val="0"/>
                <w:szCs w:val="21"/>
              </w:rPr>
              <w:t>0.5</w:t>
            </w:r>
          </w:p>
        </w:tc>
        <w:tc>
          <w:tcPr>
            <w:tcW w:w="597" w:type="dxa"/>
            <w:vAlign w:val="center"/>
          </w:tcPr>
          <w:p w14:paraId="6D44E9E4">
            <w:pPr>
              <w:autoSpaceDE w:val="0"/>
              <w:autoSpaceDN w:val="0"/>
              <w:adjustRightInd w:val="0"/>
              <w:jc w:val="center"/>
              <w:rPr>
                <w:kern w:val="0"/>
                <w:szCs w:val="21"/>
              </w:rPr>
            </w:pPr>
            <w:r>
              <w:rPr>
                <w:kern w:val="0"/>
                <w:szCs w:val="21"/>
              </w:rPr>
              <w:t>0.6</w:t>
            </w:r>
          </w:p>
        </w:tc>
        <w:tc>
          <w:tcPr>
            <w:tcW w:w="597" w:type="dxa"/>
            <w:vAlign w:val="center"/>
          </w:tcPr>
          <w:p w14:paraId="07CDC864">
            <w:pPr>
              <w:autoSpaceDE w:val="0"/>
              <w:autoSpaceDN w:val="0"/>
              <w:adjustRightInd w:val="0"/>
              <w:jc w:val="center"/>
              <w:rPr>
                <w:kern w:val="0"/>
                <w:szCs w:val="21"/>
              </w:rPr>
            </w:pPr>
            <w:r>
              <w:rPr>
                <w:kern w:val="0"/>
                <w:szCs w:val="21"/>
              </w:rPr>
              <w:t>0.9</w:t>
            </w:r>
          </w:p>
        </w:tc>
        <w:tc>
          <w:tcPr>
            <w:tcW w:w="597" w:type="dxa"/>
            <w:vAlign w:val="center"/>
          </w:tcPr>
          <w:p w14:paraId="7C8D61D7">
            <w:pPr>
              <w:autoSpaceDE w:val="0"/>
              <w:autoSpaceDN w:val="0"/>
              <w:adjustRightInd w:val="0"/>
              <w:jc w:val="center"/>
              <w:rPr>
                <w:kern w:val="0"/>
                <w:szCs w:val="21"/>
              </w:rPr>
            </w:pPr>
            <w:r>
              <w:rPr>
                <w:kern w:val="0"/>
                <w:szCs w:val="21"/>
              </w:rPr>
              <w:t>0.7</w:t>
            </w:r>
          </w:p>
        </w:tc>
        <w:tc>
          <w:tcPr>
            <w:tcW w:w="585" w:type="dxa"/>
            <w:vAlign w:val="center"/>
          </w:tcPr>
          <w:p w14:paraId="56EF7A2D">
            <w:pPr>
              <w:autoSpaceDE w:val="0"/>
              <w:autoSpaceDN w:val="0"/>
              <w:adjustRightInd w:val="0"/>
              <w:jc w:val="center"/>
              <w:rPr>
                <w:kern w:val="0"/>
                <w:szCs w:val="21"/>
              </w:rPr>
            </w:pPr>
            <w:r>
              <w:rPr>
                <w:kern w:val="0"/>
                <w:szCs w:val="21"/>
              </w:rPr>
              <w:t>0.6</w:t>
            </w:r>
          </w:p>
        </w:tc>
        <w:tc>
          <w:tcPr>
            <w:tcW w:w="711" w:type="dxa"/>
            <w:vAlign w:val="center"/>
          </w:tcPr>
          <w:p w14:paraId="3C2F00F7">
            <w:pPr>
              <w:autoSpaceDE w:val="0"/>
              <w:autoSpaceDN w:val="0"/>
              <w:adjustRightInd w:val="0"/>
              <w:jc w:val="center"/>
              <w:rPr>
                <w:kern w:val="0"/>
                <w:szCs w:val="21"/>
              </w:rPr>
            </w:pPr>
            <w:r>
              <w:rPr>
                <w:kern w:val="0"/>
                <w:szCs w:val="21"/>
              </w:rPr>
              <w:t>0.5</w:t>
            </w:r>
          </w:p>
        </w:tc>
      </w:tr>
      <w:tr w14:paraId="4859811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4" w:type="dxa"/>
            <w:vAlign w:val="center"/>
          </w:tcPr>
          <w:p w14:paraId="56FD9B52">
            <w:pPr>
              <w:spacing w:line="260" w:lineRule="exact"/>
              <w:jc w:val="center"/>
              <w:rPr>
                <w:spacing w:val="-6"/>
                <w:szCs w:val="21"/>
              </w:rPr>
            </w:pPr>
            <w:r>
              <w:rPr>
                <w:spacing w:val="-6"/>
                <w:szCs w:val="21"/>
              </w:rPr>
              <w:t>T</w:t>
            </w:r>
            <w:r>
              <w:rPr>
                <w:spacing w:val="-6"/>
                <w:szCs w:val="21"/>
                <w:vertAlign w:val="subscript"/>
              </w:rPr>
              <w:t>1/10</w:t>
            </w:r>
          </w:p>
        </w:tc>
        <w:tc>
          <w:tcPr>
            <w:tcW w:w="596" w:type="dxa"/>
            <w:vAlign w:val="center"/>
          </w:tcPr>
          <w:p w14:paraId="5A3C8C41">
            <w:pPr>
              <w:autoSpaceDE w:val="0"/>
              <w:autoSpaceDN w:val="0"/>
              <w:adjustRightInd w:val="0"/>
              <w:jc w:val="center"/>
              <w:rPr>
                <w:kern w:val="0"/>
                <w:szCs w:val="21"/>
              </w:rPr>
            </w:pPr>
            <w:r>
              <w:rPr>
                <w:kern w:val="0"/>
                <w:szCs w:val="21"/>
              </w:rPr>
              <w:t>4.8</w:t>
            </w:r>
          </w:p>
        </w:tc>
        <w:tc>
          <w:tcPr>
            <w:tcW w:w="596" w:type="dxa"/>
            <w:vAlign w:val="center"/>
          </w:tcPr>
          <w:p w14:paraId="5FDD6FEE">
            <w:pPr>
              <w:autoSpaceDE w:val="0"/>
              <w:autoSpaceDN w:val="0"/>
              <w:adjustRightInd w:val="0"/>
              <w:jc w:val="center"/>
              <w:rPr>
                <w:kern w:val="0"/>
                <w:szCs w:val="21"/>
              </w:rPr>
            </w:pPr>
            <w:r>
              <w:rPr>
                <w:kern w:val="0"/>
                <w:szCs w:val="21"/>
              </w:rPr>
              <w:t>4.2</w:t>
            </w:r>
          </w:p>
        </w:tc>
        <w:tc>
          <w:tcPr>
            <w:tcW w:w="596" w:type="dxa"/>
            <w:vAlign w:val="center"/>
          </w:tcPr>
          <w:p w14:paraId="4D1BE0E4">
            <w:pPr>
              <w:autoSpaceDE w:val="0"/>
              <w:autoSpaceDN w:val="0"/>
              <w:adjustRightInd w:val="0"/>
              <w:jc w:val="center"/>
              <w:rPr>
                <w:kern w:val="0"/>
                <w:szCs w:val="21"/>
              </w:rPr>
            </w:pPr>
            <w:r>
              <w:rPr>
                <w:kern w:val="0"/>
                <w:szCs w:val="21"/>
              </w:rPr>
              <w:t>4.0</w:t>
            </w:r>
          </w:p>
        </w:tc>
        <w:tc>
          <w:tcPr>
            <w:tcW w:w="596" w:type="dxa"/>
            <w:vAlign w:val="center"/>
          </w:tcPr>
          <w:p w14:paraId="418F6617">
            <w:pPr>
              <w:autoSpaceDE w:val="0"/>
              <w:autoSpaceDN w:val="0"/>
              <w:adjustRightInd w:val="0"/>
              <w:jc w:val="center"/>
              <w:rPr>
                <w:kern w:val="0"/>
                <w:szCs w:val="21"/>
              </w:rPr>
            </w:pPr>
            <w:r>
              <w:rPr>
                <w:kern w:val="0"/>
                <w:szCs w:val="21"/>
              </w:rPr>
              <w:t>3.7</w:t>
            </w:r>
          </w:p>
        </w:tc>
        <w:tc>
          <w:tcPr>
            <w:tcW w:w="597" w:type="dxa"/>
            <w:vAlign w:val="center"/>
          </w:tcPr>
          <w:p w14:paraId="354C6356">
            <w:pPr>
              <w:autoSpaceDE w:val="0"/>
              <w:autoSpaceDN w:val="0"/>
              <w:adjustRightInd w:val="0"/>
              <w:jc w:val="center"/>
              <w:rPr>
                <w:kern w:val="0"/>
                <w:szCs w:val="21"/>
              </w:rPr>
            </w:pPr>
            <w:r>
              <w:rPr>
                <w:kern w:val="0"/>
                <w:szCs w:val="21"/>
              </w:rPr>
              <w:t>3.6</w:t>
            </w:r>
          </w:p>
        </w:tc>
        <w:tc>
          <w:tcPr>
            <w:tcW w:w="597" w:type="dxa"/>
            <w:vAlign w:val="center"/>
          </w:tcPr>
          <w:p w14:paraId="4E8BB20F">
            <w:pPr>
              <w:autoSpaceDE w:val="0"/>
              <w:autoSpaceDN w:val="0"/>
              <w:adjustRightInd w:val="0"/>
              <w:jc w:val="center"/>
              <w:rPr>
                <w:kern w:val="0"/>
                <w:szCs w:val="21"/>
              </w:rPr>
            </w:pPr>
            <w:r>
              <w:rPr>
                <w:kern w:val="0"/>
                <w:szCs w:val="21"/>
              </w:rPr>
              <w:t>4.0</w:t>
            </w:r>
          </w:p>
        </w:tc>
        <w:tc>
          <w:tcPr>
            <w:tcW w:w="597" w:type="dxa"/>
            <w:vAlign w:val="center"/>
          </w:tcPr>
          <w:p w14:paraId="603ABECA">
            <w:pPr>
              <w:autoSpaceDE w:val="0"/>
              <w:autoSpaceDN w:val="0"/>
              <w:adjustRightInd w:val="0"/>
              <w:jc w:val="center"/>
              <w:rPr>
                <w:kern w:val="0"/>
                <w:szCs w:val="21"/>
              </w:rPr>
            </w:pPr>
            <w:r>
              <w:rPr>
                <w:kern w:val="0"/>
                <w:szCs w:val="21"/>
              </w:rPr>
              <w:t>3.8</w:t>
            </w:r>
          </w:p>
        </w:tc>
        <w:tc>
          <w:tcPr>
            <w:tcW w:w="597" w:type="dxa"/>
            <w:vAlign w:val="center"/>
          </w:tcPr>
          <w:p w14:paraId="48B64750">
            <w:pPr>
              <w:autoSpaceDE w:val="0"/>
              <w:autoSpaceDN w:val="0"/>
              <w:adjustRightInd w:val="0"/>
              <w:jc w:val="center"/>
              <w:rPr>
                <w:kern w:val="0"/>
                <w:szCs w:val="21"/>
              </w:rPr>
            </w:pPr>
            <w:r>
              <w:rPr>
                <w:kern w:val="0"/>
                <w:szCs w:val="21"/>
              </w:rPr>
              <w:t>3.9</w:t>
            </w:r>
          </w:p>
        </w:tc>
        <w:tc>
          <w:tcPr>
            <w:tcW w:w="597" w:type="dxa"/>
            <w:vAlign w:val="center"/>
          </w:tcPr>
          <w:p w14:paraId="13DAB28A">
            <w:pPr>
              <w:autoSpaceDE w:val="0"/>
              <w:autoSpaceDN w:val="0"/>
              <w:adjustRightInd w:val="0"/>
              <w:jc w:val="center"/>
              <w:rPr>
                <w:kern w:val="0"/>
                <w:szCs w:val="21"/>
              </w:rPr>
            </w:pPr>
            <w:r>
              <w:rPr>
                <w:kern w:val="0"/>
                <w:szCs w:val="21"/>
              </w:rPr>
              <w:t>4.3</w:t>
            </w:r>
          </w:p>
        </w:tc>
        <w:tc>
          <w:tcPr>
            <w:tcW w:w="597" w:type="dxa"/>
            <w:vAlign w:val="center"/>
          </w:tcPr>
          <w:p w14:paraId="48000FE1">
            <w:pPr>
              <w:autoSpaceDE w:val="0"/>
              <w:autoSpaceDN w:val="0"/>
              <w:adjustRightInd w:val="0"/>
              <w:jc w:val="center"/>
              <w:rPr>
                <w:kern w:val="0"/>
                <w:szCs w:val="21"/>
              </w:rPr>
            </w:pPr>
            <w:r>
              <w:rPr>
                <w:kern w:val="0"/>
                <w:szCs w:val="21"/>
              </w:rPr>
              <w:t>4.0</w:t>
            </w:r>
          </w:p>
        </w:tc>
        <w:tc>
          <w:tcPr>
            <w:tcW w:w="597" w:type="dxa"/>
            <w:vAlign w:val="center"/>
          </w:tcPr>
          <w:p w14:paraId="456E09F9">
            <w:pPr>
              <w:autoSpaceDE w:val="0"/>
              <w:autoSpaceDN w:val="0"/>
              <w:adjustRightInd w:val="0"/>
              <w:jc w:val="center"/>
              <w:rPr>
                <w:kern w:val="0"/>
                <w:szCs w:val="21"/>
              </w:rPr>
            </w:pPr>
            <w:r>
              <w:rPr>
                <w:kern w:val="0"/>
                <w:szCs w:val="21"/>
              </w:rPr>
              <w:t>4.0</w:t>
            </w:r>
          </w:p>
        </w:tc>
        <w:tc>
          <w:tcPr>
            <w:tcW w:w="585" w:type="dxa"/>
            <w:vAlign w:val="center"/>
          </w:tcPr>
          <w:p w14:paraId="29816A21">
            <w:pPr>
              <w:autoSpaceDE w:val="0"/>
              <w:autoSpaceDN w:val="0"/>
              <w:adjustRightInd w:val="0"/>
              <w:jc w:val="center"/>
              <w:rPr>
                <w:kern w:val="0"/>
                <w:szCs w:val="21"/>
              </w:rPr>
            </w:pPr>
            <w:r>
              <w:rPr>
                <w:kern w:val="0"/>
                <w:szCs w:val="21"/>
              </w:rPr>
              <w:t>4.6</w:t>
            </w:r>
          </w:p>
        </w:tc>
        <w:tc>
          <w:tcPr>
            <w:tcW w:w="711" w:type="dxa"/>
            <w:vAlign w:val="center"/>
          </w:tcPr>
          <w:p w14:paraId="64D13134">
            <w:pPr>
              <w:autoSpaceDE w:val="0"/>
              <w:autoSpaceDN w:val="0"/>
              <w:adjustRightInd w:val="0"/>
              <w:jc w:val="center"/>
              <w:rPr>
                <w:kern w:val="0"/>
                <w:szCs w:val="21"/>
              </w:rPr>
            </w:pPr>
            <w:r>
              <w:rPr>
                <w:kern w:val="0"/>
                <w:szCs w:val="21"/>
              </w:rPr>
              <w:t>4.0</w:t>
            </w:r>
          </w:p>
        </w:tc>
      </w:tr>
    </w:tbl>
    <w:p w14:paraId="2CBA2A18">
      <w:pPr>
        <w:pStyle w:val="152"/>
        <w:tabs>
          <w:tab w:val="left" w:pos="1140"/>
        </w:tabs>
        <w:adjustRightInd w:val="0"/>
        <w:snapToGrid w:val="0"/>
        <w:spacing w:line="360" w:lineRule="auto"/>
        <w:rPr>
          <w:rFonts w:eastAsia="宋体" w:cs="Times New Roman"/>
          <w:szCs w:val="21"/>
        </w:rPr>
      </w:pPr>
      <w:r>
        <w:rPr>
          <w:rFonts w:hint="eastAsia" w:eastAsia="宋体" w:cs="Times New Roman"/>
          <w:szCs w:val="21"/>
        </w:rPr>
        <w:t>（2）路由区南岸</w:t>
      </w:r>
    </w:p>
    <w:p w14:paraId="7CEDB348">
      <w:pPr>
        <w:pStyle w:val="152"/>
        <w:tabs>
          <w:tab w:val="left" w:pos="1140"/>
        </w:tabs>
        <w:adjustRightInd w:val="0"/>
        <w:snapToGrid w:val="0"/>
        <w:spacing w:line="360" w:lineRule="auto"/>
        <w:rPr>
          <w:rFonts w:eastAsia="宋体" w:cs="Times New Roman"/>
          <w:szCs w:val="21"/>
        </w:rPr>
      </w:pPr>
      <w:r>
        <w:rPr>
          <w:rFonts w:eastAsia="宋体" w:cs="Times New Roman"/>
          <w:szCs w:val="21"/>
        </w:rPr>
        <w:t>海口海洋站位于路由区南岸，本节通过收集海口海洋站2014年1月–2024年12月波浪观测资料，并经过统计计算来分析路由区的波浪特征。</w:t>
      </w:r>
    </w:p>
    <w:p w14:paraId="4603C5D2">
      <w:pPr>
        <w:pStyle w:val="152"/>
        <w:tabs>
          <w:tab w:val="left" w:pos="1140"/>
        </w:tabs>
        <w:adjustRightInd w:val="0"/>
        <w:snapToGrid w:val="0"/>
        <w:spacing w:line="360" w:lineRule="auto"/>
        <w:rPr>
          <w:sz w:val="24"/>
        </w:rPr>
      </w:pPr>
      <w:r>
        <w:rPr>
          <w:rFonts w:eastAsia="宋体" w:cs="Times New Roman"/>
          <w:szCs w:val="21"/>
        </w:rPr>
        <w:t>路由区南岸波浪类型以风浪为主，其中风浪频率占68%，其次为涌浪，频率占25%，其它类型的波浪频率较低，频率之和不超过7%。</w:t>
      </w:r>
    </w:p>
    <w:p w14:paraId="19C8DC16">
      <w:pPr>
        <w:ind w:left="-25" w:firstLine="480"/>
        <w:jc w:val="center"/>
        <w:rPr>
          <w:color w:val="FF0000"/>
        </w:rPr>
      </w:pPr>
      <w:r>
        <w:rPr>
          <w:color w:val="FF0000"/>
        </w:rPr>
        <w:drawing>
          <wp:inline distT="0" distB="0" distL="114300" distR="114300">
            <wp:extent cx="4019550" cy="3202305"/>
            <wp:effectExtent l="0" t="0" r="3810" b="13335"/>
            <wp:docPr id="460" name="图片 73" descr="波浪类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73" descr="波浪类型"/>
                    <pic:cNvPicPr>
                      <a:picLocks noChangeAspect="1"/>
                    </pic:cNvPicPr>
                  </pic:nvPicPr>
                  <pic:blipFill>
                    <a:blip r:embed="rId20"/>
                    <a:srcRect l="13200" t="4338" r="10489" b="14699"/>
                    <a:stretch>
                      <a:fillRect/>
                    </a:stretch>
                  </pic:blipFill>
                  <pic:spPr>
                    <a:xfrm>
                      <a:off x="0" y="0"/>
                      <a:ext cx="4019550" cy="3202305"/>
                    </a:xfrm>
                    <a:prstGeom prst="rect">
                      <a:avLst/>
                    </a:prstGeom>
                    <a:noFill/>
                    <a:ln>
                      <a:noFill/>
                    </a:ln>
                  </pic:spPr>
                </pic:pic>
              </a:graphicData>
            </a:graphic>
          </wp:inline>
        </w:drawing>
      </w:r>
    </w:p>
    <w:p w14:paraId="49B006D1">
      <w:pPr>
        <w:pStyle w:val="382"/>
        <w:spacing w:after="156"/>
      </w:pPr>
      <w:r>
        <w:t>图</w:t>
      </w:r>
      <w:r>
        <w:rPr>
          <w:rFonts w:hint="eastAsia"/>
        </w:rPr>
        <w:t>5</w:t>
      </w:r>
      <w:r>
        <w:t>.2.</w:t>
      </w:r>
      <w:r>
        <w:rPr>
          <w:rFonts w:hint="eastAsia"/>
        </w:rPr>
        <w:t>1</w:t>
      </w:r>
      <w:r>
        <w:t>–1　海口海洋站波浪类型</w:t>
      </w:r>
    </w:p>
    <w:p w14:paraId="01025D11">
      <w:pPr>
        <w:pStyle w:val="152"/>
        <w:tabs>
          <w:tab w:val="left" w:pos="1140"/>
        </w:tabs>
        <w:adjustRightInd w:val="0"/>
        <w:snapToGrid w:val="0"/>
        <w:spacing w:line="360" w:lineRule="auto"/>
        <w:rPr>
          <w:rFonts w:eastAsia="宋体" w:cs="Times New Roman"/>
          <w:szCs w:val="21"/>
        </w:rPr>
      </w:pPr>
      <w:r>
        <w:rPr>
          <w:rFonts w:eastAsia="宋体" w:cs="Times New Roman"/>
          <w:szCs w:val="21"/>
        </w:rPr>
        <w:t>路由区南岸波向，以N和E向为主，其出现频率分别为19.85%和16.38%，NE、ENE向波浪次之，其出现频率分别为14.55%和10.87%， SSW</w:t>
      </w:r>
      <w:r>
        <w:rPr>
          <w:rFonts w:hint="eastAsia" w:eastAsia="宋体" w:cs="Times New Roman"/>
          <w:szCs w:val="21"/>
        </w:rPr>
        <w:t>～W</w:t>
      </w:r>
      <w:r>
        <w:rPr>
          <w:rFonts w:eastAsia="宋体" w:cs="Times New Roman"/>
          <w:szCs w:val="21"/>
        </w:rPr>
        <w:t>NW向波浪出现频率低，均在5.00%以下(如图4.2.3–2)。</w:t>
      </w:r>
    </w:p>
    <w:p w14:paraId="52B9002F">
      <w:pPr>
        <w:jc w:val="center"/>
        <w:rPr>
          <w:color w:val="FF0000"/>
        </w:rPr>
      </w:pPr>
      <w:r>
        <w:rPr>
          <w:color w:val="FF0000"/>
        </w:rPr>
        <w:drawing>
          <wp:inline distT="0" distB="0" distL="114300" distR="114300">
            <wp:extent cx="4949190" cy="3718560"/>
            <wp:effectExtent l="0" t="0" r="3810" b="0"/>
            <wp:docPr id="436" name="图片 74" descr="全年波浪玫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74" descr="全年波浪玫瑰图"/>
                    <pic:cNvPicPr>
                      <a:picLocks noChangeAspect="1"/>
                    </pic:cNvPicPr>
                  </pic:nvPicPr>
                  <pic:blipFill>
                    <a:blip r:embed="rId21"/>
                    <a:stretch>
                      <a:fillRect/>
                    </a:stretch>
                  </pic:blipFill>
                  <pic:spPr>
                    <a:xfrm>
                      <a:off x="0" y="0"/>
                      <a:ext cx="4949190" cy="3718560"/>
                    </a:xfrm>
                    <a:prstGeom prst="rect">
                      <a:avLst/>
                    </a:prstGeom>
                    <a:noFill/>
                    <a:ln>
                      <a:noFill/>
                    </a:ln>
                  </pic:spPr>
                </pic:pic>
              </a:graphicData>
            </a:graphic>
          </wp:inline>
        </w:drawing>
      </w:r>
    </w:p>
    <w:p w14:paraId="1E48EEF5">
      <w:pPr>
        <w:pStyle w:val="382"/>
        <w:spacing w:after="156"/>
      </w:pPr>
      <w:r>
        <w:t>图</w:t>
      </w:r>
      <w:r>
        <w:rPr>
          <w:rFonts w:hint="eastAsia"/>
        </w:rPr>
        <w:t>5</w:t>
      </w:r>
      <w:r>
        <w:t>.2.</w:t>
      </w:r>
      <w:r>
        <w:rPr>
          <w:rFonts w:hint="eastAsia"/>
        </w:rPr>
        <w:t>1</w:t>
      </w:r>
      <w:r>
        <w:t>–2 海口海洋站全年波浪玫瑰图</w:t>
      </w:r>
    </w:p>
    <w:p w14:paraId="6F03F0D0">
      <w:pPr>
        <w:pStyle w:val="152"/>
        <w:tabs>
          <w:tab w:val="left" w:pos="1140"/>
        </w:tabs>
        <w:adjustRightInd w:val="0"/>
        <w:snapToGrid w:val="0"/>
        <w:spacing w:line="360" w:lineRule="auto"/>
        <w:rPr>
          <w:sz w:val="24"/>
        </w:rPr>
      </w:pPr>
      <w:r>
        <w:rPr>
          <w:rFonts w:eastAsia="宋体" w:cs="Times New Roman"/>
          <w:szCs w:val="21"/>
        </w:rPr>
        <w:t>路由海区为小浪区，多年平均波高(H1/10)为0.4m，平均周期(T1/10)为3.4s。实测最大波高为7.0m。波高的季节变化，一般秋、冬季波高大于春、夏季波高。就多年各月平均波高而言，10月平均波高(H1/10)最大，为0.6m，5月–6月平均波高(H1/10)最小，均为0.3m。路由区南岸全年除10月–12月平均波高(H1/10)大于等于0.50m属于轻浪区外，其它月份均小于0.50m，属于小浪区。</w:t>
      </w:r>
    </w:p>
    <w:p w14:paraId="053A442B">
      <w:pPr>
        <w:pStyle w:val="382"/>
        <w:spacing w:after="156"/>
        <w:rPr>
          <w:rFonts w:asciiTheme="minorEastAsia" w:hAnsiTheme="minorEastAsia" w:eastAsiaTheme="minorEastAsia"/>
        </w:rPr>
      </w:pPr>
      <w:r>
        <w:t>表</w:t>
      </w:r>
      <w:r>
        <w:rPr>
          <w:rFonts w:hint="eastAsia"/>
        </w:rPr>
        <w:t>5</w:t>
      </w:r>
      <w:r>
        <w:t>.2.</w:t>
      </w:r>
      <w:r>
        <w:rPr>
          <w:rFonts w:hint="eastAsia"/>
        </w:rPr>
        <w:t>1</w:t>
      </w:r>
      <w:r>
        <w:t>–</w:t>
      </w:r>
      <w:r>
        <w:rPr>
          <w:rFonts w:hint="eastAsia"/>
        </w:rPr>
        <w:t>4</w:t>
      </w:r>
      <w:r>
        <w:t xml:space="preserve"> 南岸（海口站）各月最大波高、平均1/10波高（m）及平均周期（s）</w:t>
      </w:r>
    </w:p>
    <w:tbl>
      <w:tblPr>
        <w:tblStyle w:val="85"/>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580"/>
        <w:gridCol w:w="581"/>
        <w:gridCol w:w="581"/>
        <w:gridCol w:w="581"/>
        <w:gridCol w:w="581"/>
        <w:gridCol w:w="581"/>
        <w:gridCol w:w="581"/>
        <w:gridCol w:w="581"/>
        <w:gridCol w:w="581"/>
        <w:gridCol w:w="742"/>
        <w:gridCol w:w="730"/>
        <w:gridCol w:w="742"/>
        <w:gridCol w:w="653"/>
      </w:tblGrid>
      <w:tr w14:paraId="1A3F53B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7" w:hRule="atLeast"/>
          <w:tblHeader/>
          <w:jc w:val="center"/>
        </w:trPr>
        <w:tc>
          <w:tcPr>
            <w:tcW w:w="0" w:type="auto"/>
            <w:noWrap/>
            <w:tcMar>
              <w:left w:w="0" w:type="dxa"/>
              <w:right w:w="0" w:type="dxa"/>
            </w:tcMar>
            <w:vAlign w:val="center"/>
          </w:tcPr>
          <w:p w14:paraId="2755C89D">
            <w:pPr>
              <w:adjustRightInd w:val="0"/>
              <w:snapToGrid w:val="0"/>
              <w:spacing w:line="300" w:lineRule="atLeast"/>
              <w:jc w:val="center"/>
              <w:rPr>
                <w:szCs w:val="21"/>
              </w:rPr>
            </w:pPr>
            <w:r>
              <w:rPr>
                <w:szCs w:val="21"/>
              </w:rPr>
              <w:t>波要素</w:t>
            </w:r>
          </w:p>
        </w:tc>
        <w:tc>
          <w:tcPr>
            <w:tcW w:w="0" w:type="auto"/>
            <w:noWrap/>
            <w:tcMar>
              <w:left w:w="0" w:type="dxa"/>
              <w:right w:w="0" w:type="dxa"/>
            </w:tcMar>
            <w:vAlign w:val="center"/>
          </w:tcPr>
          <w:p w14:paraId="20FE0235">
            <w:pPr>
              <w:adjustRightInd w:val="0"/>
              <w:snapToGrid w:val="0"/>
              <w:spacing w:line="300" w:lineRule="atLeast"/>
              <w:jc w:val="center"/>
              <w:rPr>
                <w:szCs w:val="21"/>
              </w:rPr>
            </w:pPr>
            <w:r>
              <w:rPr>
                <w:szCs w:val="21"/>
              </w:rPr>
              <w:t>1月</w:t>
            </w:r>
          </w:p>
        </w:tc>
        <w:tc>
          <w:tcPr>
            <w:tcW w:w="0" w:type="auto"/>
            <w:noWrap/>
            <w:tcMar>
              <w:left w:w="0" w:type="dxa"/>
              <w:right w:w="0" w:type="dxa"/>
            </w:tcMar>
            <w:vAlign w:val="center"/>
          </w:tcPr>
          <w:p w14:paraId="4BA7768E">
            <w:pPr>
              <w:adjustRightInd w:val="0"/>
              <w:snapToGrid w:val="0"/>
              <w:spacing w:line="300" w:lineRule="atLeast"/>
              <w:jc w:val="center"/>
              <w:rPr>
                <w:szCs w:val="21"/>
              </w:rPr>
            </w:pPr>
            <w:r>
              <w:rPr>
                <w:szCs w:val="21"/>
              </w:rPr>
              <w:t>2月</w:t>
            </w:r>
          </w:p>
        </w:tc>
        <w:tc>
          <w:tcPr>
            <w:tcW w:w="0" w:type="auto"/>
            <w:noWrap/>
            <w:tcMar>
              <w:left w:w="0" w:type="dxa"/>
              <w:right w:w="0" w:type="dxa"/>
            </w:tcMar>
            <w:vAlign w:val="center"/>
          </w:tcPr>
          <w:p w14:paraId="727C147A">
            <w:pPr>
              <w:adjustRightInd w:val="0"/>
              <w:snapToGrid w:val="0"/>
              <w:spacing w:line="300" w:lineRule="atLeast"/>
              <w:jc w:val="center"/>
              <w:rPr>
                <w:szCs w:val="21"/>
              </w:rPr>
            </w:pPr>
            <w:r>
              <w:rPr>
                <w:szCs w:val="21"/>
              </w:rPr>
              <w:t>3月</w:t>
            </w:r>
          </w:p>
        </w:tc>
        <w:tc>
          <w:tcPr>
            <w:tcW w:w="0" w:type="auto"/>
            <w:tcMar>
              <w:left w:w="0" w:type="dxa"/>
              <w:right w:w="0" w:type="dxa"/>
            </w:tcMar>
            <w:vAlign w:val="center"/>
          </w:tcPr>
          <w:p w14:paraId="1D2A85EE">
            <w:pPr>
              <w:adjustRightInd w:val="0"/>
              <w:snapToGrid w:val="0"/>
              <w:spacing w:line="300" w:lineRule="atLeast"/>
              <w:jc w:val="center"/>
              <w:rPr>
                <w:szCs w:val="21"/>
              </w:rPr>
            </w:pPr>
            <w:r>
              <w:rPr>
                <w:szCs w:val="21"/>
              </w:rPr>
              <w:t>4月</w:t>
            </w:r>
          </w:p>
        </w:tc>
        <w:tc>
          <w:tcPr>
            <w:tcW w:w="0" w:type="auto"/>
            <w:noWrap/>
            <w:tcMar>
              <w:left w:w="0" w:type="dxa"/>
              <w:right w:w="0" w:type="dxa"/>
            </w:tcMar>
            <w:vAlign w:val="center"/>
          </w:tcPr>
          <w:p w14:paraId="0360CDD0">
            <w:pPr>
              <w:adjustRightInd w:val="0"/>
              <w:snapToGrid w:val="0"/>
              <w:spacing w:line="300" w:lineRule="atLeast"/>
              <w:jc w:val="center"/>
              <w:rPr>
                <w:szCs w:val="21"/>
              </w:rPr>
            </w:pPr>
            <w:r>
              <w:rPr>
                <w:szCs w:val="21"/>
              </w:rPr>
              <w:t>5月</w:t>
            </w:r>
          </w:p>
        </w:tc>
        <w:tc>
          <w:tcPr>
            <w:tcW w:w="0" w:type="auto"/>
            <w:noWrap/>
            <w:tcMar>
              <w:left w:w="0" w:type="dxa"/>
              <w:right w:w="0" w:type="dxa"/>
            </w:tcMar>
            <w:vAlign w:val="center"/>
          </w:tcPr>
          <w:p w14:paraId="33C44994">
            <w:pPr>
              <w:adjustRightInd w:val="0"/>
              <w:snapToGrid w:val="0"/>
              <w:spacing w:line="300" w:lineRule="atLeast"/>
              <w:jc w:val="center"/>
              <w:rPr>
                <w:szCs w:val="21"/>
              </w:rPr>
            </w:pPr>
            <w:r>
              <w:rPr>
                <w:szCs w:val="21"/>
              </w:rPr>
              <w:t>6月</w:t>
            </w:r>
          </w:p>
        </w:tc>
        <w:tc>
          <w:tcPr>
            <w:tcW w:w="0" w:type="auto"/>
            <w:noWrap/>
            <w:tcMar>
              <w:left w:w="0" w:type="dxa"/>
              <w:right w:w="0" w:type="dxa"/>
            </w:tcMar>
            <w:vAlign w:val="center"/>
          </w:tcPr>
          <w:p w14:paraId="0C478245">
            <w:pPr>
              <w:adjustRightInd w:val="0"/>
              <w:snapToGrid w:val="0"/>
              <w:spacing w:line="300" w:lineRule="atLeast"/>
              <w:jc w:val="center"/>
              <w:rPr>
                <w:szCs w:val="21"/>
              </w:rPr>
            </w:pPr>
            <w:r>
              <w:rPr>
                <w:szCs w:val="21"/>
              </w:rPr>
              <w:t>7月</w:t>
            </w:r>
          </w:p>
        </w:tc>
        <w:tc>
          <w:tcPr>
            <w:tcW w:w="0" w:type="auto"/>
            <w:noWrap/>
            <w:tcMar>
              <w:left w:w="0" w:type="dxa"/>
              <w:right w:w="0" w:type="dxa"/>
            </w:tcMar>
            <w:vAlign w:val="center"/>
          </w:tcPr>
          <w:p w14:paraId="2E5D39D4">
            <w:pPr>
              <w:adjustRightInd w:val="0"/>
              <w:snapToGrid w:val="0"/>
              <w:spacing w:line="300" w:lineRule="atLeast"/>
              <w:jc w:val="center"/>
              <w:rPr>
                <w:szCs w:val="21"/>
              </w:rPr>
            </w:pPr>
            <w:r>
              <w:rPr>
                <w:szCs w:val="21"/>
              </w:rPr>
              <w:t>8月</w:t>
            </w:r>
          </w:p>
        </w:tc>
        <w:tc>
          <w:tcPr>
            <w:tcW w:w="0" w:type="auto"/>
            <w:noWrap/>
            <w:tcMar>
              <w:left w:w="0" w:type="dxa"/>
              <w:right w:w="0" w:type="dxa"/>
            </w:tcMar>
            <w:vAlign w:val="center"/>
          </w:tcPr>
          <w:p w14:paraId="49804CA9">
            <w:pPr>
              <w:adjustRightInd w:val="0"/>
              <w:snapToGrid w:val="0"/>
              <w:spacing w:line="300" w:lineRule="atLeast"/>
              <w:jc w:val="center"/>
              <w:rPr>
                <w:szCs w:val="21"/>
              </w:rPr>
            </w:pPr>
            <w:r>
              <w:rPr>
                <w:szCs w:val="21"/>
              </w:rPr>
              <w:t>9月</w:t>
            </w:r>
          </w:p>
        </w:tc>
        <w:tc>
          <w:tcPr>
            <w:tcW w:w="0" w:type="auto"/>
            <w:noWrap/>
            <w:tcMar>
              <w:left w:w="0" w:type="dxa"/>
              <w:right w:w="0" w:type="dxa"/>
            </w:tcMar>
            <w:vAlign w:val="center"/>
          </w:tcPr>
          <w:p w14:paraId="5A09D6A5">
            <w:pPr>
              <w:adjustRightInd w:val="0"/>
              <w:snapToGrid w:val="0"/>
              <w:spacing w:line="300" w:lineRule="atLeast"/>
              <w:jc w:val="center"/>
              <w:rPr>
                <w:szCs w:val="21"/>
              </w:rPr>
            </w:pPr>
            <w:r>
              <w:rPr>
                <w:szCs w:val="21"/>
              </w:rPr>
              <w:t>10月</w:t>
            </w:r>
          </w:p>
        </w:tc>
        <w:tc>
          <w:tcPr>
            <w:tcW w:w="0" w:type="auto"/>
            <w:noWrap/>
            <w:tcMar>
              <w:left w:w="0" w:type="dxa"/>
              <w:right w:w="0" w:type="dxa"/>
            </w:tcMar>
            <w:vAlign w:val="center"/>
          </w:tcPr>
          <w:p w14:paraId="467C5D52">
            <w:pPr>
              <w:adjustRightInd w:val="0"/>
              <w:snapToGrid w:val="0"/>
              <w:spacing w:line="300" w:lineRule="atLeast"/>
              <w:jc w:val="center"/>
              <w:rPr>
                <w:szCs w:val="21"/>
              </w:rPr>
            </w:pPr>
            <w:r>
              <w:rPr>
                <w:szCs w:val="21"/>
              </w:rPr>
              <w:t>11月</w:t>
            </w:r>
          </w:p>
        </w:tc>
        <w:tc>
          <w:tcPr>
            <w:tcW w:w="0" w:type="auto"/>
            <w:noWrap/>
            <w:tcMar>
              <w:left w:w="0" w:type="dxa"/>
              <w:right w:w="0" w:type="dxa"/>
            </w:tcMar>
            <w:vAlign w:val="center"/>
          </w:tcPr>
          <w:p w14:paraId="2C14E36A">
            <w:pPr>
              <w:adjustRightInd w:val="0"/>
              <w:snapToGrid w:val="0"/>
              <w:spacing w:line="300" w:lineRule="atLeast"/>
              <w:jc w:val="center"/>
              <w:rPr>
                <w:szCs w:val="21"/>
              </w:rPr>
            </w:pPr>
            <w:r>
              <w:rPr>
                <w:szCs w:val="21"/>
              </w:rPr>
              <w:t>12月</w:t>
            </w:r>
          </w:p>
        </w:tc>
        <w:tc>
          <w:tcPr>
            <w:tcW w:w="0" w:type="auto"/>
            <w:noWrap/>
            <w:tcMar>
              <w:left w:w="0" w:type="dxa"/>
              <w:right w:w="0" w:type="dxa"/>
            </w:tcMar>
            <w:vAlign w:val="center"/>
          </w:tcPr>
          <w:p w14:paraId="38651E11">
            <w:pPr>
              <w:adjustRightInd w:val="0"/>
              <w:snapToGrid w:val="0"/>
              <w:spacing w:line="300" w:lineRule="atLeast"/>
              <w:jc w:val="center"/>
              <w:rPr>
                <w:szCs w:val="21"/>
              </w:rPr>
            </w:pPr>
            <w:r>
              <w:rPr>
                <w:szCs w:val="21"/>
              </w:rPr>
              <w:t>全年</w:t>
            </w:r>
          </w:p>
        </w:tc>
      </w:tr>
      <w:tr w14:paraId="5B01B5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0" w:type="auto"/>
            <w:noWrap/>
            <w:tcMar>
              <w:left w:w="0" w:type="dxa"/>
              <w:right w:w="0" w:type="dxa"/>
            </w:tcMar>
          </w:tcPr>
          <w:p w14:paraId="0A7C19CF">
            <w:pPr>
              <w:adjustRightInd w:val="0"/>
              <w:snapToGrid w:val="0"/>
              <w:spacing w:line="300" w:lineRule="atLeast"/>
              <w:jc w:val="center"/>
              <w:rPr>
                <w:szCs w:val="21"/>
              </w:rPr>
            </w:pPr>
            <w:r>
              <w:rPr>
                <w:szCs w:val="21"/>
              </w:rPr>
              <w:t>H</w:t>
            </w:r>
            <w:r>
              <w:rPr>
                <w:szCs w:val="21"/>
                <w:vertAlign w:val="subscript"/>
              </w:rPr>
              <w:t>max</w:t>
            </w:r>
          </w:p>
        </w:tc>
        <w:tc>
          <w:tcPr>
            <w:tcW w:w="0" w:type="auto"/>
            <w:noWrap/>
            <w:tcMar>
              <w:left w:w="0" w:type="dxa"/>
              <w:right w:w="0" w:type="dxa"/>
            </w:tcMar>
            <w:vAlign w:val="center"/>
          </w:tcPr>
          <w:p w14:paraId="55F6CAC0">
            <w:pPr>
              <w:jc w:val="center"/>
            </w:pPr>
            <w:r>
              <w:t>3.0</w:t>
            </w:r>
          </w:p>
        </w:tc>
        <w:tc>
          <w:tcPr>
            <w:tcW w:w="0" w:type="auto"/>
            <w:noWrap/>
            <w:tcMar>
              <w:left w:w="0" w:type="dxa"/>
              <w:right w:w="0" w:type="dxa"/>
            </w:tcMar>
            <w:vAlign w:val="center"/>
          </w:tcPr>
          <w:p w14:paraId="77CD1C8F">
            <w:pPr>
              <w:jc w:val="center"/>
            </w:pPr>
            <w:r>
              <w:t>2.5</w:t>
            </w:r>
          </w:p>
        </w:tc>
        <w:tc>
          <w:tcPr>
            <w:tcW w:w="0" w:type="auto"/>
            <w:noWrap/>
            <w:tcMar>
              <w:left w:w="0" w:type="dxa"/>
              <w:right w:w="0" w:type="dxa"/>
            </w:tcMar>
            <w:vAlign w:val="center"/>
          </w:tcPr>
          <w:p w14:paraId="12CDA0F9">
            <w:pPr>
              <w:jc w:val="center"/>
            </w:pPr>
            <w:r>
              <w:t>2.6</w:t>
            </w:r>
          </w:p>
        </w:tc>
        <w:tc>
          <w:tcPr>
            <w:tcW w:w="0" w:type="auto"/>
            <w:noWrap/>
            <w:tcMar>
              <w:left w:w="0" w:type="dxa"/>
              <w:right w:w="0" w:type="dxa"/>
            </w:tcMar>
            <w:vAlign w:val="center"/>
          </w:tcPr>
          <w:p w14:paraId="75A53038">
            <w:pPr>
              <w:jc w:val="center"/>
            </w:pPr>
            <w:r>
              <w:t>1.8</w:t>
            </w:r>
          </w:p>
        </w:tc>
        <w:tc>
          <w:tcPr>
            <w:tcW w:w="0" w:type="auto"/>
            <w:tcMar>
              <w:left w:w="0" w:type="dxa"/>
              <w:right w:w="0" w:type="dxa"/>
            </w:tcMar>
            <w:vAlign w:val="center"/>
          </w:tcPr>
          <w:p w14:paraId="5D37C449">
            <w:pPr>
              <w:jc w:val="center"/>
            </w:pPr>
            <w:r>
              <w:t>2.1</w:t>
            </w:r>
          </w:p>
        </w:tc>
        <w:tc>
          <w:tcPr>
            <w:tcW w:w="0" w:type="auto"/>
            <w:noWrap/>
            <w:tcMar>
              <w:left w:w="0" w:type="dxa"/>
              <w:right w:w="0" w:type="dxa"/>
            </w:tcMar>
            <w:vAlign w:val="center"/>
          </w:tcPr>
          <w:p w14:paraId="3F720CBF">
            <w:pPr>
              <w:jc w:val="center"/>
            </w:pPr>
            <w:r>
              <w:t>2.0</w:t>
            </w:r>
          </w:p>
        </w:tc>
        <w:tc>
          <w:tcPr>
            <w:tcW w:w="0" w:type="auto"/>
            <w:noWrap/>
            <w:tcMar>
              <w:left w:w="0" w:type="dxa"/>
              <w:right w:w="0" w:type="dxa"/>
            </w:tcMar>
            <w:vAlign w:val="center"/>
          </w:tcPr>
          <w:p w14:paraId="155FC844">
            <w:pPr>
              <w:jc w:val="center"/>
            </w:pPr>
            <w:r>
              <w:t>7.0</w:t>
            </w:r>
          </w:p>
        </w:tc>
        <w:tc>
          <w:tcPr>
            <w:tcW w:w="0" w:type="auto"/>
            <w:noWrap/>
            <w:tcMar>
              <w:left w:w="0" w:type="dxa"/>
              <w:right w:w="0" w:type="dxa"/>
            </w:tcMar>
            <w:vAlign w:val="center"/>
          </w:tcPr>
          <w:p w14:paraId="16929A1E">
            <w:pPr>
              <w:jc w:val="center"/>
            </w:pPr>
            <w:r>
              <w:t>2.3</w:t>
            </w:r>
          </w:p>
        </w:tc>
        <w:tc>
          <w:tcPr>
            <w:tcW w:w="0" w:type="auto"/>
            <w:noWrap/>
            <w:tcMar>
              <w:left w:w="0" w:type="dxa"/>
              <w:right w:w="0" w:type="dxa"/>
            </w:tcMar>
            <w:vAlign w:val="center"/>
          </w:tcPr>
          <w:p w14:paraId="112F3A55">
            <w:pPr>
              <w:jc w:val="center"/>
            </w:pPr>
            <w:r>
              <w:t>6.1</w:t>
            </w:r>
          </w:p>
        </w:tc>
        <w:tc>
          <w:tcPr>
            <w:tcW w:w="0" w:type="auto"/>
            <w:noWrap/>
            <w:tcMar>
              <w:left w:w="0" w:type="dxa"/>
              <w:right w:w="0" w:type="dxa"/>
            </w:tcMar>
            <w:vAlign w:val="center"/>
          </w:tcPr>
          <w:p w14:paraId="5BDD82A7">
            <w:pPr>
              <w:jc w:val="center"/>
            </w:pPr>
            <w:r>
              <w:t>3.2</w:t>
            </w:r>
          </w:p>
        </w:tc>
        <w:tc>
          <w:tcPr>
            <w:tcW w:w="0" w:type="auto"/>
            <w:noWrap/>
            <w:tcMar>
              <w:left w:w="0" w:type="dxa"/>
              <w:right w:w="0" w:type="dxa"/>
            </w:tcMar>
            <w:vAlign w:val="center"/>
          </w:tcPr>
          <w:p w14:paraId="5BEA2E36">
            <w:pPr>
              <w:jc w:val="center"/>
            </w:pPr>
            <w:r>
              <w:t>1.8</w:t>
            </w:r>
          </w:p>
        </w:tc>
        <w:tc>
          <w:tcPr>
            <w:tcW w:w="0" w:type="auto"/>
            <w:noWrap/>
            <w:tcMar>
              <w:left w:w="0" w:type="dxa"/>
              <w:right w:w="0" w:type="dxa"/>
            </w:tcMar>
            <w:vAlign w:val="center"/>
          </w:tcPr>
          <w:p w14:paraId="41FBBCE3">
            <w:pPr>
              <w:jc w:val="center"/>
            </w:pPr>
            <w:r>
              <w:t>2.8</w:t>
            </w:r>
          </w:p>
        </w:tc>
        <w:tc>
          <w:tcPr>
            <w:tcW w:w="0" w:type="auto"/>
            <w:noWrap/>
            <w:tcMar>
              <w:left w:w="0" w:type="dxa"/>
              <w:right w:w="0" w:type="dxa"/>
            </w:tcMar>
            <w:vAlign w:val="center"/>
          </w:tcPr>
          <w:p w14:paraId="718A2030">
            <w:pPr>
              <w:jc w:val="center"/>
            </w:pPr>
            <w:r>
              <w:t>7.0</w:t>
            </w:r>
          </w:p>
        </w:tc>
      </w:tr>
      <w:tr w14:paraId="32429D1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0" w:type="auto"/>
            <w:noWrap/>
            <w:tcMar>
              <w:left w:w="0" w:type="dxa"/>
              <w:right w:w="0" w:type="dxa"/>
            </w:tcMar>
          </w:tcPr>
          <w:p w14:paraId="6B9B82F3">
            <w:pPr>
              <w:adjustRightInd w:val="0"/>
              <w:snapToGrid w:val="0"/>
              <w:spacing w:line="300" w:lineRule="atLeast"/>
              <w:jc w:val="center"/>
              <w:rPr>
                <w:szCs w:val="21"/>
              </w:rPr>
            </w:pPr>
            <w:r>
              <w:rPr>
                <w:szCs w:val="21"/>
              </w:rPr>
              <w:t>H</w:t>
            </w:r>
            <w:r>
              <w:rPr>
                <w:szCs w:val="21"/>
                <w:vertAlign w:val="subscript"/>
              </w:rPr>
              <w:t>1/10</w:t>
            </w:r>
          </w:p>
        </w:tc>
        <w:tc>
          <w:tcPr>
            <w:tcW w:w="0" w:type="auto"/>
            <w:noWrap/>
            <w:tcMar>
              <w:left w:w="0" w:type="dxa"/>
              <w:right w:w="0" w:type="dxa"/>
            </w:tcMar>
            <w:vAlign w:val="center"/>
          </w:tcPr>
          <w:p w14:paraId="47FB939F">
            <w:pPr>
              <w:jc w:val="center"/>
            </w:pPr>
            <w:r>
              <w:t>0.4</w:t>
            </w:r>
          </w:p>
        </w:tc>
        <w:tc>
          <w:tcPr>
            <w:tcW w:w="0" w:type="auto"/>
            <w:noWrap/>
            <w:tcMar>
              <w:left w:w="0" w:type="dxa"/>
              <w:right w:w="0" w:type="dxa"/>
            </w:tcMar>
            <w:vAlign w:val="center"/>
          </w:tcPr>
          <w:p w14:paraId="195B119B">
            <w:pPr>
              <w:jc w:val="center"/>
            </w:pPr>
            <w:r>
              <w:t>0.4</w:t>
            </w:r>
          </w:p>
        </w:tc>
        <w:tc>
          <w:tcPr>
            <w:tcW w:w="0" w:type="auto"/>
            <w:noWrap/>
            <w:tcMar>
              <w:left w:w="0" w:type="dxa"/>
              <w:right w:w="0" w:type="dxa"/>
            </w:tcMar>
            <w:vAlign w:val="center"/>
          </w:tcPr>
          <w:p w14:paraId="55BF2ECA">
            <w:pPr>
              <w:jc w:val="center"/>
            </w:pPr>
            <w:r>
              <w:t>0.4</w:t>
            </w:r>
          </w:p>
        </w:tc>
        <w:tc>
          <w:tcPr>
            <w:tcW w:w="0" w:type="auto"/>
            <w:noWrap/>
            <w:tcMar>
              <w:left w:w="0" w:type="dxa"/>
              <w:right w:w="0" w:type="dxa"/>
            </w:tcMar>
            <w:vAlign w:val="center"/>
          </w:tcPr>
          <w:p w14:paraId="2272E02A">
            <w:pPr>
              <w:jc w:val="center"/>
            </w:pPr>
            <w:r>
              <w:t>0.3</w:t>
            </w:r>
          </w:p>
        </w:tc>
        <w:tc>
          <w:tcPr>
            <w:tcW w:w="0" w:type="auto"/>
            <w:tcMar>
              <w:left w:w="0" w:type="dxa"/>
              <w:right w:w="0" w:type="dxa"/>
            </w:tcMar>
            <w:vAlign w:val="center"/>
          </w:tcPr>
          <w:p w14:paraId="2C0E6A80">
            <w:pPr>
              <w:jc w:val="center"/>
            </w:pPr>
            <w:r>
              <w:t>0.3</w:t>
            </w:r>
          </w:p>
        </w:tc>
        <w:tc>
          <w:tcPr>
            <w:tcW w:w="0" w:type="auto"/>
            <w:noWrap/>
            <w:tcMar>
              <w:left w:w="0" w:type="dxa"/>
              <w:right w:w="0" w:type="dxa"/>
            </w:tcMar>
            <w:vAlign w:val="center"/>
          </w:tcPr>
          <w:p w14:paraId="40186FAA">
            <w:pPr>
              <w:jc w:val="center"/>
            </w:pPr>
            <w:r>
              <w:t>0.3</w:t>
            </w:r>
          </w:p>
        </w:tc>
        <w:tc>
          <w:tcPr>
            <w:tcW w:w="0" w:type="auto"/>
            <w:noWrap/>
            <w:tcMar>
              <w:left w:w="0" w:type="dxa"/>
              <w:right w:w="0" w:type="dxa"/>
            </w:tcMar>
            <w:vAlign w:val="center"/>
          </w:tcPr>
          <w:p w14:paraId="0480AB52">
            <w:pPr>
              <w:jc w:val="center"/>
            </w:pPr>
            <w:r>
              <w:t>0.3</w:t>
            </w:r>
          </w:p>
        </w:tc>
        <w:tc>
          <w:tcPr>
            <w:tcW w:w="0" w:type="auto"/>
            <w:noWrap/>
            <w:tcMar>
              <w:left w:w="0" w:type="dxa"/>
              <w:right w:w="0" w:type="dxa"/>
            </w:tcMar>
            <w:vAlign w:val="center"/>
          </w:tcPr>
          <w:p w14:paraId="5739251B">
            <w:pPr>
              <w:jc w:val="center"/>
            </w:pPr>
            <w:r>
              <w:t>0.3</w:t>
            </w:r>
          </w:p>
        </w:tc>
        <w:tc>
          <w:tcPr>
            <w:tcW w:w="0" w:type="auto"/>
            <w:noWrap/>
            <w:tcMar>
              <w:left w:w="0" w:type="dxa"/>
              <w:right w:w="0" w:type="dxa"/>
            </w:tcMar>
            <w:vAlign w:val="center"/>
          </w:tcPr>
          <w:p w14:paraId="46515F1D">
            <w:pPr>
              <w:jc w:val="center"/>
            </w:pPr>
            <w:r>
              <w:t>0.4</w:t>
            </w:r>
          </w:p>
        </w:tc>
        <w:tc>
          <w:tcPr>
            <w:tcW w:w="0" w:type="auto"/>
            <w:noWrap/>
            <w:tcMar>
              <w:left w:w="0" w:type="dxa"/>
              <w:right w:w="0" w:type="dxa"/>
            </w:tcMar>
            <w:vAlign w:val="center"/>
          </w:tcPr>
          <w:p w14:paraId="3ABAC15D">
            <w:pPr>
              <w:jc w:val="center"/>
            </w:pPr>
            <w:r>
              <w:t>0.6</w:t>
            </w:r>
          </w:p>
        </w:tc>
        <w:tc>
          <w:tcPr>
            <w:tcW w:w="0" w:type="auto"/>
            <w:noWrap/>
            <w:tcMar>
              <w:left w:w="0" w:type="dxa"/>
              <w:right w:w="0" w:type="dxa"/>
            </w:tcMar>
            <w:vAlign w:val="center"/>
          </w:tcPr>
          <w:p w14:paraId="2998E0DB">
            <w:pPr>
              <w:jc w:val="center"/>
            </w:pPr>
            <w:r>
              <w:t>0.5</w:t>
            </w:r>
          </w:p>
        </w:tc>
        <w:tc>
          <w:tcPr>
            <w:tcW w:w="0" w:type="auto"/>
            <w:noWrap/>
            <w:tcMar>
              <w:left w:w="0" w:type="dxa"/>
              <w:right w:w="0" w:type="dxa"/>
            </w:tcMar>
            <w:vAlign w:val="center"/>
          </w:tcPr>
          <w:p w14:paraId="68F703C1">
            <w:pPr>
              <w:jc w:val="center"/>
            </w:pPr>
            <w:r>
              <w:t>0.5</w:t>
            </w:r>
          </w:p>
        </w:tc>
        <w:tc>
          <w:tcPr>
            <w:tcW w:w="0" w:type="auto"/>
            <w:noWrap/>
            <w:tcMar>
              <w:left w:w="0" w:type="dxa"/>
              <w:right w:w="0" w:type="dxa"/>
            </w:tcMar>
            <w:vAlign w:val="center"/>
          </w:tcPr>
          <w:p w14:paraId="6757E6EA">
            <w:pPr>
              <w:jc w:val="center"/>
            </w:pPr>
            <w:r>
              <w:t>0.4</w:t>
            </w:r>
          </w:p>
        </w:tc>
      </w:tr>
      <w:tr w14:paraId="16B0369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0" w:type="auto"/>
            <w:noWrap/>
            <w:tcMar>
              <w:left w:w="0" w:type="dxa"/>
              <w:right w:w="0" w:type="dxa"/>
            </w:tcMar>
          </w:tcPr>
          <w:p w14:paraId="40922FE9">
            <w:pPr>
              <w:adjustRightInd w:val="0"/>
              <w:snapToGrid w:val="0"/>
              <w:spacing w:line="300" w:lineRule="atLeast"/>
              <w:jc w:val="center"/>
              <w:rPr>
                <w:szCs w:val="21"/>
              </w:rPr>
            </w:pPr>
            <w:r>
              <w:rPr>
                <w:spacing w:val="-6"/>
                <w:szCs w:val="21"/>
              </w:rPr>
              <w:t>T</w:t>
            </w:r>
            <w:r>
              <w:rPr>
                <w:spacing w:val="-6"/>
                <w:szCs w:val="21"/>
                <w:vertAlign w:val="subscript"/>
              </w:rPr>
              <w:t>1/10</w:t>
            </w:r>
          </w:p>
        </w:tc>
        <w:tc>
          <w:tcPr>
            <w:tcW w:w="0" w:type="auto"/>
            <w:noWrap/>
            <w:tcMar>
              <w:left w:w="0" w:type="dxa"/>
              <w:right w:w="0" w:type="dxa"/>
            </w:tcMar>
            <w:vAlign w:val="center"/>
          </w:tcPr>
          <w:p w14:paraId="4344D755">
            <w:pPr>
              <w:jc w:val="center"/>
            </w:pPr>
            <w:r>
              <w:t>3.5</w:t>
            </w:r>
          </w:p>
        </w:tc>
        <w:tc>
          <w:tcPr>
            <w:tcW w:w="0" w:type="auto"/>
            <w:noWrap/>
            <w:tcMar>
              <w:left w:w="0" w:type="dxa"/>
              <w:right w:w="0" w:type="dxa"/>
            </w:tcMar>
            <w:vAlign w:val="center"/>
          </w:tcPr>
          <w:p w14:paraId="4305C1FA">
            <w:pPr>
              <w:jc w:val="center"/>
            </w:pPr>
            <w:r>
              <w:t>3.4</w:t>
            </w:r>
          </w:p>
        </w:tc>
        <w:tc>
          <w:tcPr>
            <w:tcW w:w="0" w:type="auto"/>
            <w:noWrap/>
            <w:tcMar>
              <w:left w:w="0" w:type="dxa"/>
              <w:right w:w="0" w:type="dxa"/>
            </w:tcMar>
            <w:vAlign w:val="center"/>
          </w:tcPr>
          <w:p w14:paraId="4EEF7574">
            <w:pPr>
              <w:jc w:val="center"/>
            </w:pPr>
            <w:r>
              <w:t>3.4</w:t>
            </w:r>
          </w:p>
        </w:tc>
        <w:tc>
          <w:tcPr>
            <w:tcW w:w="0" w:type="auto"/>
            <w:noWrap/>
            <w:tcMar>
              <w:left w:w="0" w:type="dxa"/>
              <w:right w:w="0" w:type="dxa"/>
            </w:tcMar>
            <w:vAlign w:val="center"/>
          </w:tcPr>
          <w:p w14:paraId="5379B09E">
            <w:pPr>
              <w:jc w:val="center"/>
            </w:pPr>
            <w:r>
              <w:t>3.3</w:t>
            </w:r>
          </w:p>
        </w:tc>
        <w:tc>
          <w:tcPr>
            <w:tcW w:w="0" w:type="auto"/>
            <w:tcMar>
              <w:left w:w="0" w:type="dxa"/>
              <w:right w:w="0" w:type="dxa"/>
            </w:tcMar>
            <w:vAlign w:val="center"/>
          </w:tcPr>
          <w:p w14:paraId="7E797031">
            <w:pPr>
              <w:jc w:val="center"/>
            </w:pPr>
            <w:r>
              <w:t>3.3</w:t>
            </w:r>
          </w:p>
        </w:tc>
        <w:tc>
          <w:tcPr>
            <w:tcW w:w="0" w:type="auto"/>
            <w:noWrap/>
            <w:tcMar>
              <w:left w:w="0" w:type="dxa"/>
              <w:right w:w="0" w:type="dxa"/>
            </w:tcMar>
            <w:vAlign w:val="center"/>
          </w:tcPr>
          <w:p w14:paraId="13D1FCFE">
            <w:pPr>
              <w:jc w:val="center"/>
            </w:pPr>
            <w:r>
              <w:t>3.3</w:t>
            </w:r>
          </w:p>
        </w:tc>
        <w:tc>
          <w:tcPr>
            <w:tcW w:w="0" w:type="auto"/>
            <w:noWrap/>
            <w:tcMar>
              <w:left w:w="0" w:type="dxa"/>
              <w:right w:w="0" w:type="dxa"/>
            </w:tcMar>
            <w:vAlign w:val="center"/>
          </w:tcPr>
          <w:p w14:paraId="79E3530B">
            <w:pPr>
              <w:jc w:val="center"/>
            </w:pPr>
            <w:r>
              <w:t>2.9</w:t>
            </w:r>
          </w:p>
        </w:tc>
        <w:tc>
          <w:tcPr>
            <w:tcW w:w="0" w:type="auto"/>
            <w:noWrap/>
            <w:tcMar>
              <w:left w:w="0" w:type="dxa"/>
              <w:right w:w="0" w:type="dxa"/>
            </w:tcMar>
            <w:vAlign w:val="center"/>
          </w:tcPr>
          <w:p w14:paraId="20F5C4BC">
            <w:pPr>
              <w:jc w:val="center"/>
            </w:pPr>
            <w:r>
              <w:t>3.4</w:t>
            </w:r>
          </w:p>
        </w:tc>
        <w:tc>
          <w:tcPr>
            <w:tcW w:w="0" w:type="auto"/>
            <w:noWrap/>
            <w:tcMar>
              <w:left w:w="0" w:type="dxa"/>
              <w:right w:w="0" w:type="dxa"/>
            </w:tcMar>
            <w:vAlign w:val="center"/>
          </w:tcPr>
          <w:p w14:paraId="0F891DF7">
            <w:pPr>
              <w:jc w:val="center"/>
            </w:pPr>
            <w:r>
              <w:t>3.4</w:t>
            </w:r>
          </w:p>
        </w:tc>
        <w:tc>
          <w:tcPr>
            <w:tcW w:w="0" w:type="auto"/>
            <w:noWrap/>
            <w:tcMar>
              <w:left w:w="0" w:type="dxa"/>
              <w:right w:w="0" w:type="dxa"/>
            </w:tcMar>
            <w:vAlign w:val="center"/>
          </w:tcPr>
          <w:p w14:paraId="1A4F5304">
            <w:pPr>
              <w:jc w:val="center"/>
            </w:pPr>
            <w:r>
              <w:t>3.6</w:t>
            </w:r>
          </w:p>
        </w:tc>
        <w:tc>
          <w:tcPr>
            <w:tcW w:w="0" w:type="auto"/>
            <w:noWrap/>
            <w:tcMar>
              <w:left w:w="0" w:type="dxa"/>
              <w:right w:w="0" w:type="dxa"/>
            </w:tcMar>
            <w:vAlign w:val="center"/>
          </w:tcPr>
          <w:p w14:paraId="70308276">
            <w:pPr>
              <w:jc w:val="center"/>
            </w:pPr>
            <w:r>
              <w:t>3.4</w:t>
            </w:r>
          </w:p>
        </w:tc>
        <w:tc>
          <w:tcPr>
            <w:tcW w:w="0" w:type="auto"/>
            <w:noWrap/>
            <w:tcMar>
              <w:left w:w="0" w:type="dxa"/>
              <w:right w:w="0" w:type="dxa"/>
            </w:tcMar>
            <w:vAlign w:val="center"/>
          </w:tcPr>
          <w:p w14:paraId="1009EA0C">
            <w:pPr>
              <w:jc w:val="center"/>
            </w:pPr>
            <w:r>
              <w:t>3.6</w:t>
            </w:r>
          </w:p>
        </w:tc>
        <w:tc>
          <w:tcPr>
            <w:tcW w:w="0" w:type="auto"/>
            <w:noWrap/>
            <w:tcMar>
              <w:left w:w="0" w:type="dxa"/>
              <w:right w:w="0" w:type="dxa"/>
            </w:tcMar>
            <w:vAlign w:val="center"/>
          </w:tcPr>
          <w:p w14:paraId="67648787">
            <w:pPr>
              <w:jc w:val="center"/>
            </w:pPr>
            <w:r>
              <w:t>3.4</w:t>
            </w:r>
          </w:p>
        </w:tc>
      </w:tr>
    </w:tbl>
    <w:p w14:paraId="012AEB98">
      <w:pPr>
        <w:pStyle w:val="152"/>
        <w:tabs>
          <w:tab w:val="left" w:pos="1140"/>
        </w:tabs>
        <w:adjustRightInd w:val="0"/>
        <w:snapToGrid w:val="0"/>
        <w:spacing w:line="360" w:lineRule="auto"/>
        <w:rPr>
          <w:rFonts w:eastAsia="宋体" w:cs="Times New Roman"/>
          <w:szCs w:val="21"/>
        </w:rPr>
      </w:pPr>
    </w:p>
    <w:p w14:paraId="669CC430">
      <w:pPr>
        <w:pStyle w:val="152"/>
        <w:adjustRightInd w:val="0"/>
        <w:snapToGrid w:val="0"/>
        <w:spacing w:line="360" w:lineRule="auto"/>
        <w:rPr>
          <w:rFonts w:eastAsia="宋体" w:cs="Times New Roman"/>
          <w:szCs w:val="21"/>
        </w:rPr>
      </w:pPr>
      <w:r>
        <w:rPr>
          <w:rFonts w:hint="eastAsia" w:eastAsia="宋体" w:cs="Times New Roman"/>
          <w:szCs w:val="21"/>
        </w:rPr>
        <w:t>4、气温与水温</w:t>
      </w:r>
    </w:p>
    <w:p w14:paraId="271F5875">
      <w:pPr>
        <w:pStyle w:val="152"/>
        <w:adjustRightInd w:val="0"/>
        <w:snapToGrid w:val="0"/>
        <w:spacing w:line="360" w:lineRule="auto"/>
        <w:rPr>
          <w:rFonts w:eastAsia="宋体" w:cs="Times New Roman"/>
          <w:szCs w:val="21"/>
        </w:rPr>
      </w:pPr>
      <w:r>
        <w:rPr>
          <w:rFonts w:hint="eastAsia" w:eastAsia="宋体" w:cs="Times New Roman"/>
          <w:szCs w:val="21"/>
        </w:rPr>
        <w:t>路由区全年气温较高，多年平均气温，北岸（徐闻气象站）为23.3℃，南岸（海口气象站）为 24.1℃，南岸（海口周年站）为25.5℃。最热月出现在6月和7月，最冷月出现在1月和2月。路由区域多年雾日平均值，北岸为23.9d，南岸为 3.6d。雾日主要出现在1月至4月。1949年-2023年，共有288个热带气旋影响路由海域，热带气旋多发生在6月-10月，8月份发生次数最多，9月份次之，1月-3月没有热带气旋影响。路由区潮汐类型为正规全日潮。路由区为弱潮海区，北岸实测最高潮位为2.44m（85 基面，本节下同），最低潮位为-0.83m，平均海面为 0.61m，平均潮差1.23m，平均太潮差为 1.87m，最大潮差为 3.10m;南岸实测最高潮位为 2.51m，最低潮位为-0.99m，平均海面为0.65m，平均潮差 1.20m，平均太潮差为1.70m，最大潮差为 3.07m。按11个分潮调和常数计算的海安和海口海洋站的理论最高潮面均为 2.00m，理论最低潮面分别为-1.02m，南岸为-0.96m。</w:t>
      </w:r>
    </w:p>
    <w:p w14:paraId="78913879">
      <w:pPr>
        <w:pStyle w:val="152"/>
        <w:adjustRightInd w:val="0"/>
        <w:snapToGrid w:val="0"/>
        <w:spacing w:line="360" w:lineRule="auto"/>
        <w:rPr>
          <w:rFonts w:eastAsia="宋体" w:cs="Times New Roman"/>
          <w:szCs w:val="21"/>
        </w:rPr>
      </w:pPr>
      <w:r>
        <w:rPr>
          <w:rFonts w:hint="eastAsia" w:eastAsia="宋体" w:cs="Times New Roman"/>
          <w:szCs w:val="21"/>
        </w:rPr>
        <w:t>海中水温方面，</w:t>
      </w:r>
      <w:r>
        <w:rPr>
          <w:rFonts w:eastAsia="宋体" w:cs="Times New Roman"/>
          <w:szCs w:val="21"/>
        </w:rPr>
        <w:t>本章节数据均来源于海安海洋站（20°13.7′N、110°7.6′E）、海口海洋站（20°01′N，110°17′E）、 徐闻气象站（20°20′N、110°10′E）、海口气象站（20°02′N、110°21′E）、海口湾西侧周年气象观测站（110°12.083′E，20°3.388′N），以上气象站均在路由区附近。根据近期在琼州海峡以及徐闻东等海域的水文观测站数据表明，</w:t>
      </w:r>
      <w:r>
        <w:rPr>
          <w:rFonts w:hint="eastAsia" w:eastAsia="宋体" w:cs="Times New Roman"/>
          <w:szCs w:val="21"/>
        </w:rPr>
        <w:t>路由区域8月水温最高，2月水温最低。路由水温呈现出夏季高于秋季，秋季高于春季，春季高于冬季的季节变化特点。</w:t>
      </w:r>
      <w:r>
        <w:rPr>
          <w:rFonts w:eastAsia="宋体" w:cs="Times New Roman"/>
          <w:szCs w:val="21"/>
        </w:rPr>
        <w:t>最热月夏季大潮期各站表层水温平均值为 27.84℃，0.6H 层为 25.02℃，底层为24.14℃；中潮期各站表层水温平均值为 28.60℃，0.6H 层为 24.93℃，底层为23.05℃；小潮期各站表层水温平均值为 29.86℃，0.6H 层为 26.06℃，底层为23.82℃。从上面数据可以看到，最热月海峡底层水温均不超过25℃，因此海中段海缆的海底地温取25℃。</w:t>
      </w:r>
    </w:p>
    <w:p w14:paraId="76306E18">
      <w:pPr>
        <w:pStyle w:val="152"/>
        <w:adjustRightInd w:val="0"/>
        <w:snapToGrid w:val="0"/>
        <w:spacing w:line="360" w:lineRule="auto"/>
        <w:rPr>
          <w:rFonts w:eastAsia="宋体" w:cs="Times New Roman"/>
          <w:szCs w:val="21"/>
        </w:rPr>
      </w:pPr>
      <w:r>
        <w:rPr>
          <w:rFonts w:eastAsia="宋体" w:cs="Times New Roman"/>
          <w:szCs w:val="21"/>
        </w:rPr>
        <w:t>在地温方面，通过</w:t>
      </w:r>
      <w:r>
        <w:rPr>
          <w:rFonts w:hint="eastAsia" w:eastAsia="宋体" w:cs="Times New Roman"/>
          <w:szCs w:val="21"/>
        </w:rPr>
        <w:t>徐闻气象站（20°20′N、110°10′E）与海口气象站（20°02′N、110°21′E）</w:t>
      </w:r>
      <w:r>
        <w:rPr>
          <w:rFonts w:eastAsia="宋体" w:cs="Times New Roman"/>
          <w:szCs w:val="21"/>
        </w:rPr>
        <w:t>统计时段2005年-20</w:t>
      </w:r>
      <w:r>
        <w:rPr>
          <w:rFonts w:hint="eastAsia" w:eastAsia="宋体" w:cs="Times New Roman"/>
          <w:szCs w:val="21"/>
        </w:rPr>
        <w:t>23</w:t>
      </w:r>
      <w:r>
        <w:rPr>
          <w:rFonts w:eastAsia="宋体" w:cs="Times New Roman"/>
          <w:szCs w:val="21"/>
        </w:rPr>
        <w:t>年多年累计统计数据，</w:t>
      </w:r>
      <w:r>
        <w:rPr>
          <w:rFonts w:hint="eastAsia" w:eastAsia="宋体" w:cs="Times New Roman"/>
          <w:szCs w:val="21"/>
        </w:rPr>
        <w:t>广东侧</w:t>
      </w:r>
      <w:r>
        <w:rPr>
          <w:rFonts w:eastAsia="宋体" w:cs="Times New Roman"/>
          <w:szCs w:val="21"/>
        </w:rPr>
        <w:t>累年最热月平均地温最高出现在7月，不同深度最热月平均地温有0m深度</w:t>
      </w:r>
      <w:r>
        <w:rPr>
          <w:rFonts w:hint="eastAsia" w:eastAsia="宋体" w:cs="Times New Roman"/>
          <w:szCs w:val="21"/>
        </w:rPr>
        <w:t>35.4℃</w:t>
      </w:r>
      <w:r>
        <w:rPr>
          <w:rFonts w:eastAsia="宋体" w:cs="Times New Roman"/>
          <w:szCs w:val="21"/>
        </w:rPr>
        <w:t>、0.8m深度</w:t>
      </w:r>
      <w:r>
        <w:rPr>
          <w:rFonts w:hint="eastAsia" w:eastAsia="宋体" w:cs="Times New Roman"/>
          <w:szCs w:val="21"/>
        </w:rPr>
        <w:t>30.7℃</w:t>
      </w:r>
      <w:r>
        <w:rPr>
          <w:rFonts w:eastAsia="宋体" w:cs="Times New Roman"/>
          <w:szCs w:val="21"/>
        </w:rPr>
        <w:t>、1.6m深度</w:t>
      </w:r>
      <w:r>
        <w:rPr>
          <w:rFonts w:hint="eastAsia" w:eastAsia="宋体" w:cs="Times New Roman"/>
          <w:szCs w:val="21"/>
        </w:rPr>
        <w:t>29.0℃</w:t>
      </w:r>
      <w:r>
        <w:rPr>
          <w:rFonts w:eastAsia="宋体" w:cs="Times New Roman"/>
          <w:szCs w:val="21"/>
        </w:rPr>
        <w:t>、3.2m深度</w:t>
      </w:r>
      <w:r>
        <w:rPr>
          <w:rFonts w:hint="eastAsia" w:eastAsia="宋体" w:cs="Times New Roman"/>
          <w:szCs w:val="21"/>
        </w:rPr>
        <w:t>27.1℃；海南侧</w:t>
      </w:r>
      <w:r>
        <w:rPr>
          <w:rFonts w:eastAsia="宋体" w:cs="Times New Roman"/>
          <w:szCs w:val="21"/>
        </w:rPr>
        <w:t>累年最热月平均地温最高出现在7月，不同深度最热月平均地温有0m深度</w:t>
      </w:r>
      <w:r>
        <w:rPr>
          <w:rFonts w:hint="eastAsia" w:eastAsia="宋体" w:cs="Times New Roman"/>
          <w:szCs w:val="21"/>
        </w:rPr>
        <w:t>33.1℃</w:t>
      </w:r>
      <w:r>
        <w:rPr>
          <w:rFonts w:eastAsia="宋体" w:cs="Times New Roman"/>
          <w:szCs w:val="21"/>
        </w:rPr>
        <w:t>、0.8m深度</w:t>
      </w:r>
      <w:r>
        <w:rPr>
          <w:rFonts w:hint="eastAsia" w:eastAsia="宋体" w:cs="Times New Roman"/>
          <w:szCs w:val="21"/>
        </w:rPr>
        <w:t>30.2℃</w:t>
      </w:r>
      <w:r>
        <w:rPr>
          <w:rFonts w:eastAsia="宋体" w:cs="Times New Roman"/>
          <w:szCs w:val="21"/>
        </w:rPr>
        <w:t>、1.6m深度</w:t>
      </w:r>
      <w:r>
        <w:rPr>
          <w:rFonts w:hint="eastAsia" w:eastAsia="宋体" w:cs="Times New Roman"/>
          <w:szCs w:val="21"/>
        </w:rPr>
        <w:t>29.1℃</w:t>
      </w:r>
      <w:r>
        <w:rPr>
          <w:rFonts w:eastAsia="宋体" w:cs="Times New Roman"/>
          <w:szCs w:val="21"/>
        </w:rPr>
        <w:t>、3.2m深度</w:t>
      </w:r>
      <w:r>
        <w:rPr>
          <w:rFonts w:hint="eastAsia" w:eastAsia="宋体" w:cs="Times New Roman"/>
          <w:szCs w:val="21"/>
        </w:rPr>
        <w:t>27.5℃</w:t>
      </w:r>
      <w:r>
        <w:rPr>
          <w:rFonts w:eastAsia="宋体" w:cs="Times New Roman"/>
          <w:szCs w:val="21"/>
        </w:rPr>
        <w:t>。</w:t>
      </w:r>
    </w:p>
    <w:p w14:paraId="3AFC7D8A">
      <w:pPr>
        <w:pStyle w:val="152"/>
        <w:adjustRightInd w:val="0"/>
        <w:snapToGrid w:val="0"/>
        <w:spacing w:line="360" w:lineRule="auto"/>
        <w:rPr>
          <w:rFonts w:eastAsia="宋体" w:cs="Times New Roman"/>
          <w:szCs w:val="21"/>
        </w:rPr>
      </w:pPr>
      <w:r>
        <w:rPr>
          <w:rFonts w:hint="eastAsia" w:eastAsia="宋体" w:cs="Times New Roman"/>
          <w:szCs w:val="21"/>
        </w:rPr>
        <w:t>根据以上水温与地温情况，有主要设计气象条件汇总如下：</w:t>
      </w:r>
    </w:p>
    <w:p w14:paraId="0368E37D">
      <w:pPr>
        <w:pStyle w:val="382"/>
        <w:spacing w:after="156"/>
      </w:pPr>
      <w:r>
        <w:t>表</w:t>
      </w:r>
      <w:r>
        <w:rPr>
          <w:rFonts w:hint="eastAsia"/>
        </w:rPr>
        <w:t>5</w:t>
      </w:r>
      <w:r>
        <w:t>.2.1-</w:t>
      </w:r>
      <w:r>
        <w:rPr>
          <w:rFonts w:hint="eastAsia"/>
        </w:rPr>
        <w:t>5</w:t>
      </w:r>
      <w:r>
        <w:t>主要设计气象条件汇总</w:t>
      </w:r>
    </w:p>
    <w:tbl>
      <w:tblPr>
        <w:tblStyle w:val="86"/>
        <w:tblW w:w="46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850"/>
        <w:gridCol w:w="1447"/>
        <w:gridCol w:w="2115"/>
        <w:gridCol w:w="3008"/>
      </w:tblGrid>
      <w:tr w14:paraId="6C7D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58" w:type="pct"/>
            <w:gridSpan w:val="2"/>
            <w:vAlign w:val="center"/>
          </w:tcPr>
          <w:p w14:paraId="69EBE968">
            <w:pPr>
              <w:adjustRightInd w:val="0"/>
              <w:snapToGrid w:val="0"/>
              <w:spacing w:line="480" w:lineRule="atLeast"/>
              <w:jc w:val="center"/>
              <w:rPr>
                <w:rFonts w:eastAsiaTheme="majorEastAsia"/>
                <w:szCs w:val="21"/>
              </w:rPr>
            </w:pPr>
            <w:r>
              <w:rPr>
                <w:rFonts w:eastAsiaTheme="majorEastAsia"/>
                <w:szCs w:val="21"/>
              </w:rPr>
              <w:t>项目</w:t>
            </w:r>
          </w:p>
        </w:tc>
        <w:tc>
          <w:tcPr>
            <w:tcW w:w="1256" w:type="pct"/>
            <w:vAlign w:val="center"/>
          </w:tcPr>
          <w:p w14:paraId="1A662110">
            <w:pPr>
              <w:adjustRightInd w:val="0"/>
              <w:snapToGrid w:val="0"/>
              <w:spacing w:line="480" w:lineRule="atLeast"/>
              <w:jc w:val="center"/>
              <w:rPr>
                <w:rFonts w:eastAsiaTheme="majorEastAsia"/>
                <w:szCs w:val="21"/>
              </w:rPr>
            </w:pPr>
            <w:r>
              <w:rPr>
                <w:rFonts w:eastAsiaTheme="majorEastAsia"/>
                <w:szCs w:val="21"/>
              </w:rPr>
              <w:t>数值</w:t>
            </w:r>
          </w:p>
        </w:tc>
        <w:tc>
          <w:tcPr>
            <w:tcW w:w="1786" w:type="pct"/>
            <w:vAlign w:val="center"/>
          </w:tcPr>
          <w:p w14:paraId="5B0F13F7">
            <w:pPr>
              <w:adjustRightInd w:val="0"/>
              <w:snapToGrid w:val="0"/>
              <w:spacing w:line="480" w:lineRule="atLeast"/>
              <w:jc w:val="center"/>
              <w:rPr>
                <w:rFonts w:eastAsiaTheme="majorEastAsia"/>
                <w:szCs w:val="21"/>
              </w:rPr>
            </w:pPr>
            <w:r>
              <w:rPr>
                <w:rFonts w:eastAsiaTheme="majorEastAsia"/>
                <w:szCs w:val="21"/>
              </w:rPr>
              <w:t>备注</w:t>
            </w:r>
          </w:p>
        </w:tc>
      </w:tr>
      <w:tr w14:paraId="4728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58" w:type="pct"/>
            <w:gridSpan w:val="2"/>
            <w:vAlign w:val="center"/>
          </w:tcPr>
          <w:p w14:paraId="30D0DC5E">
            <w:pPr>
              <w:adjustRightInd w:val="0"/>
              <w:snapToGrid w:val="0"/>
              <w:spacing w:line="480" w:lineRule="atLeast"/>
              <w:jc w:val="center"/>
              <w:rPr>
                <w:rFonts w:eastAsiaTheme="majorEastAsia"/>
                <w:szCs w:val="21"/>
              </w:rPr>
            </w:pPr>
            <w:r>
              <w:rPr>
                <w:rFonts w:eastAsiaTheme="majorEastAsia"/>
                <w:szCs w:val="21"/>
              </w:rPr>
              <w:t>极端最高气温（北岸）</w:t>
            </w:r>
          </w:p>
        </w:tc>
        <w:tc>
          <w:tcPr>
            <w:tcW w:w="1256" w:type="pct"/>
            <w:vAlign w:val="center"/>
          </w:tcPr>
          <w:p w14:paraId="57A2C4E9">
            <w:pPr>
              <w:adjustRightInd w:val="0"/>
              <w:snapToGrid w:val="0"/>
              <w:spacing w:line="480" w:lineRule="atLeast"/>
              <w:jc w:val="center"/>
              <w:rPr>
                <w:rFonts w:eastAsiaTheme="majorEastAsia"/>
                <w:szCs w:val="21"/>
              </w:rPr>
            </w:pPr>
            <w:r>
              <w:rPr>
                <w:rFonts w:eastAsiaTheme="majorEastAsia"/>
                <w:szCs w:val="21"/>
              </w:rPr>
              <w:t xml:space="preserve">38.7 </w:t>
            </w:r>
            <w:r>
              <w:rPr>
                <w:szCs w:val="21"/>
              </w:rPr>
              <w:t>℃</w:t>
            </w:r>
          </w:p>
        </w:tc>
        <w:tc>
          <w:tcPr>
            <w:tcW w:w="1786" w:type="pct"/>
            <w:vAlign w:val="center"/>
          </w:tcPr>
          <w:p w14:paraId="1A68F26B">
            <w:pPr>
              <w:adjustRightInd w:val="0"/>
              <w:snapToGrid w:val="0"/>
              <w:spacing w:line="480" w:lineRule="atLeast"/>
              <w:jc w:val="center"/>
              <w:rPr>
                <w:rFonts w:eastAsiaTheme="majorEastAsia"/>
                <w:szCs w:val="21"/>
              </w:rPr>
            </w:pPr>
            <w:r>
              <w:rPr>
                <w:rFonts w:eastAsiaTheme="majorEastAsia"/>
                <w:szCs w:val="21"/>
              </w:rPr>
              <w:t>七月</w:t>
            </w:r>
          </w:p>
        </w:tc>
      </w:tr>
      <w:tr w14:paraId="5EF4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58" w:type="pct"/>
            <w:gridSpan w:val="2"/>
            <w:vAlign w:val="center"/>
          </w:tcPr>
          <w:p w14:paraId="7DEFB116">
            <w:pPr>
              <w:adjustRightInd w:val="0"/>
              <w:snapToGrid w:val="0"/>
              <w:spacing w:line="480" w:lineRule="atLeast"/>
              <w:jc w:val="center"/>
              <w:rPr>
                <w:rFonts w:eastAsiaTheme="majorEastAsia"/>
                <w:szCs w:val="21"/>
              </w:rPr>
            </w:pPr>
            <w:r>
              <w:rPr>
                <w:rFonts w:eastAsiaTheme="majorEastAsia"/>
                <w:szCs w:val="21"/>
              </w:rPr>
              <w:t>极端最高气温（南岸）</w:t>
            </w:r>
          </w:p>
        </w:tc>
        <w:tc>
          <w:tcPr>
            <w:tcW w:w="1256" w:type="pct"/>
            <w:vAlign w:val="center"/>
          </w:tcPr>
          <w:p w14:paraId="6F699598">
            <w:pPr>
              <w:adjustRightInd w:val="0"/>
              <w:snapToGrid w:val="0"/>
              <w:spacing w:line="480" w:lineRule="atLeast"/>
              <w:jc w:val="center"/>
              <w:rPr>
                <w:rFonts w:eastAsiaTheme="majorEastAsia"/>
                <w:szCs w:val="21"/>
              </w:rPr>
            </w:pPr>
            <w:r>
              <w:rPr>
                <w:rFonts w:eastAsiaTheme="majorEastAsia"/>
                <w:szCs w:val="21"/>
              </w:rPr>
              <w:t xml:space="preserve">38.8 </w:t>
            </w:r>
            <w:r>
              <w:rPr>
                <w:szCs w:val="21"/>
              </w:rPr>
              <w:t>℃</w:t>
            </w:r>
          </w:p>
        </w:tc>
        <w:tc>
          <w:tcPr>
            <w:tcW w:w="1786" w:type="pct"/>
            <w:vAlign w:val="center"/>
          </w:tcPr>
          <w:p w14:paraId="409CEB1E">
            <w:pPr>
              <w:adjustRightInd w:val="0"/>
              <w:snapToGrid w:val="0"/>
              <w:spacing w:line="480" w:lineRule="atLeast"/>
              <w:jc w:val="center"/>
              <w:rPr>
                <w:rFonts w:eastAsiaTheme="majorEastAsia"/>
                <w:szCs w:val="21"/>
              </w:rPr>
            </w:pPr>
            <w:r>
              <w:rPr>
                <w:rFonts w:eastAsiaTheme="majorEastAsia"/>
                <w:szCs w:val="21"/>
              </w:rPr>
              <w:t>七月</w:t>
            </w:r>
          </w:p>
        </w:tc>
      </w:tr>
      <w:tr w14:paraId="03BB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58" w:type="pct"/>
            <w:gridSpan w:val="2"/>
            <w:vAlign w:val="center"/>
          </w:tcPr>
          <w:p w14:paraId="6F1C899A">
            <w:pPr>
              <w:adjustRightInd w:val="0"/>
              <w:snapToGrid w:val="0"/>
              <w:spacing w:line="480" w:lineRule="atLeast"/>
              <w:jc w:val="center"/>
              <w:rPr>
                <w:rFonts w:eastAsiaTheme="majorEastAsia"/>
                <w:szCs w:val="21"/>
              </w:rPr>
            </w:pPr>
            <w:r>
              <w:rPr>
                <w:rFonts w:eastAsiaTheme="majorEastAsia"/>
                <w:szCs w:val="21"/>
              </w:rPr>
              <w:t>最热月平均气温（南岸）</w:t>
            </w:r>
          </w:p>
        </w:tc>
        <w:tc>
          <w:tcPr>
            <w:tcW w:w="1256" w:type="pct"/>
            <w:vAlign w:val="center"/>
          </w:tcPr>
          <w:p w14:paraId="34D7D6E7">
            <w:pPr>
              <w:adjustRightInd w:val="0"/>
              <w:snapToGrid w:val="0"/>
              <w:spacing w:line="480" w:lineRule="atLeast"/>
              <w:jc w:val="center"/>
              <w:rPr>
                <w:rFonts w:eastAsiaTheme="majorEastAsia"/>
                <w:szCs w:val="21"/>
              </w:rPr>
            </w:pPr>
            <w:r>
              <w:rPr>
                <w:rFonts w:eastAsiaTheme="majorEastAsia"/>
                <w:szCs w:val="21"/>
              </w:rPr>
              <w:t>33.1℃</w:t>
            </w:r>
          </w:p>
        </w:tc>
        <w:tc>
          <w:tcPr>
            <w:tcW w:w="1786" w:type="pct"/>
            <w:vAlign w:val="center"/>
          </w:tcPr>
          <w:p w14:paraId="575C1C6E">
            <w:pPr>
              <w:adjustRightInd w:val="0"/>
              <w:snapToGrid w:val="0"/>
              <w:spacing w:line="480" w:lineRule="atLeast"/>
              <w:jc w:val="center"/>
              <w:rPr>
                <w:rFonts w:eastAsiaTheme="majorEastAsia"/>
                <w:szCs w:val="21"/>
              </w:rPr>
            </w:pPr>
            <w:r>
              <w:rPr>
                <w:rFonts w:eastAsiaTheme="majorEastAsia"/>
                <w:szCs w:val="21"/>
              </w:rPr>
              <w:t>七月</w:t>
            </w:r>
          </w:p>
        </w:tc>
      </w:tr>
      <w:tr w14:paraId="2A0B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58" w:type="pct"/>
            <w:gridSpan w:val="2"/>
            <w:vAlign w:val="center"/>
          </w:tcPr>
          <w:p w14:paraId="4DB12D26">
            <w:pPr>
              <w:adjustRightInd w:val="0"/>
              <w:snapToGrid w:val="0"/>
              <w:spacing w:line="480" w:lineRule="atLeast"/>
              <w:jc w:val="center"/>
              <w:rPr>
                <w:rFonts w:eastAsiaTheme="majorEastAsia"/>
                <w:szCs w:val="21"/>
              </w:rPr>
            </w:pPr>
            <w:r>
              <w:rPr>
                <w:rFonts w:eastAsiaTheme="majorEastAsia"/>
                <w:szCs w:val="21"/>
              </w:rPr>
              <w:t>多年年平均表层水温</w:t>
            </w:r>
          </w:p>
        </w:tc>
        <w:tc>
          <w:tcPr>
            <w:tcW w:w="1256" w:type="pct"/>
            <w:vAlign w:val="center"/>
          </w:tcPr>
          <w:p w14:paraId="211DF3DB">
            <w:pPr>
              <w:adjustRightInd w:val="0"/>
              <w:snapToGrid w:val="0"/>
              <w:spacing w:line="480" w:lineRule="atLeast"/>
              <w:jc w:val="center"/>
              <w:rPr>
                <w:rFonts w:eastAsiaTheme="majorEastAsia"/>
                <w:szCs w:val="21"/>
              </w:rPr>
            </w:pPr>
            <w:r>
              <w:rPr>
                <w:szCs w:val="21"/>
              </w:rPr>
              <w:t>25.9℃</w:t>
            </w:r>
          </w:p>
        </w:tc>
        <w:tc>
          <w:tcPr>
            <w:tcW w:w="1786" w:type="pct"/>
            <w:vAlign w:val="center"/>
          </w:tcPr>
          <w:p w14:paraId="1520E55D">
            <w:pPr>
              <w:adjustRightInd w:val="0"/>
              <w:snapToGrid w:val="0"/>
              <w:spacing w:line="480" w:lineRule="atLeast"/>
              <w:jc w:val="center"/>
              <w:rPr>
                <w:rFonts w:eastAsiaTheme="majorEastAsia"/>
                <w:szCs w:val="21"/>
              </w:rPr>
            </w:pPr>
          </w:p>
        </w:tc>
      </w:tr>
      <w:tr w14:paraId="10B1C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58" w:type="pct"/>
            <w:gridSpan w:val="2"/>
            <w:vAlign w:val="center"/>
          </w:tcPr>
          <w:p w14:paraId="23E633FD">
            <w:pPr>
              <w:adjustRightInd w:val="0"/>
              <w:snapToGrid w:val="0"/>
              <w:spacing w:line="480" w:lineRule="atLeast"/>
              <w:jc w:val="center"/>
              <w:rPr>
                <w:rFonts w:eastAsiaTheme="majorEastAsia"/>
                <w:szCs w:val="21"/>
              </w:rPr>
            </w:pPr>
            <w:r>
              <w:rPr>
                <w:rFonts w:eastAsiaTheme="majorEastAsia"/>
                <w:szCs w:val="21"/>
              </w:rPr>
              <w:t>历年最高表层水温</w:t>
            </w:r>
          </w:p>
        </w:tc>
        <w:tc>
          <w:tcPr>
            <w:tcW w:w="1256" w:type="pct"/>
            <w:vAlign w:val="center"/>
          </w:tcPr>
          <w:p w14:paraId="5165244F">
            <w:pPr>
              <w:adjustRightInd w:val="0"/>
              <w:snapToGrid w:val="0"/>
              <w:spacing w:line="480" w:lineRule="atLeast"/>
              <w:jc w:val="center"/>
              <w:rPr>
                <w:rFonts w:eastAsiaTheme="majorEastAsia"/>
                <w:szCs w:val="21"/>
              </w:rPr>
            </w:pPr>
            <w:r>
              <w:rPr>
                <w:szCs w:val="21"/>
              </w:rPr>
              <w:t>33.7℃</w:t>
            </w:r>
          </w:p>
        </w:tc>
        <w:tc>
          <w:tcPr>
            <w:tcW w:w="1786" w:type="pct"/>
            <w:vAlign w:val="center"/>
          </w:tcPr>
          <w:p w14:paraId="302EDBC4">
            <w:pPr>
              <w:adjustRightInd w:val="0"/>
              <w:snapToGrid w:val="0"/>
              <w:spacing w:line="480" w:lineRule="atLeast"/>
              <w:jc w:val="center"/>
              <w:rPr>
                <w:rFonts w:eastAsiaTheme="majorEastAsia"/>
                <w:szCs w:val="21"/>
              </w:rPr>
            </w:pPr>
          </w:p>
        </w:tc>
      </w:tr>
      <w:tr w14:paraId="1C9E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58" w:type="pct"/>
            <w:gridSpan w:val="2"/>
            <w:vAlign w:val="center"/>
          </w:tcPr>
          <w:p w14:paraId="0FE0F956">
            <w:pPr>
              <w:adjustRightInd w:val="0"/>
              <w:snapToGrid w:val="0"/>
              <w:spacing w:line="480" w:lineRule="atLeast"/>
              <w:jc w:val="center"/>
              <w:rPr>
                <w:rFonts w:eastAsiaTheme="majorEastAsia"/>
                <w:szCs w:val="21"/>
              </w:rPr>
            </w:pPr>
            <w:r>
              <w:rPr>
                <w:rFonts w:eastAsiaTheme="majorEastAsia"/>
                <w:szCs w:val="21"/>
              </w:rPr>
              <w:t>海床温度</w:t>
            </w:r>
          </w:p>
        </w:tc>
        <w:tc>
          <w:tcPr>
            <w:tcW w:w="1256" w:type="pct"/>
            <w:vAlign w:val="center"/>
          </w:tcPr>
          <w:p w14:paraId="44CA0127">
            <w:pPr>
              <w:adjustRightInd w:val="0"/>
              <w:snapToGrid w:val="0"/>
              <w:spacing w:line="480" w:lineRule="atLeast"/>
              <w:jc w:val="center"/>
              <w:rPr>
                <w:rFonts w:eastAsiaTheme="majorEastAsia"/>
                <w:szCs w:val="21"/>
              </w:rPr>
            </w:pPr>
            <w:r>
              <w:rPr>
                <w:szCs w:val="21"/>
              </w:rPr>
              <w:t>25℃</w:t>
            </w:r>
          </w:p>
        </w:tc>
        <w:tc>
          <w:tcPr>
            <w:tcW w:w="1786" w:type="pct"/>
            <w:vAlign w:val="center"/>
          </w:tcPr>
          <w:p w14:paraId="149B15C1">
            <w:pPr>
              <w:adjustRightInd w:val="0"/>
              <w:snapToGrid w:val="0"/>
              <w:spacing w:line="480" w:lineRule="atLeast"/>
              <w:jc w:val="center"/>
              <w:rPr>
                <w:rFonts w:eastAsiaTheme="majorEastAsia"/>
                <w:szCs w:val="21"/>
              </w:rPr>
            </w:pPr>
          </w:p>
        </w:tc>
      </w:tr>
      <w:tr w14:paraId="238D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restart"/>
            <w:vAlign w:val="center"/>
          </w:tcPr>
          <w:p w14:paraId="7EE7099A">
            <w:pPr>
              <w:adjustRightInd w:val="0"/>
              <w:snapToGrid w:val="0"/>
              <w:spacing w:line="480" w:lineRule="atLeast"/>
              <w:jc w:val="center"/>
              <w:rPr>
                <w:rFonts w:eastAsiaTheme="majorEastAsia"/>
                <w:kern w:val="0"/>
                <w:szCs w:val="21"/>
              </w:rPr>
            </w:pPr>
            <w:r>
              <w:rPr>
                <w:rFonts w:eastAsiaTheme="majorEastAsia"/>
                <w:kern w:val="0"/>
                <w:szCs w:val="21"/>
              </w:rPr>
              <w:t>最热月平均地温</w:t>
            </w:r>
          </w:p>
          <w:p w14:paraId="006848E4">
            <w:pPr>
              <w:adjustRightInd w:val="0"/>
              <w:snapToGrid w:val="0"/>
              <w:spacing w:line="480" w:lineRule="atLeast"/>
              <w:jc w:val="center"/>
              <w:rPr>
                <w:rFonts w:eastAsiaTheme="majorEastAsia"/>
                <w:szCs w:val="21"/>
              </w:rPr>
            </w:pPr>
            <w:r>
              <w:rPr>
                <w:rFonts w:eastAsiaTheme="majorEastAsia"/>
                <w:kern w:val="0"/>
                <w:szCs w:val="21"/>
              </w:rPr>
              <w:t>（南岸7月）</w:t>
            </w:r>
          </w:p>
        </w:tc>
        <w:tc>
          <w:tcPr>
            <w:tcW w:w="859" w:type="pct"/>
            <w:vAlign w:val="center"/>
          </w:tcPr>
          <w:p w14:paraId="3BC114B1">
            <w:pPr>
              <w:adjustRightInd w:val="0"/>
              <w:snapToGrid w:val="0"/>
              <w:spacing w:line="480" w:lineRule="atLeast"/>
              <w:jc w:val="center"/>
              <w:rPr>
                <w:rFonts w:eastAsiaTheme="majorEastAsia"/>
                <w:szCs w:val="21"/>
              </w:rPr>
            </w:pPr>
            <w:r>
              <w:rPr>
                <w:rFonts w:eastAsiaTheme="majorEastAsia"/>
                <w:szCs w:val="21"/>
              </w:rPr>
              <w:t>0m</w:t>
            </w:r>
          </w:p>
        </w:tc>
        <w:tc>
          <w:tcPr>
            <w:tcW w:w="1256" w:type="pct"/>
            <w:vAlign w:val="center"/>
          </w:tcPr>
          <w:p w14:paraId="7943972D">
            <w:pPr>
              <w:adjustRightInd w:val="0"/>
              <w:snapToGrid w:val="0"/>
              <w:spacing w:line="480" w:lineRule="atLeast"/>
              <w:jc w:val="center"/>
              <w:rPr>
                <w:rFonts w:eastAsiaTheme="majorEastAsia"/>
                <w:kern w:val="0"/>
                <w:szCs w:val="21"/>
              </w:rPr>
            </w:pPr>
            <w:r>
              <w:rPr>
                <w:rFonts w:eastAsiaTheme="majorEastAsia"/>
                <w:kern w:val="0"/>
                <w:szCs w:val="21"/>
              </w:rPr>
              <w:t>33.1℃</w:t>
            </w:r>
          </w:p>
        </w:tc>
        <w:tc>
          <w:tcPr>
            <w:tcW w:w="1786" w:type="pct"/>
            <w:vAlign w:val="center"/>
          </w:tcPr>
          <w:p w14:paraId="310B8F83">
            <w:pPr>
              <w:adjustRightInd w:val="0"/>
              <w:snapToGrid w:val="0"/>
              <w:spacing w:line="480" w:lineRule="atLeast"/>
              <w:jc w:val="center"/>
              <w:rPr>
                <w:rFonts w:eastAsiaTheme="majorEastAsia"/>
                <w:szCs w:val="21"/>
              </w:rPr>
            </w:pPr>
          </w:p>
        </w:tc>
      </w:tr>
      <w:tr w14:paraId="623A1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continue"/>
            <w:vAlign w:val="center"/>
          </w:tcPr>
          <w:p w14:paraId="00A7A81B">
            <w:pPr>
              <w:adjustRightInd w:val="0"/>
              <w:snapToGrid w:val="0"/>
              <w:spacing w:line="480" w:lineRule="atLeast"/>
              <w:jc w:val="left"/>
              <w:rPr>
                <w:rFonts w:eastAsiaTheme="majorEastAsia"/>
                <w:kern w:val="0"/>
                <w:szCs w:val="21"/>
              </w:rPr>
            </w:pPr>
          </w:p>
        </w:tc>
        <w:tc>
          <w:tcPr>
            <w:tcW w:w="859" w:type="pct"/>
            <w:vAlign w:val="center"/>
          </w:tcPr>
          <w:p w14:paraId="3AE8D213">
            <w:pPr>
              <w:adjustRightInd w:val="0"/>
              <w:snapToGrid w:val="0"/>
              <w:spacing w:line="480" w:lineRule="atLeast"/>
              <w:jc w:val="center"/>
              <w:rPr>
                <w:rFonts w:eastAsiaTheme="majorEastAsia"/>
                <w:kern w:val="0"/>
                <w:szCs w:val="21"/>
              </w:rPr>
            </w:pPr>
            <w:r>
              <w:rPr>
                <w:rFonts w:eastAsiaTheme="majorEastAsia"/>
                <w:kern w:val="0"/>
                <w:szCs w:val="21"/>
              </w:rPr>
              <w:t>0.8m</w:t>
            </w:r>
          </w:p>
        </w:tc>
        <w:tc>
          <w:tcPr>
            <w:tcW w:w="1256" w:type="pct"/>
            <w:vAlign w:val="center"/>
          </w:tcPr>
          <w:p w14:paraId="10CFFA93">
            <w:pPr>
              <w:adjustRightInd w:val="0"/>
              <w:snapToGrid w:val="0"/>
              <w:spacing w:line="480" w:lineRule="atLeast"/>
              <w:jc w:val="center"/>
              <w:rPr>
                <w:rFonts w:eastAsiaTheme="majorEastAsia"/>
                <w:kern w:val="0"/>
                <w:szCs w:val="21"/>
              </w:rPr>
            </w:pPr>
            <w:r>
              <w:rPr>
                <w:rFonts w:eastAsiaTheme="majorEastAsia"/>
                <w:kern w:val="0"/>
                <w:szCs w:val="21"/>
              </w:rPr>
              <w:t>30.2</w:t>
            </w:r>
            <w:r>
              <w:rPr>
                <w:szCs w:val="21"/>
              </w:rPr>
              <w:t>℃</w:t>
            </w:r>
          </w:p>
        </w:tc>
        <w:tc>
          <w:tcPr>
            <w:tcW w:w="1786" w:type="pct"/>
            <w:vAlign w:val="center"/>
          </w:tcPr>
          <w:p w14:paraId="15CC85EA">
            <w:pPr>
              <w:adjustRightInd w:val="0"/>
              <w:snapToGrid w:val="0"/>
              <w:spacing w:line="480" w:lineRule="atLeast"/>
              <w:jc w:val="center"/>
              <w:rPr>
                <w:rFonts w:eastAsiaTheme="majorEastAsia"/>
                <w:szCs w:val="21"/>
              </w:rPr>
            </w:pPr>
          </w:p>
        </w:tc>
      </w:tr>
      <w:tr w14:paraId="459EC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continue"/>
            <w:vAlign w:val="center"/>
          </w:tcPr>
          <w:p w14:paraId="68BBCEB3">
            <w:pPr>
              <w:adjustRightInd w:val="0"/>
              <w:snapToGrid w:val="0"/>
              <w:spacing w:line="480" w:lineRule="atLeast"/>
              <w:jc w:val="left"/>
              <w:rPr>
                <w:rFonts w:eastAsiaTheme="majorEastAsia"/>
                <w:kern w:val="0"/>
                <w:szCs w:val="21"/>
              </w:rPr>
            </w:pPr>
          </w:p>
        </w:tc>
        <w:tc>
          <w:tcPr>
            <w:tcW w:w="859" w:type="pct"/>
            <w:vAlign w:val="center"/>
          </w:tcPr>
          <w:p w14:paraId="07F5A124">
            <w:pPr>
              <w:adjustRightInd w:val="0"/>
              <w:snapToGrid w:val="0"/>
              <w:spacing w:line="480" w:lineRule="atLeast"/>
              <w:jc w:val="center"/>
              <w:rPr>
                <w:rFonts w:eastAsiaTheme="majorEastAsia"/>
                <w:kern w:val="0"/>
                <w:szCs w:val="21"/>
              </w:rPr>
            </w:pPr>
            <w:r>
              <w:rPr>
                <w:rFonts w:eastAsiaTheme="majorEastAsia"/>
                <w:kern w:val="0"/>
                <w:szCs w:val="21"/>
              </w:rPr>
              <w:t>1.6m</w:t>
            </w:r>
          </w:p>
        </w:tc>
        <w:tc>
          <w:tcPr>
            <w:tcW w:w="1256" w:type="pct"/>
            <w:vAlign w:val="center"/>
          </w:tcPr>
          <w:p w14:paraId="75339C12">
            <w:pPr>
              <w:adjustRightInd w:val="0"/>
              <w:snapToGrid w:val="0"/>
              <w:spacing w:line="480" w:lineRule="atLeast"/>
              <w:jc w:val="center"/>
              <w:rPr>
                <w:rFonts w:eastAsiaTheme="majorEastAsia"/>
                <w:kern w:val="0"/>
                <w:szCs w:val="21"/>
              </w:rPr>
            </w:pPr>
            <w:r>
              <w:rPr>
                <w:rFonts w:eastAsiaTheme="majorEastAsia"/>
                <w:kern w:val="0"/>
                <w:szCs w:val="21"/>
              </w:rPr>
              <w:t>29.1</w:t>
            </w:r>
            <w:r>
              <w:rPr>
                <w:szCs w:val="21"/>
              </w:rPr>
              <w:t>℃</w:t>
            </w:r>
          </w:p>
        </w:tc>
        <w:tc>
          <w:tcPr>
            <w:tcW w:w="1786" w:type="pct"/>
            <w:vAlign w:val="center"/>
          </w:tcPr>
          <w:p w14:paraId="57F74F01">
            <w:pPr>
              <w:adjustRightInd w:val="0"/>
              <w:snapToGrid w:val="0"/>
              <w:spacing w:line="480" w:lineRule="atLeast"/>
              <w:jc w:val="center"/>
              <w:rPr>
                <w:rFonts w:eastAsiaTheme="majorEastAsia"/>
                <w:szCs w:val="21"/>
              </w:rPr>
            </w:pPr>
          </w:p>
        </w:tc>
      </w:tr>
      <w:tr w14:paraId="2052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continue"/>
            <w:vAlign w:val="center"/>
          </w:tcPr>
          <w:p w14:paraId="780238E2">
            <w:pPr>
              <w:adjustRightInd w:val="0"/>
              <w:snapToGrid w:val="0"/>
              <w:spacing w:line="480" w:lineRule="atLeast"/>
              <w:jc w:val="left"/>
              <w:rPr>
                <w:rFonts w:eastAsiaTheme="majorEastAsia"/>
                <w:kern w:val="0"/>
                <w:szCs w:val="21"/>
              </w:rPr>
            </w:pPr>
          </w:p>
        </w:tc>
        <w:tc>
          <w:tcPr>
            <w:tcW w:w="859" w:type="pct"/>
            <w:vAlign w:val="center"/>
          </w:tcPr>
          <w:p w14:paraId="084D24A0">
            <w:pPr>
              <w:adjustRightInd w:val="0"/>
              <w:snapToGrid w:val="0"/>
              <w:spacing w:line="480" w:lineRule="atLeast"/>
              <w:jc w:val="center"/>
              <w:rPr>
                <w:rFonts w:eastAsiaTheme="majorEastAsia"/>
                <w:kern w:val="0"/>
                <w:szCs w:val="21"/>
              </w:rPr>
            </w:pPr>
            <w:r>
              <w:rPr>
                <w:rFonts w:eastAsiaTheme="majorEastAsia"/>
                <w:kern w:val="0"/>
                <w:szCs w:val="21"/>
              </w:rPr>
              <w:t>3.2m</w:t>
            </w:r>
          </w:p>
        </w:tc>
        <w:tc>
          <w:tcPr>
            <w:tcW w:w="1256" w:type="pct"/>
            <w:vAlign w:val="center"/>
          </w:tcPr>
          <w:p w14:paraId="1282BE9B">
            <w:pPr>
              <w:adjustRightInd w:val="0"/>
              <w:snapToGrid w:val="0"/>
              <w:spacing w:line="480" w:lineRule="atLeast"/>
              <w:jc w:val="center"/>
              <w:rPr>
                <w:rFonts w:eastAsiaTheme="majorEastAsia"/>
                <w:kern w:val="0"/>
                <w:szCs w:val="21"/>
              </w:rPr>
            </w:pPr>
            <w:r>
              <w:rPr>
                <w:rFonts w:eastAsiaTheme="majorEastAsia"/>
                <w:kern w:val="0"/>
                <w:szCs w:val="21"/>
              </w:rPr>
              <w:t>27.5</w:t>
            </w:r>
            <w:r>
              <w:rPr>
                <w:szCs w:val="21"/>
              </w:rPr>
              <w:t>℃</w:t>
            </w:r>
          </w:p>
        </w:tc>
        <w:tc>
          <w:tcPr>
            <w:tcW w:w="1786" w:type="pct"/>
            <w:vAlign w:val="center"/>
          </w:tcPr>
          <w:p w14:paraId="3CD707CA">
            <w:pPr>
              <w:adjustRightInd w:val="0"/>
              <w:snapToGrid w:val="0"/>
              <w:spacing w:line="480" w:lineRule="atLeast"/>
              <w:jc w:val="center"/>
              <w:rPr>
                <w:rFonts w:eastAsiaTheme="majorEastAsia"/>
                <w:szCs w:val="21"/>
              </w:rPr>
            </w:pPr>
          </w:p>
        </w:tc>
      </w:tr>
      <w:tr w14:paraId="0BA6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restart"/>
            <w:vAlign w:val="center"/>
          </w:tcPr>
          <w:p w14:paraId="1FFCCB80">
            <w:pPr>
              <w:adjustRightInd w:val="0"/>
              <w:snapToGrid w:val="0"/>
              <w:spacing w:line="480" w:lineRule="atLeast"/>
              <w:jc w:val="center"/>
              <w:rPr>
                <w:rFonts w:eastAsiaTheme="majorEastAsia"/>
                <w:kern w:val="0"/>
                <w:szCs w:val="21"/>
              </w:rPr>
            </w:pPr>
            <w:r>
              <w:rPr>
                <w:rFonts w:eastAsiaTheme="majorEastAsia"/>
                <w:kern w:val="0"/>
                <w:szCs w:val="21"/>
              </w:rPr>
              <w:t>最热月平均地温</w:t>
            </w:r>
          </w:p>
          <w:p w14:paraId="4017ACAA">
            <w:pPr>
              <w:adjustRightInd w:val="0"/>
              <w:snapToGrid w:val="0"/>
              <w:spacing w:line="480" w:lineRule="atLeast"/>
              <w:jc w:val="center"/>
              <w:rPr>
                <w:rFonts w:eastAsiaTheme="majorEastAsia"/>
                <w:kern w:val="0"/>
                <w:szCs w:val="21"/>
              </w:rPr>
            </w:pPr>
            <w:r>
              <w:rPr>
                <w:rFonts w:eastAsiaTheme="majorEastAsia"/>
                <w:kern w:val="0"/>
                <w:szCs w:val="21"/>
              </w:rPr>
              <w:t>（北岸7月）</w:t>
            </w:r>
          </w:p>
        </w:tc>
        <w:tc>
          <w:tcPr>
            <w:tcW w:w="859" w:type="pct"/>
            <w:vAlign w:val="center"/>
          </w:tcPr>
          <w:p w14:paraId="6747D451">
            <w:pPr>
              <w:adjustRightInd w:val="0"/>
              <w:snapToGrid w:val="0"/>
              <w:spacing w:line="480" w:lineRule="atLeast"/>
              <w:jc w:val="center"/>
              <w:rPr>
                <w:rFonts w:eastAsiaTheme="majorEastAsia"/>
                <w:kern w:val="0"/>
                <w:szCs w:val="21"/>
              </w:rPr>
            </w:pPr>
            <w:r>
              <w:rPr>
                <w:rFonts w:eastAsiaTheme="majorEastAsia"/>
                <w:szCs w:val="21"/>
              </w:rPr>
              <w:t>0m</w:t>
            </w:r>
          </w:p>
        </w:tc>
        <w:tc>
          <w:tcPr>
            <w:tcW w:w="1256" w:type="pct"/>
            <w:vAlign w:val="center"/>
          </w:tcPr>
          <w:p w14:paraId="49A90A1B">
            <w:pPr>
              <w:adjustRightInd w:val="0"/>
              <w:snapToGrid w:val="0"/>
              <w:spacing w:line="480" w:lineRule="atLeast"/>
              <w:jc w:val="center"/>
              <w:rPr>
                <w:rFonts w:eastAsiaTheme="majorEastAsia"/>
                <w:kern w:val="0"/>
                <w:szCs w:val="21"/>
              </w:rPr>
            </w:pPr>
            <w:r>
              <w:rPr>
                <w:rFonts w:eastAsiaTheme="majorEastAsia"/>
                <w:kern w:val="0"/>
                <w:szCs w:val="21"/>
              </w:rPr>
              <w:t>35.4</w:t>
            </w:r>
            <w:r>
              <w:rPr>
                <w:szCs w:val="21"/>
              </w:rPr>
              <w:t>℃</w:t>
            </w:r>
          </w:p>
        </w:tc>
        <w:tc>
          <w:tcPr>
            <w:tcW w:w="1786" w:type="pct"/>
            <w:vAlign w:val="center"/>
          </w:tcPr>
          <w:p w14:paraId="74F5901D">
            <w:pPr>
              <w:adjustRightInd w:val="0"/>
              <w:snapToGrid w:val="0"/>
              <w:spacing w:line="480" w:lineRule="atLeast"/>
              <w:jc w:val="center"/>
              <w:rPr>
                <w:rFonts w:eastAsiaTheme="majorEastAsia"/>
                <w:szCs w:val="21"/>
              </w:rPr>
            </w:pPr>
          </w:p>
        </w:tc>
      </w:tr>
      <w:tr w14:paraId="320E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continue"/>
            <w:vAlign w:val="center"/>
          </w:tcPr>
          <w:p w14:paraId="0FB059EF">
            <w:pPr>
              <w:adjustRightInd w:val="0"/>
              <w:snapToGrid w:val="0"/>
              <w:spacing w:line="480" w:lineRule="atLeast"/>
              <w:jc w:val="center"/>
              <w:rPr>
                <w:rFonts w:eastAsiaTheme="majorEastAsia"/>
                <w:kern w:val="0"/>
                <w:szCs w:val="21"/>
              </w:rPr>
            </w:pPr>
          </w:p>
        </w:tc>
        <w:tc>
          <w:tcPr>
            <w:tcW w:w="859" w:type="pct"/>
            <w:vAlign w:val="center"/>
          </w:tcPr>
          <w:p w14:paraId="7B76D89F">
            <w:pPr>
              <w:adjustRightInd w:val="0"/>
              <w:snapToGrid w:val="0"/>
              <w:spacing w:line="480" w:lineRule="atLeast"/>
              <w:jc w:val="center"/>
              <w:rPr>
                <w:rFonts w:eastAsiaTheme="majorEastAsia"/>
                <w:szCs w:val="21"/>
              </w:rPr>
            </w:pPr>
            <w:r>
              <w:rPr>
                <w:rFonts w:eastAsiaTheme="majorEastAsia"/>
                <w:kern w:val="0"/>
                <w:szCs w:val="21"/>
              </w:rPr>
              <w:t>0.8m</w:t>
            </w:r>
          </w:p>
        </w:tc>
        <w:tc>
          <w:tcPr>
            <w:tcW w:w="1256" w:type="pct"/>
            <w:vAlign w:val="center"/>
          </w:tcPr>
          <w:p w14:paraId="196151D0">
            <w:pPr>
              <w:adjustRightInd w:val="0"/>
              <w:snapToGrid w:val="0"/>
              <w:spacing w:line="480" w:lineRule="atLeast"/>
              <w:jc w:val="center"/>
              <w:rPr>
                <w:rFonts w:eastAsiaTheme="majorEastAsia"/>
                <w:kern w:val="0"/>
                <w:szCs w:val="21"/>
              </w:rPr>
            </w:pPr>
            <w:r>
              <w:rPr>
                <w:rFonts w:eastAsiaTheme="majorEastAsia"/>
                <w:kern w:val="0"/>
                <w:szCs w:val="21"/>
              </w:rPr>
              <w:t>30.7</w:t>
            </w:r>
            <w:r>
              <w:rPr>
                <w:szCs w:val="21"/>
              </w:rPr>
              <w:t>℃</w:t>
            </w:r>
          </w:p>
        </w:tc>
        <w:tc>
          <w:tcPr>
            <w:tcW w:w="1786" w:type="pct"/>
            <w:vAlign w:val="center"/>
          </w:tcPr>
          <w:p w14:paraId="458C4A64">
            <w:pPr>
              <w:adjustRightInd w:val="0"/>
              <w:snapToGrid w:val="0"/>
              <w:spacing w:line="480" w:lineRule="atLeast"/>
              <w:jc w:val="center"/>
              <w:rPr>
                <w:rFonts w:eastAsiaTheme="majorEastAsia"/>
                <w:szCs w:val="21"/>
              </w:rPr>
            </w:pPr>
          </w:p>
        </w:tc>
      </w:tr>
      <w:tr w14:paraId="3644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continue"/>
            <w:vAlign w:val="center"/>
          </w:tcPr>
          <w:p w14:paraId="78888921">
            <w:pPr>
              <w:adjustRightInd w:val="0"/>
              <w:snapToGrid w:val="0"/>
              <w:spacing w:line="480" w:lineRule="atLeast"/>
              <w:jc w:val="center"/>
              <w:rPr>
                <w:rFonts w:eastAsiaTheme="majorEastAsia"/>
                <w:kern w:val="0"/>
                <w:szCs w:val="21"/>
              </w:rPr>
            </w:pPr>
          </w:p>
        </w:tc>
        <w:tc>
          <w:tcPr>
            <w:tcW w:w="859" w:type="pct"/>
            <w:vAlign w:val="center"/>
          </w:tcPr>
          <w:p w14:paraId="2901A356">
            <w:pPr>
              <w:adjustRightInd w:val="0"/>
              <w:snapToGrid w:val="0"/>
              <w:spacing w:line="480" w:lineRule="atLeast"/>
              <w:jc w:val="center"/>
              <w:rPr>
                <w:rFonts w:eastAsiaTheme="majorEastAsia"/>
                <w:kern w:val="0"/>
                <w:szCs w:val="21"/>
              </w:rPr>
            </w:pPr>
            <w:r>
              <w:rPr>
                <w:rFonts w:eastAsiaTheme="majorEastAsia"/>
                <w:kern w:val="0"/>
                <w:szCs w:val="21"/>
              </w:rPr>
              <w:t>1.6m</w:t>
            </w:r>
          </w:p>
        </w:tc>
        <w:tc>
          <w:tcPr>
            <w:tcW w:w="1256" w:type="pct"/>
            <w:vAlign w:val="center"/>
          </w:tcPr>
          <w:p w14:paraId="3EE3E6E5">
            <w:pPr>
              <w:adjustRightInd w:val="0"/>
              <w:snapToGrid w:val="0"/>
              <w:spacing w:line="480" w:lineRule="atLeast"/>
              <w:jc w:val="center"/>
              <w:rPr>
                <w:rFonts w:eastAsiaTheme="majorEastAsia"/>
                <w:kern w:val="0"/>
                <w:szCs w:val="21"/>
              </w:rPr>
            </w:pPr>
            <w:r>
              <w:rPr>
                <w:rFonts w:eastAsiaTheme="majorEastAsia"/>
                <w:kern w:val="0"/>
                <w:szCs w:val="21"/>
              </w:rPr>
              <w:t>29.0</w:t>
            </w:r>
            <w:r>
              <w:rPr>
                <w:szCs w:val="21"/>
              </w:rPr>
              <w:t>℃</w:t>
            </w:r>
          </w:p>
        </w:tc>
        <w:tc>
          <w:tcPr>
            <w:tcW w:w="1786" w:type="pct"/>
            <w:vAlign w:val="center"/>
          </w:tcPr>
          <w:p w14:paraId="481DB210">
            <w:pPr>
              <w:adjustRightInd w:val="0"/>
              <w:snapToGrid w:val="0"/>
              <w:spacing w:line="480" w:lineRule="atLeast"/>
              <w:jc w:val="center"/>
              <w:rPr>
                <w:rFonts w:eastAsiaTheme="majorEastAsia"/>
                <w:szCs w:val="21"/>
              </w:rPr>
            </w:pPr>
          </w:p>
        </w:tc>
      </w:tr>
      <w:tr w14:paraId="27AE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099" w:type="pct"/>
            <w:vMerge w:val="continue"/>
            <w:vAlign w:val="center"/>
          </w:tcPr>
          <w:p w14:paraId="0C294454">
            <w:pPr>
              <w:adjustRightInd w:val="0"/>
              <w:snapToGrid w:val="0"/>
              <w:spacing w:line="480" w:lineRule="atLeast"/>
              <w:jc w:val="center"/>
              <w:rPr>
                <w:rFonts w:eastAsiaTheme="majorEastAsia"/>
                <w:kern w:val="0"/>
                <w:szCs w:val="21"/>
              </w:rPr>
            </w:pPr>
          </w:p>
        </w:tc>
        <w:tc>
          <w:tcPr>
            <w:tcW w:w="859" w:type="pct"/>
            <w:vAlign w:val="center"/>
          </w:tcPr>
          <w:p w14:paraId="262EF5E7">
            <w:pPr>
              <w:adjustRightInd w:val="0"/>
              <w:snapToGrid w:val="0"/>
              <w:spacing w:line="480" w:lineRule="atLeast"/>
              <w:jc w:val="center"/>
              <w:rPr>
                <w:rFonts w:eastAsiaTheme="majorEastAsia"/>
                <w:kern w:val="0"/>
                <w:szCs w:val="21"/>
              </w:rPr>
            </w:pPr>
            <w:r>
              <w:rPr>
                <w:rFonts w:eastAsiaTheme="majorEastAsia"/>
                <w:kern w:val="0"/>
                <w:szCs w:val="21"/>
              </w:rPr>
              <w:t>3.2m</w:t>
            </w:r>
          </w:p>
        </w:tc>
        <w:tc>
          <w:tcPr>
            <w:tcW w:w="1256" w:type="pct"/>
            <w:vAlign w:val="center"/>
          </w:tcPr>
          <w:p w14:paraId="729C58E9">
            <w:pPr>
              <w:adjustRightInd w:val="0"/>
              <w:snapToGrid w:val="0"/>
              <w:spacing w:line="480" w:lineRule="atLeast"/>
              <w:jc w:val="center"/>
              <w:rPr>
                <w:rFonts w:eastAsiaTheme="majorEastAsia"/>
                <w:kern w:val="0"/>
                <w:szCs w:val="21"/>
              </w:rPr>
            </w:pPr>
            <w:r>
              <w:rPr>
                <w:rFonts w:eastAsiaTheme="majorEastAsia"/>
                <w:kern w:val="0"/>
                <w:szCs w:val="21"/>
              </w:rPr>
              <w:t>27.1</w:t>
            </w:r>
            <w:r>
              <w:rPr>
                <w:szCs w:val="21"/>
              </w:rPr>
              <w:t>℃</w:t>
            </w:r>
          </w:p>
        </w:tc>
        <w:tc>
          <w:tcPr>
            <w:tcW w:w="1786" w:type="pct"/>
            <w:vAlign w:val="center"/>
          </w:tcPr>
          <w:p w14:paraId="730BD31C">
            <w:pPr>
              <w:adjustRightInd w:val="0"/>
              <w:snapToGrid w:val="0"/>
              <w:spacing w:line="480" w:lineRule="atLeast"/>
              <w:jc w:val="center"/>
              <w:rPr>
                <w:rFonts w:eastAsiaTheme="majorEastAsia"/>
                <w:szCs w:val="21"/>
              </w:rPr>
            </w:pPr>
          </w:p>
        </w:tc>
      </w:tr>
    </w:tbl>
    <w:p w14:paraId="77CAE128">
      <w:pPr>
        <w:pStyle w:val="380"/>
        <w:ind w:firstLine="0" w:firstLineChars="0"/>
        <w:rPr>
          <w:rFonts w:eastAsiaTheme="minorEastAsia"/>
        </w:rPr>
      </w:pPr>
      <w:r>
        <w:rPr>
          <w:rFonts w:eastAsiaTheme="minorEastAsia"/>
        </w:rPr>
        <w:tab/>
      </w:r>
    </w:p>
    <w:p w14:paraId="3D2CB105">
      <w:pPr>
        <w:pStyle w:val="290"/>
      </w:pPr>
      <w:bookmarkStart w:id="63" w:name="_Toc213169310"/>
      <w:r>
        <w:rPr>
          <w:rFonts w:hint="eastAsia"/>
        </w:rPr>
        <w:t>5</w:t>
      </w:r>
      <w:r>
        <w:t>.2.2 路由区工程地质条件概述</w:t>
      </w:r>
      <w:bookmarkEnd w:id="63"/>
    </w:p>
    <w:p w14:paraId="768FDF76">
      <w:pPr>
        <w:pStyle w:val="394"/>
      </w:pPr>
      <w:r>
        <w:rPr>
          <w:rFonts w:hint="eastAsia"/>
        </w:rPr>
        <w:t>现有路由区工程地质条件概述如下。</w:t>
      </w:r>
      <w:r>
        <w:rPr>
          <w:rFonts w:hint="eastAsia"/>
          <w:szCs w:val="21"/>
        </w:rPr>
        <w:t>具体以勘测报告终稿为准。</w:t>
      </w:r>
    </w:p>
    <w:p w14:paraId="087C991F">
      <w:pPr>
        <w:pStyle w:val="394"/>
      </w:pPr>
      <w:r>
        <w:rPr>
          <w:rFonts w:hint="eastAsia"/>
        </w:rPr>
        <w:t>路由区位于琼州海峡西端，水深从两岸向海峡中央逐渐增大，在水深大于50m的海域分布一条东西走向的深槽，槽底的水深在80～110m之间。深槽的北坡较缓，南坡呈阶梯状下降，局部坡度较大。受强烈的潮流冲刷作用影响，陡坡和槽底的地形起伏多变，有二级冲刷沟槽和丘状突起分布，并存在大面积的鱼鳞状冲刷坑和沙波地形，地形横截剖面呈锯齿状。</w:t>
      </w:r>
    </w:p>
    <w:p w14:paraId="2F0AF96D">
      <w:pPr>
        <w:pStyle w:val="394"/>
      </w:pPr>
      <w:r>
        <w:rPr>
          <w:rFonts w:hint="eastAsia"/>
        </w:rPr>
        <w:t>在KP12.73至KP13.18附近存在局部冲刷侵蚀，侵蚀深度1.2m-3.6m，KP13.54至KP14.95显示沙波。中央深槽段为整个路由水深最深段，水深范围约为53.0m～106.9m，地形起伏较大，在KP18.37处存在一处陡坎，落差为20.3m，坡度最大可达70°。区域内发育有不规则沙波，沙波区域局部地形起伏2-3m。KP19.21至KP19.37存在一处局部突起，高度超过15m，北侧最大坡度约40°，南侧坡度约5°-10°之间。KP21-KP22水深逐渐变浅，并呈现台阶状，坡度在15-63°之间。南部台阶段，水深变化范围约为27.5m～60.2m，水深变化呈台阶状变化，特别在KP25.45～KP26.78存在一个隆起区，而且由于存在沙脊，地形起伏较大，局部坡度可达～10.0°和～15.6°。</w:t>
      </w:r>
    </w:p>
    <w:p w14:paraId="530FA928">
      <w:pPr>
        <w:pStyle w:val="394"/>
        <w:ind w:firstLine="0" w:firstLineChars="0"/>
        <w:jc w:val="center"/>
      </w:pPr>
      <w:r>
        <w:rPr>
          <w:rFonts w:ascii="宋体" w:hAnsi="宋体" w:cstheme="majorBidi"/>
        </w:rPr>
        <w:drawing>
          <wp:inline distT="0" distB="0" distL="0" distR="0">
            <wp:extent cx="5608320" cy="1186815"/>
            <wp:effectExtent l="0" t="0" r="5080" b="6985"/>
            <wp:docPr id="6797516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51688" name="图片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643941" cy="1194564"/>
                    </a:xfrm>
                    <a:prstGeom prst="rect">
                      <a:avLst/>
                    </a:prstGeom>
                    <a:noFill/>
                    <a:ln>
                      <a:noFill/>
                    </a:ln>
                  </pic:spPr>
                </pic:pic>
              </a:graphicData>
            </a:graphic>
          </wp:inline>
        </w:drawing>
      </w:r>
    </w:p>
    <w:p w14:paraId="1AD94637">
      <w:pPr>
        <w:pStyle w:val="382"/>
        <w:spacing w:after="156"/>
      </w:pPr>
      <w:r>
        <w:t>图</w:t>
      </w:r>
      <w:r>
        <w:rPr>
          <w:rFonts w:hint="eastAsia"/>
        </w:rPr>
        <w:t>5</w:t>
      </w:r>
      <w:r>
        <w:t xml:space="preserve">.2.2-1 </w:t>
      </w:r>
      <w:r>
        <w:rPr>
          <w:rFonts w:hint="eastAsia"/>
        </w:rPr>
        <w:t>本期海缆</w:t>
      </w:r>
      <w:r>
        <w:t>勘察水深剖面图</w:t>
      </w:r>
    </w:p>
    <w:p w14:paraId="1C6767ED">
      <w:pPr>
        <w:pStyle w:val="394"/>
      </w:pPr>
      <w:r>
        <w:t>土壤热阻系数取值</w:t>
      </w:r>
      <w:r>
        <w:rPr>
          <w:rFonts w:hint="eastAsia"/>
        </w:rPr>
        <w:t>方面，</w:t>
      </w:r>
      <w:r>
        <w:t>本工程本阶段按照</w:t>
      </w:r>
      <w:r>
        <w:rPr>
          <w:rFonts w:hint="eastAsia"/>
        </w:rPr>
        <w:t>陆</w:t>
      </w:r>
      <w:r>
        <w:t>上段土壤热阻系数1 K*m/W取值；海中段根据周边海域海缆工程路由勘察资料</w:t>
      </w:r>
      <w:r>
        <w:rPr>
          <w:rFonts w:hint="eastAsia"/>
        </w:rPr>
        <w:t>，</w:t>
      </w:r>
      <w:r>
        <w:t>本阶段海中段土壤热阻系数按照0.</w:t>
      </w:r>
      <w:r>
        <w:rPr>
          <w:rFonts w:hint="eastAsia"/>
        </w:rPr>
        <w:t>7</w:t>
      </w:r>
      <w:r>
        <w:t>K*m/W取值。</w:t>
      </w:r>
    </w:p>
    <w:p w14:paraId="460AAE90">
      <w:pPr>
        <w:pStyle w:val="394"/>
      </w:pPr>
      <w:r>
        <w:t>根据勘察数据，其钻探揭露的地层与浅地层剖面的地层相吻合，岩土特性自上而下主要分布有砾砂、粉砂、细砂、中砂、中粗砂、粗砂、砾石、淤泥、淤泥质砂土、淤泥质粘土、淤泥质粉质粘土、淤泥质粉土、粘土、粉质粘土、砂质粘性土、砾质粘性土、粉土、强风化玄武岩及中风化玄武岩。</w:t>
      </w:r>
    </w:p>
    <w:p w14:paraId="22D79E62">
      <w:pPr>
        <w:pStyle w:val="394"/>
      </w:pPr>
      <w:r>
        <w:t>湛江登陆段海岸线总体稳定，澄迈登陆段海岸相对稳定，部分岸线出现微淤积，对光缆的埋设和营运影响不大，但要注意人类活动的影响。海床冲淤主要表现为路由区北段以冲刷为主，南段 0m～30m 等深线处于冲淤动态平衡状态，30m等深线至50m等深线为淤积段，且淤积速率较大，路由敷设应充分考虑其海床冲淤带来的不利影响。</w:t>
      </w:r>
    </w:p>
    <w:p w14:paraId="44E3E7CC">
      <w:pPr>
        <w:pStyle w:val="394"/>
      </w:pPr>
      <w:r>
        <w:t>路由海底存在的不良地质现象包括沙波、沙脊、冲刷槽、冲刷脊和丘状突起、陡坡、滑坡、珊瑚礁、浅埋岩石、软弱地层等。</w:t>
      </w:r>
    </w:p>
    <w:p w14:paraId="764060E9">
      <w:pPr>
        <w:pStyle w:val="152"/>
        <w:adjustRightInd w:val="0"/>
        <w:snapToGrid w:val="0"/>
        <w:spacing w:line="360" w:lineRule="auto"/>
        <w:rPr>
          <w:rFonts w:eastAsia="宋体" w:cs="Times New Roman"/>
          <w:szCs w:val="21"/>
        </w:rPr>
      </w:pPr>
    </w:p>
    <w:p w14:paraId="1ED2C8C0">
      <w:pPr>
        <w:pStyle w:val="4"/>
        <w:keepNext w:val="0"/>
        <w:tabs>
          <w:tab w:val="left" w:pos="576"/>
        </w:tabs>
        <w:topLinePunct w:val="0"/>
        <w:adjustRightInd w:val="0"/>
        <w:snapToGrid w:val="0"/>
        <w:spacing w:line="360" w:lineRule="auto"/>
        <w:ind w:left="0"/>
        <w:rPr>
          <w:rFonts w:ascii="黑体" w:hAnsi="黑体"/>
        </w:rPr>
      </w:pPr>
      <w:bookmarkStart w:id="64" w:name="_Toc279695716"/>
      <w:bookmarkEnd w:id="64"/>
      <w:bookmarkStart w:id="65" w:name="_Toc279695713"/>
      <w:bookmarkEnd w:id="65"/>
      <w:bookmarkStart w:id="66" w:name="_Toc279695715"/>
      <w:bookmarkEnd w:id="66"/>
      <w:bookmarkStart w:id="67" w:name="_Toc279695714"/>
      <w:bookmarkEnd w:id="67"/>
      <w:bookmarkStart w:id="68" w:name="_Toc278728919"/>
      <w:bookmarkEnd w:id="68"/>
      <w:bookmarkStart w:id="69" w:name="_Toc278728920"/>
      <w:bookmarkEnd w:id="69"/>
      <w:bookmarkStart w:id="70" w:name="_Toc279695712"/>
      <w:bookmarkEnd w:id="70"/>
      <w:bookmarkStart w:id="71" w:name="_Toc278728921"/>
      <w:bookmarkEnd w:id="71"/>
      <w:bookmarkStart w:id="72" w:name="_Toc226123941"/>
      <w:bookmarkStart w:id="73" w:name="_Toc288469841"/>
      <w:bookmarkStart w:id="74" w:name="_Toc232443348"/>
      <w:bookmarkStart w:id="75" w:name="_Toc322681854"/>
      <w:bookmarkStart w:id="76" w:name="_Toc22302713"/>
      <w:r>
        <w:rPr>
          <w:rFonts w:hint="eastAsia" w:ascii="黑体" w:hAnsi="黑体"/>
        </w:rPr>
        <w:t>5</w:t>
      </w:r>
      <w:r>
        <w:rPr>
          <w:rFonts w:ascii="黑体" w:hAnsi="黑体"/>
        </w:rPr>
        <w:t>.3 工程条件</w:t>
      </w:r>
      <w:bookmarkEnd w:id="72"/>
      <w:bookmarkEnd w:id="73"/>
      <w:bookmarkEnd w:id="74"/>
      <w:bookmarkEnd w:id="75"/>
      <w:bookmarkEnd w:id="76"/>
    </w:p>
    <w:p w14:paraId="176C3C34">
      <w:pPr>
        <w:pStyle w:val="290"/>
      </w:pPr>
      <w:r>
        <w:rPr>
          <w:rFonts w:hint="eastAsia"/>
        </w:rPr>
        <w:t>5</w:t>
      </w:r>
      <w:r>
        <w:t>.3.1 系统概况</w:t>
      </w:r>
    </w:p>
    <w:p w14:paraId="2E4E5130">
      <w:pPr>
        <w:adjustRightInd w:val="0"/>
        <w:snapToGrid w:val="0"/>
        <w:spacing w:line="360" w:lineRule="auto"/>
        <w:ind w:firstLine="420" w:firstLineChars="200"/>
      </w:pPr>
      <w:bookmarkStart w:id="77" w:name="_Toc239218207"/>
      <w:r>
        <w:t>1</w:t>
      </w:r>
      <w:r>
        <w:rPr>
          <w:rFonts w:hint="eastAsia"/>
        </w:rPr>
        <w:t>、系统额定电压：290/</w:t>
      </w:r>
      <w:r>
        <w:t>500 kV</w:t>
      </w:r>
      <w:r>
        <w:rPr>
          <w:rFonts w:hint="eastAsia"/>
        </w:rPr>
        <w:t>；</w:t>
      </w:r>
    </w:p>
    <w:p w14:paraId="0D8D5E0E">
      <w:pPr>
        <w:adjustRightInd w:val="0"/>
        <w:snapToGrid w:val="0"/>
        <w:spacing w:line="360" w:lineRule="auto"/>
        <w:ind w:firstLine="420" w:firstLineChars="200"/>
      </w:pPr>
      <w:r>
        <w:t>2</w:t>
      </w:r>
      <w:r>
        <w:rPr>
          <w:rFonts w:hint="eastAsia"/>
        </w:rPr>
        <w:t>、系统最高电压：</w:t>
      </w:r>
      <w:r>
        <w:t>550kV</w:t>
      </w:r>
      <w:r>
        <w:rPr>
          <w:rFonts w:hint="eastAsia"/>
        </w:rPr>
        <w:t>；</w:t>
      </w:r>
    </w:p>
    <w:p w14:paraId="035DFABC">
      <w:pPr>
        <w:adjustRightInd w:val="0"/>
        <w:snapToGrid w:val="0"/>
        <w:spacing w:line="360" w:lineRule="auto"/>
        <w:ind w:firstLine="420" w:firstLineChars="200"/>
      </w:pPr>
      <w:r>
        <w:t>3</w:t>
      </w:r>
      <w:r>
        <w:rPr>
          <w:rFonts w:hint="eastAsia"/>
        </w:rPr>
        <w:t>、系统额定频率：</w:t>
      </w:r>
      <w:r>
        <w:t>50Hz</w:t>
      </w:r>
      <w:r>
        <w:rPr>
          <w:rFonts w:hint="eastAsia"/>
        </w:rPr>
        <w:t>；</w:t>
      </w:r>
    </w:p>
    <w:p w14:paraId="4768A1E3">
      <w:pPr>
        <w:adjustRightInd w:val="0"/>
        <w:snapToGrid w:val="0"/>
        <w:spacing w:line="360" w:lineRule="auto"/>
        <w:ind w:firstLine="420" w:firstLineChars="200"/>
      </w:pPr>
      <w:r>
        <w:t>4</w:t>
      </w:r>
      <w:r>
        <w:rPr>
          <w:rFonts w:hint="eastAsia"/>
        </w:rPr>
        <w:t>、系统接地方式：</w:t>
      </w:r>
      <w:r>
        <w:rPr>
          <w:rFonts w:hint="eastAsia"/>
          <w:szCs w:val="21"/>
        </w:rPr>
        <w:t>中性点有效接地</w:t>
      </w:r>
      <w:r>
        <w:rPr>
          <w:rFonts w:hint="eastAsia"/>
        </w:rPr>
        <w:t>；</w:t>
      </w:r>
    </w:p>
    <w:p w14:paraId="14176606">
      <w:pPr>
        <w:pStyle w:val="152"/>
        <w:adjustRightInd w:val="0"/>
        <w:snapToGrid w:val="0"/>
        <w:spacing w:line="360" w:lineRule="auto"/>
        <w:rPr>
          <w:rFonts w:eastAsia="宋体" w:cs="Times New Roman"/>
          <w:szCs w:val="21"/>
        </w:rPr>
      </w:pPr>
      <w:r>
        <w:rPr>
          <w:rFonts w:eastAsia="宋体" w:cs="Times New Roman"/>
          <w:szCs w:val="21"/>
        </w:rPr>
        <w:t>5</w:t>
      </w:r>
      <w:r>
        <w:rPr>
          <w:rFonts w:hint="eastAsia" w:eastAsia="宋体" w:cs="Times New Roman"/>
          <w:szCs w:val="21"/>
        </w:rPr>
        <w:t>、基准雷电冲击耐压水平（</w:t>
      </w:r>
      <w:r>
        <w:rPr>
          <w:rFonts w:eastAsia="宋体" w:cs="Times New Roman"/>
          <w:szCs w:val="21"/>
        </w:rPr>
        <w:t>BIL</w:t>
      </w:r>
      <w:r>
        <w:rPr>
          <w:rFonts w:hint="eastAsia" w:eastAsia="宋体" w:cs="Times New Roman"/>
          <w:szCs w:val="21"/>
        </w:rPr>
        <w:t>）：</w:t>
      </w:r>
      <w:r>
        <w:rPr>
          <w:rFonts w:hint="eastAsia"/>
          <w:szCs w:val="21"/>
        </w:rPr>
        <w:t>1550</w:t>
      </w:r>
      <w:r>
        <w:rPr>
          <w:szCs w:val="21"/>
        </w:rPr>
        <w:t>kV</w:t>
      </w:r>
      <w:r>
        <w:rPr>
          <w:rFonts w:hint="eastAsia" w:eastAsia="宋体" w:cs="Times New Roman"/>
          <w:szCs w:val="21"/>
        </w:rPr>
        <w:t>；</w:t>
      </w:r>
    </w:p>
    <w:p w14:paraId="60B19E83">
      <w:pPr>
        <w:pStyle w:val="152"/>
        <w:adjustRightInd w:val="0"/>
        <w:snapToGrid w:val="0"/>
        <w:spacing w:line="360" w:lineRule="auto"/>
        <w:rPr>
          <w:rFonts w:eastAsia="宋体" w:cs="Times New Roman"/>
          <w:szCs w:val="21"/>
        </w:rPr>
      </w:pPr>
      <w:r>
        <w:t>6</w:t>
      </w:r>
      <w:r>
        <w:rPr>
          <w:rFonts w:hint="eastAsia"/>
        </w:rPr>
        <w:t>、系统短路电流：</w:t>
      </w:r>
      <w:r>
        <w:t xml:space="preserve"> 63kA</w:t>
      </w:r>
      <w:r>
        <w:rPr>
          <w:rFonts w:hint="eastAsia"/>
        </w:rPr>
        <w:t>（有效值），5s。</w:t>
      </w:r>
    </w:p>
    <w:bookmarkEnd w:id="77"/>
    <w:p w14:paraId="191AF97C">
      <w:pPr>
        <w:adjustRightInd w:val="0"/>
        <w:snapToGrid w:val="0"/>
        <w:spacing w:line="360" w:lineRule="auto"/>
      </w:pPr>
      <w:r>
        <w:rPr>
          <w:rFonts w:hint="eastAsia"/>
        </w:rPr>
        <w:t>5</w:t>
      </w:r>
      <w:r>
        <w:t>.</w:t>
      </w:r>
      <w:r>
        <w:rPr>
          <w:rFonts w:hint="eastAsia"/>
        </w:rPr>
        <w:t>3</w:t>
      </w:r>
      <w:r>
        <w:t>.</w:t>
      </w:r>
      <w:r>
        <w:rPr>
          <w:rFonts w:hint="eastAsia"/>
        </w:rPr>
        <w:t>2</w:t>
      </w:r>
      <w:r>
        <w:t>设计寿命</w:t>
      </w:r>
    </w:p>
    <w:p w14:paraId="3AE1C11F">
      <w:pPr>
        <w:adjustRightInd w:val="0"/>
        <w:snapToGrid w:val="0"/>
        <w:spacing w:line="360" w:lineRule="auto"/>
        <w:ind w:firstLine="420" w:firstLineChars="200"/>
        <w:rPr>
          <w:szCs w:val="21"/>
        </w:rPr>
      </w:pPr>
      <w:r>
        <w:rPr>
          <w:rFonts w:hint="eastAsia"/>
          <w:szCs w:val="21"/>
        </w:rPr>
        <w:t>工程使用电力电缆必须是全新的、耐用的，满足作为一个完整产品一般所能满足的全部要求，应保证电力电缆设计寿命不小于4</w:t>
      </w:r>
      <w:r>
        <w:rPr>
          <w:szCs w:val="21"/>
        </w:rPr>
        <w:t>0</w:t>
      </w:r>
      <w:r>
        <w:rPr>
          <w:rFonts w:hint="eastAsia"/>
          <w:szCs w:val="21"/>
        </w:rPr>
        <w:t>年</w:t>
      </w:r>
      <w:r>
        <w:rPr>
          <w:szCs w:val="21"/>
        </w:rPr>
        <w:t>。</w:t>
      </w:r>
    </w:p>
    <w:p w14:paraId="01BA8926">
      <w:pPr>
        <w:adjustRightInd w:val="0"/>
        <w:snapToGrid w:val="0"/>
        <w:spacing w:line="360" w:lineRule="auto"/>
      </w:pPr>
      <w:r>
        <w:rPr>
          <w:rFonts w:hint="eastAsia"/>
        </w:rPr>
        <w:t>5</w:t>
      </w:r>
      <w:r>
        <w:t>.</w:t>
      </w:r>
      <w:r>
        <w:rPr>
          <w:rFonts w:hint="eastAsia"/>
        </w:rPr>
        <w:t>3</w:t>
      </w:r>
      <w:r>
        <w:t xml:space="preserve">.3 </w:t>
      </w:r>
      <w:r>
        <w:rPr>
          <w:rFonts w:hint="eastAsia"/>
        </w:rPr>
        <w:t>海缆敷设方式</w:t>
      </w:r>
    </w:p>
    <w:p w14:paraId="6C2C23D6">
      <w:pPr>
        <w:adjustRightInd w:val="0"/>
        <w:snapToGrid w:val="0"/>
        <w:spacing w:line="360" w:lineRule="auto"/>
        <w:ind w:firstLine="420" w:firstLineChars="200"/>
        <w:rPr>
          <w:rFonts w:eastAsiaTheme="minorEastAsia"/>
        </w:rPr>
      </w:pPr>
      <w:r>
        <w:rPr>
          <w:rFonts w:hint="eastAsia"/>
          <w:szCs w:val="21"/>
        </w:rPr>
        <w:t>本工程海缆全线拟综合运用多种海缆保护方法，海缆登陆段考虑采用非开挖定向钻方式；对海底底质较软区域采用冲埋方式；对海底硬底质区域、管线交越区段采用套关节套管海床平铺+覆盖混凝土连锁排的方式。各主要区段及敷设方式一览表如下所示。具体敷设施工方案以施工图设计为准。</w:t>
      </w:r>
    </w:p>
    <w:p w14:paraId="7467A8F3">
      <w:pPr>
        <w:adjustRightInd w:val="0"/>
        <w:snapToGrid w:val="0"/>
        <w:spacing w:line="360" w:lineRule="auto"/>
        <w:jc w:val="center"/>
      </w:pPr>
      <w:r>
        <w:rPr>
          <w:rFonts w:hint="eastAsia"/>
        </w:rPr>
        <w:t>表5</w:t>
      </w:r>
      <w:r>
        <w:t xml:space="preserve">.2.3-1  </w:t>
      </w:r>
      <w:r>
        <w:rPr>
          <w:rFonts w:hint="eastAsia"/>
        </w:rPr>
        <w:t>线路敷设保护措施</w:t>
      </w:r>
    </w:p>
    <w:tbl>
      <w:tblPr>
        <w:tblStyle w:val="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1883"/>
        <w:gridCol w:w="3915"/>
        <w:gridCol w:w="2909"/>
      </w:tblGrid>
      <w:tr w14:paraId="19BC8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47C96BE3">
            <w:pPr>
              <w:adjustRightInd w:val="0"/>
              <w:snapToGrid w:val="0"/>
              <w:jc w:val="center"/>
              <w:rPr>
                <w:rFonts w:eastAsiaTheme="majorEastAsia"/>
                <w:szCs w:val="21"/>
              </w:rPr>
            </w:pPr>
            <w:r>
              <w:rPr>
                <w:rFonts w:hint="eastAsia" w:eastAsiaTheme="majorEastAsia"/>
                <w:szCs w:val="21"/>
              </w:rPr>
              <w:t>序号</w:t>
            </w:r>
          </w:p>
        </w:tc>
        <w:tc>
          <w:tcPr>
            <w:tcW w:w="1014" w:type="pct"/>
            <w:vAlign w:val="center"/>
          </w:tcPr>
          <w:p w14:paraId="153CB5D0">
            <w:pPr>
              <w:adjustRightInd w:val="0"/>
              <w:snapToGrid w:val="0"/>
              <w:jc w:val="center"/>
              <w:rPr>
                <w:rFonts w:eastAsiaTheme="majorEastAsia"/>
                <w:szCs w:val="21"/>
              </w:rPr>
            </w:pPr>
            <w:r>
              <w:rPr>
                <w:rFonts w:hint="eastAsia" w:eastAsiaTheme="majorEastAsia"/>
                <w:szCs w:val="21"/>
              </w:rPr>
              <w:t>海缆保护方案</w:t>
            </w:r>
          </w:p>
        </w:tc>
        <w:tc>
          <w:tcPr>
            <w:tcW w:w="2108" w:type="pct"/>
            <w:vAlign w:val="center"/>
          </w:tcPr>
          <w:p w14:paraId="5517B7F0">
            <w:pPr>
              <w:adjustRightInd w:val="0"/>
              <w:snapToGrid w:val="0"/>
              <w:jc w:val="center"/>
              <w:rPr>
                <w:rFonts w:eastAsiaTheme="majorEastAsia"/>
                <w:szCs w:val="21"/>
              </w:rPr>
            </w:pPr>
            <w:r>
              <w:rPr>
                <w:rFonts w:hint="eastAsia" w:eastAsiaTheme="majorEastAsia"/>
                <w:szCs w:val="21"/>
              </w:rPr>
              <w:t>保护方案</w:t>
            </w:r>
          </w:p>
        </w:tc>
        <w:tc>
          <w:tcPr>
            <w:tcW w:w="1566" w:type="pct"/>
            <w:vAlign w:val="center"/>
          </w:tcPr>
          <w:p w14:paraId="09F8680E">
            <w:pPr>
              <w:adjustRightInd w:val="0"/>
              <w:snapToGrid w:val="0"/>
              <w:jc w:val="center"/>
              <w:rPr>
                <w:rFonts w:eastAsiaTheme="majorEastAsia"/>
                <w:szCs w:val="21"/>
              </w:rPr>
            </w:pPr>
            <w:r>
              <w:rPr>
                <w:rFonts w:hint="eastAsia" w:eastAsiaTheme="majorEastAsia"/>
                <w:szCs w:val="21"/>
              </w:rPr>
              <w:t>区段</w:t>
            </w:r>
          </w:p>
        </w:tc>
      </w:tr>
      <w:tr w14:paraId="2358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71011C7A">
            <w:pPr>
              <w:adjustRightInd w:val="0"/>
              <w:snapToGrid w:val="0"/>
              <w:jc w:val="center"/>
              <w:rPr>
                <w:rFonts w:eastAsiaTheme="majorEastAsia"/>
                <w:szCs w:val="21"/>
              </w:rPr>
            </w:pPr>
            <w:r>
              <w:rPr>
                <w:rFonts w:hint="eastAsia" w:eastAsiaTheme="majorEastAsia"/>
                <w:szCs w:val="21"/>
              </w:rPr>
              <w:t>1</w:t>
            </w:r>
          </w:p>
        </w:tc>
        <w:tc>
          <w:tcPr>
            <w:tcW w:w="1014" w:type="pct"/>
            <w:vAlign w:val="center"/>
          </w:tcPr>
          <w:p w14:paraId="52AE5B92">
            <w:pPr>
              <w:adjustRightInd w:val="0"/>
              <w:snapToGrid w:val="0"/>
              <w:jc w:val="center"/>
              <w:rPr>
                <w:rFonts w:eastAsiaTheme="majorEastAsia"/>
                <w:szCs w:val="21"/>
              </w:rPr>
            </w:pPr>
            <w:r>
              <w:rPr>
                <w:rFonts w:hint="eastAsia" w:eastAsiaTheme="majorEastAsia"/>
                <w:szCs w:val="21"/>
              </w:rPr>
              <w:t>海缆保护方式1</w:t>
            </w:r>
          </w:p>
        </w:tc>
        <w:tc>
          <w:tcPr>
            <w:tcW w:w="2108" w:type="pct"/>
            <w:vAlign w:val="center"/>
          </w:tcPr>
          <w:p w14:paraId="05FBD592">
            <w:pPr>
              <w:adjustRightInd w:val="0"/>
              <w:snapToGrid w:val="0"/>
              <w:jc w:val="center"/>
              <w:rPr>
                <w:rFonts w:eastAsiaTheme="majorEastAsia"/>
                <w:szCs w:val="21"/>
              </w:rPr>
            </w:pPr>
            <w:r>
              <w:rPr>
                <w:rFonts w:hint="eastAsia" w:eastAsiaTheme="majorEastAsia"/>
                <w:szCs w:val="21"/>
              </w:rPr>
              <w:t>哈夫型铸铁套管</w:t>
            </w:r>
            <w:r>
              <w:rPr>
                <w:rFonts w:eastAsiaTheme="majorEastAsia"/>
                <w:szCs w:val="21"/>
              </w:rPr>
              <w:t>+</w:t>
            </w:r>
            <w:r>
              <w:rPr>
                <w:rFonts w:hint="eastAsia" w:eastAsiaTheme="majorEastAsia"/>
                <w:szCs w:val="21"/>
              </w:rPr>
              <w:t>宽约</w:t>
            </w:r>
            <w:r>
              <w:rPr>
                <w:rFonts w:eastAsiaTheme="majorEastAsia"/>
                <w:szCs w:val="21"/>
              </w:rPr>
              <w:t>7.65</w:t>
            </w:r>
            <w:r>
              <w:rPr>
                <w:rFonts w:hint="eastAsia" w:eastAsiaTheme="majorEastAsia"/>
                <w:szCs w:val="21"/>
              </w:rPr>
              <w:t>米大混凝土联锁块</w:t>
            </w:r>
          </w:p>
        </w:tc>
        <w:tc>
          <w:tcPr>
            <w:tcW w:w="1566" w:type="pct"/>
            <w:vAlign w:val="center"/>
          </w:tcPr>
          <w:p w14:paraId="293CFA3D">
            <w:pPr>
              <w:adjustRightInd w:val="0"/>
              <w:snapToGrid w:val="0"/>
              <w:jc w:val="center"/>
              <w:rPr>
                <w:rFonts w:eastAsiaTheme="majorEastAsia"/>
                <w:szCs w:val="21"/>
              </w:rPr>
            </w:pPr>
            <w:r>
              <w:rPr>
                <w:rFonts w:hint="eastAsia" w:eastAsiaTheme="majorEastAsia"/>
                <w:szCs w:val="21"/>
              </w:rPr>
              <w:t>岩石区</w:t>
            </w:r>
          </w:p>
        </w:tc>
      </w:tr>
      <w:tr w14:paraId="41F1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1CC3D4A1">
            <w:pPr>
              <w:adjustRightInd w:val="0"/>
              <w:snapToGrid w:val="0"/>
              <w:jc w:val="center"/>
              <w:rPr>
                <w:rFonts w:eastAsiaTheme="majorEastAsia"/>
                <w:szCs w:val="21"/>
              </w:rPr>
            </w:pPr>
            <w:r>
              <w:rPr>
                <w:rFonts w:hint="eastAsia" w:eastAsiaTheme="majorEastAsia"/>
                <w:szCs w:val="21"/>
              </w:rPr>
              <w:t>2</w:t>
            </w:r>
          </w:p>
        </w:tc>
        <w:tc>
          <w:tcPr>
            <w:tcW w:w="1014" w:type="pct"/>
            <w:vAlign w:val="center"/>
          </w:tcPr>
          <w:p w14:paraId="1FC0E3F4">
            <w:pPr>
              <w:adjustRightInd w:val="0"/>
              <w:snapToGrid w:val="0"/>
              <w:jc w:val="center"/>
              <w:rPr>
                <w:rFonts w:eastAsiaTheme="majorEastAsia"/>
                <w:szCs w:val="21"/>
              </w:rPr>
            </w:pPr>
            <w:r>
              <w:rPr>
                <w:rFonts w:hint="eastAsia" w:eastAsiaTheme="majorEastAsia"/>
                <w:szCs w:val="21"/>
              </w:rPr>
              <w:t>海缆保护方式2</w:t>
            </w:r>
          </w:p>
        </w:tc>
        <w:tc>
          <w:tcPr>
            <w:tcW w:w="2108" w:type="pct"/>
            <w:vAlign w:val="center"/>
          </w:tcPr>
          <w:p w14:paraId="45F5DBB6">
            <w:pPr>
              <w:adjustRightInd w:val="0"/>
              <w:snapToGrid w:val="0"/>
              <w:jc w:val="center"/>
              <w:rPr>
                <w:rFonts w:eastAsiaTheme="majorEastAsia"/>
                <w:szCs w:val="21"/>
              </w:rPr>
            </w:pPr>
            <w:r>
              <w:rPr>
                <w:rFonts w:hint="eastAsia" w:eastAsiaTheme="majorEastAsia"/>
                <w:szCs w:val="21"/>
              </w:rPr>
              <w:t>开沟2米+槽内回填抛石</w:t>
            </w:r>
          </w:p>
        </w:tc>
        <w:tc>
          <w:tcPr>
            <w:tcW w:w="1566" w:type="pct"/>
            <w:vAlign w:val="center"/>
          </w:tcPr>
          <w:p w14:paraId="03FAA751">
            <w:pPr>
              <w:adjustRightInd w:val="0"/>
              <w:snapToGrid w:val="0"/>
              <w:jc w:val="center"/>
              <w:rPr>
                <w:rFonts w:eastAsiaTheme="majorEastAsia"/>
                <w:szCs w:val="21"/>
              </w:rPr>
            </w:pPr>
            <w:r>
              <w:rPr>
                <w:rFonts w:hint="eastAsia" w:eastAsiaTheme="majorEastAsia"/>
                <w:szCs w:val="21"/>
              </w:rPr>
              <w:t>硬粘土</w:t>
            </w:r>
          </w:p>
        </w:tc>
      </w:tr>
      <w:tr w14:paraId="54799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6A8F9B63">
            <w:pPr>
              <w:adjustRightInd w:val="0"/>
              <w:snapToGrid w:val="0"/>
              <w:jc w:val="center"/>
              <w:rPr>
                <w:rFonts w:eastAsiaTheme="majorEastAsia"/>
                <w:szCs w:val="21"/>
              </w:rPr>
            </w:pPr>
            <w:r>
              <w:rPr>
                <w:rFonts w:hint="eastAsia" w:eastAsiaTheme="majorEastAsia"/>
                <w:szCs w:val="21"/>
              </w:rPr>
              <w:t>3</w:t>
            </w:r>
          </w:p>
        </w:tc>
        <w:tc>
          <w:tcPr>
            <w:tcW w:w="1014" w:type="pct"/>
            <w:vAlign w:val="center"/>
          </w:tcPr>
          <w:p w14:paraId="224919B5">
            <w:pPr>
              <w:adjustRightInd w:val="0"/>
              <w:snapToGrid w:val="0"/>
              <w:jc w:val="center"/>
              <w:rPr>
                <w:rFonts w:eastAsiaTheme="majorEastAsia"/>
                <w:szCs w:val="21"/>
              </w:rPr>
            </w:pPr>
            <w:r>
              <w:rPr>
                <w:rFonts w:hint="eastAsia" w:eastAsiaTheme="majorEastAsia"/>
                <w:szCs w:val="21"/>
              </w:rPr>
              <w:t>海缆保护方式3</w:t>
            </w:r>
          </w:p>
        </w:tc>
        <w:tc>
          <w:tcPr>
            <w:tcW w:w="2108" w:type="pct"/>
            <w:vAlign w:val="center"/>
          </w:tcPr>
          <w:p w14:paraId="696BE814">
            <w:pPr>
              <w:adjustRightInd w:val="0"/>
              <w:snapToGrid w:val="0"/>
              <w:jc w:val="center"/>
              <w:rPr>
                <w:rFonts w:eastAsiaTheme="majorEastAsia"/>
                <w:szCs w:val="21"/>
              </w:rPr>
            </w:pPr>
            <w:r>
              <w:rPr>
                <w:rFonts w:hint="eastAsia" w:eastAsiaTheme="majorEastAsia"/>
                <w:szCs w:val="21"/>
              </w:rPr>
              <w:t>冲埋1-3米+加盖约7.65米宽联锁块</w:t>
            </w:r>
          </w:p>
        </w:tc>
        <w:tc>
          <w:tcPr>
            <w:tcW w:w="1566" w:type="pct"/>
            <w:vAlign w:val="center"/>
          </w:tcPr>
          <w:p w14:paraId="6BB3315D">
            <w:pPr>
              <w:adjustRightInd w:val="0"/>
              <w:snapToGrid w:val="0"/>
              <w:jc w:val="center"/>
              <w:rPr>
                <w:rFonts w:eastAsiaTheme="majorEastAsia"/>
                <w:szCs w:val="21"/>
              </w:rPr>
            </w:pPr>
            <w:r>
              <w:rPr>
                <w:rFonts w:hint="eastAsia" w:eastAsiaTheme="majorEastAsia"/>
                <w:szCs w:val="21"/>
              </w:rPr>
              <w:t>软土+硬粘土</w:t>
            </w:r>
          </w:p>
        </w:tc>
      </w:tr>
      <w:tr w14:paraId="4D75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58BF3C6C">
            <w:pPr>
              <w:adjustRightInd w:val="0"/>
              <w:snapToGrid w:val="0"/>
              <w:jc w:val="center"/>
              <w:rPr>
                <w:rFonts w:eastAsiaTheme="majorEastAsia"/>
                <w:szCs w:val="21"/>
              </w:rPr>
            </w:pPr>
            <w:r>
              <w:rPr>
                <w:rFonts w:hint="eastAsia" w:eastAsiaTheme="majorEastAsia"/>
                <w:szCs w:val="21"/>
              </w:rPr>
              <w:t>4</w:t>
            </w:r>
          </w:p>
        </w:tc>
        <w:tc>
          <w:tcPr>
            <w:tcW w:w="1014" w:type="pct"/>
            <w:vAlign w:val="center"/>
          </w:tcPr>
          <w:p w14:paraId="3B7DD500">
            <w:pPr>
              <w:adjustRightInd w:val="0"/>
              <w:snapToGrid w:val="0"/>
              <w:jc w:val="center"/>
              <w:rPr>
                <w:rFonts w:eastAsiaTheme="majorEastAsia"/>
                <w:szCs w:val="21"/>
              </w:rPr>
            </w:pPr>
            <w:r>
              <w:rPr>
                <w:rFonts w:hint="eastAsia" w:eastAsiaTheme="majorEastAsia"/>
                <w:szCs w:val="21"/>
              </w:rPr>
              <w:t>海缆保护方式4-1</w:t>
            </w:r>
          </w:p>
        </w:tc>
        <w:tc>
          <w:tcPr>
            <w:tcW w:w="2108" w:type="pct"/>
            <w:vAlign w:val="center"/>
          </w:tcPr>
          <w:p w14:paraId="65612BB4">
            <w:pPr>
              <w:adjustRightInd w:val="0"/>
              <w:snapToGrid w:val="0"/>
              <w:jc w:val="center"/>
              <w:rPr>
                <w:rFonts w:eastAsiaTheme="majorEastAsia"/>
                <w:szCs w:val="21"/>
              </w:rPr>
            </w:pPr>
            <w:r>
              <w:rPr>
                <w:rFonts w:hint="eastAsia" w:eastAsiaTheme="majorEastAsia"/>
                <w:szCs w:val="21"/>
              </w:rPr>
              <w:t>冲埋3米</w:t>
            </w:r>
          </w:p>
        </w:tc>
        <w:tc>
          <w:tcPr>
            <w:tcW w:w="1566" w:type="pct"/>
            <w:vAlign w:val="center"/>
          </w:tcPr>
          <w:p w14:paraId="5BD675E6">
            <w:pPr>
              <w:adjustRightInd w:val="0"/>
              <w:snapToGrid w:val="0"/>
              <w:jc w:val="center"/>
              <w:rPr>
                <w:rFonts w:eastAsiaTheme="majorEastAsia"/>
                <w:szCs w:val="21"/>
              </w:rPr>
            </w:pPr>
            <w:r>
              <w:rPr>
                <w:rFonts w:hint="eastAsia" w:eastAsiaTheme="majorEastAsia"/>
                <w:szCs w:val="21"/>
              </w:rPr>
              <w:t>广东侧 浅滩外</w:t>
            </w:r>
          </w:p>
        </w:tc>
      </w:tr>
      <w:tr w14:paraId="4C33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400910D7">
            <w:pPr>
              <w:adjustRightInd w:val="0"/>
              <w:snapToGrid w:val="0"/>
              <w:jc w:val="center"/>
              <w:rPr>
                <w:rFonts w:eastAsiaTheme="majorEastAsia"/>
                <w:szCs w:val="21"/>
              </w:rPr>
            </w:pPr>
            <w:r>
              <w:rPr>
                <w:rFonts w:hint="eastAsia" w:eastAsiaTheme="majorEastAsia"/>
                <w:szCs w:val="21"/>
              </w:rPr>
              <w:t>5</w:t>
            </w:r>
          </w:p>
        </w:tc>
        <w:tc>
          <w:tcPr>
            <w:tcW w:w="1014" w:type="pct"/>
            <w:vAlign w:val="center"/>
          </w:tcPr>
          <w:p w14:paraId="36D7E8B0">
            <w:pPr>
              <w:adjustRightInd w:val="0"/>
              <w:snapToGrid w:val="0"/>
              <w:jc w:val="center"/>
              <w:rPr>
                <w:rFonts w:eastAsiaTheme="majorEastAsia"/>
                <w:szCs w:val="21"/>
              </w:rPr>
            </w:pPr>
            <w:r>
              <w:rPr>
                <w:rFonts w:hint="eastAsia" w:eastAsiaTheme="majorEastAsia"/>
                <w:szCs w:val="21"/>
              </w:rPr>
              <w:t>海缆保护方式4-2</w:t>
            </w:r>
          </w:p>
        </w:tc>
        <w:tc>
          <w:tcPr>
            <w:tcW w:w="2108" w:type="pct"/>
            <w:vAlign w:val="center"/>
          </w:tcPr>
          <w:p w14:paraId="140686F3">
            <w:pPr>
              <w:adjustRightInd w:val="0"/>
              <w:snapToGrid w:val="0"/>
              <w:jc w:val="center"/>
              <w:rPr>
                <w:rFonts w:eastAsiaTheme="majorEastAsia"/>
                <w:szCs w:val="21"/>
              </w:rPr>
            </w:pPr>
            <w:r>
              <w:rPr>
                <w:rFonts w:hint="eastAsia" w:eastAsiaTheme="majorEastAsia"/>
                <w:szCs w:val="21"/>
              </w:rPr>
              <w:t>冲埋4米</w:t>
            </w:r>
          </w:p>
        </w:tc>
        <w:tc>
          <w:tcPr>
            <w:tcW w:w="1566" w:type="pct"/>
            <w:vAlign w:val="center"/>
          </w:tcPr>
          <w:p w14:paraId="5973D80A">
            <w:pPr>
              <w:adjustRightInd w:val="0"/>
              <w:snapToGrid w:val="0"/>
              <w:jc w:val="center"/>
              <w:rPr>
                <w:rFonts w:eastAsiaTheme="majorEastAsia"/>
                <w:szCs w:val="21"/>
              </w:rPr>
            </w:pPr>
            <w:r>
              <w:rPr>
                <w:rFonts w:hint="eastAsia" w:eastAsiaTheme="majorEastAsia"/>
                <w:szCs w:val="21"/>
              </w:rPr>
              <w:t>软土</w:t>
            </w:r>
          </w:p>
        </w:tc>
      </w:tr>
      <w:tr w14:paraId="7E3E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7E47DA79">
            <w:pPr>
              <w:adjustRightInd w:val="0"/>
              <w:snapToGrid w:val="0"/>
              <w:jc w:val="center"/>
              <w:rPr>
                <w:rFonts w:eastAsiaTheme="majorEastAsia"/>
                <w:szCs w:val="21"/>
              </w:rPr>
            </w:pPr>
            <w:r>
              <w:rPr>
                <w:rFonts w:hint="eastAsia" w:eastAsiaTheme="majorEastAsia"/>
                <w:szCs w:val="21"/>
              </w:rPr>
              <w:t>6</w:t>
            </w:r>
          </w:p>
        </w:tc>
        <w:tc>
          <w:tcPr>
            <w:tcW w:w="1014" w:type="pct"/>
            <w:vAlign w:val="center"/>
          </w:tcPr>
          <w:p w14:paraId="25955FA0">
            <w:pPr>
              <w:adjustRightInd w:val="0"/>
              <w:snapToGrid w:val="0"/>
              <w:jc w:val="center"/>
              <w:rPr>
                <w:rFonts w:eastAsiaTheme="majorEastAsia"/>
                <w:szCs w:val="21"/>
              </w:rPr>
            </w:pPr>
            <w:r>
              <w:rPr>
                <w:rFonts w:hint="eastAsia" w:eastAsiaTheme="majorEastAsia"/>
                <w:szCs w:val="21"/>
              </w:rPr>
              <w:t>海缆保护方式5</w:t>
            </w:r>
          </w:p>
        </w:tc>
        <w:tc>
          <w:tcPr>
            <w:tcW w:w="2108" w:type="pct"/>
            <w:vAlign w:val="center"/>
          </w:tcPr>
          <w:p w14:paraId="6E8246C7">
            <w:pPr>
              <w:adjustRightInd w:val="0"/>
              <w:snapToGrid w:val="0"/>
              <w:jc w:val="center"/>
              <w:rPr>
                <w:rFonts w:eastAsiaTheme="majorEastAsia"/>
                <w:szCs w:val="21"/>
              </w:rPr>
            </w:pPr>
            <w:r>
              <w:rPr>
                <w:rFonts w:hint="eastAsia" w:eastAsiaTheme="majorEastAsia"/>
                <w:szCs w:val="21"/>
              </w:rPr>
              <w:t>冲埋4米+宽约</w:t>
            </w:r>
            <w:r>
              <w:rPr>
                <w:rFonts w:eastAsiaTheme="majorEastAsia"/>
                <w:szCs w:val="21"/>
              </w:rPr>
              <w:t>9.85</w:t>
            </w:r>
            <w:r>
              <w:rPr>
                <w:rFonts w:hint="eastAsia" w:eastAsiaTheme="majorEastAsia"/>
                <w:szCs w:val="21"/>
              </w:rPr>
              <w:t>米大混凝土联锁块</w:t>
            </w:r>
          </w:p>
        </w:tc>
        <w:tc>
          <w:tcPr>
            <w:tcW w:w="1566" w:type="pct"/>
            <w:vAlign w:val="center"/>
          </w:tcPr>
          <w:p w14:paraId="16E22F57">
            <w:pPr>
              <w:adjustRightInd w:val="0"/>
              <w:snapToGrid w:val="0"/>
              <w:jc w:val="center"/>
              <w:rPr>
                <w:rFonts w:eastAsiaTheme="majorEastAsia"/>
                <w:szCs w:val="21"/>
              </w:rPr>
            </w:pPr>
            <w:r>
              <w:rPr>
                <w:rFonts w:hint="eastAsia" w:eastAsiaTheme="majorEastAsia"/>
                <w:szCs w:val="21"/>
              </w:rPr>
              <w:t>冲刷严重区</w:t>
            </w:r>
          </w:p>
        </w:tc>
      </w:tr>
      <w:tr w14:paraId="7022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4BE0FA5E">
            <w:pPr>
              <w:adjustRightInd w:val="0"/>
              <w:snapToGrid w:val="0"/>
              <w:jc w:val="center"/>
              <w:rPr>
                <w:rFonts w:eastAsiaTheme="majorEastAsia"/>
                <w:szCs w:val="21"/>
              </w:rPr>
            </w:pPr>
            <w:r>
              <w:rPr>
                <w:rFonts w:hint="eastAsia" w:eastAsiaTheme="majorEastAsia"/>
                <w:szCs w:val="21"/>
              </w:rPr>
              <w:t>7</w:t>
            </w:r>
          </w:p>
        </w:tc>
        <w:tc>
          <w:tcPr>
            <w:tcW w:w="1014" w:type="pct"/>
            <w:vAlign w:val="center"/>
          </w:tcPr>
          <w:p w14:paraId="10F1CB95">
            <w:pPr>
              <w:adjustRightInd w:val="0"/>
              <w:snapToGrid w:val="0"/>
              <w:jc w:val="center"/>
              <w:rPr>
                <w:rFonts w:eastAsiaTheme="majorEastAsia"/>
                <w:szCs w:val="21"/>
              </w:rPr>
            </w:pPr>
            <w:r>
              <w:rPr>
                <w:rFonts w:hint="eastAsia" w:eastAsiaTheme="majorEastAsia"/>
                <w:szCs w:val="21"/>
              </w:rPr>
              <w:t>海缆保护方式6</w:t>
            </w:r>
          </w:p>
        </w:tc>
        <w:tc>
          <w:tcPr>
            <w:tcW w:w="2108" w:type="pct"/>
            <w:vAlign w:val="center"/>
          </w:tcPr>
          <w:p w14:paraId="271BC808">
            <w:pPr>
              <w:adjustRightInd w:val="0"/>
              <w:snapToGrid w:val="0"/>
              <w:jc w:val="center"/>
              <w:rPr>
                <w:rFonts w:eastAsiaTheme="majorEastAsia"/>
                <w:szCs w:val="21"/>
              </w:rPr>
            </w:pPr>
            <w:r>
              <w:rPr>
                <w:rFonts w:hint="eastAsia" w:eastAsiaTheme="majorEastAsia"/>
                <w:szCs w:val="21"/>
              </w:rPr>
              <w:t>海陆非开挖水平定向钻</w:t>
            </w:r>
          </w:p>
        </w:tc>
        <w:tc>
          <w:tcPr>
            <w:tcW w:w="1566" w:type="pct"/>
            <w:vAlign w:val="center"/>
          </w:tcPr>
          <w:p w14:paraId="6FD59785">
            <w:pPr>
              <w:adjustRightInd w:val="0"/>
              <w:snapToGrid w:val="0"/>
              <w:jc w:val="center"/>
              <w:rPr>
                <w:rFonts w:eastAsiaTheme="majorEastAsia"/>
                <w:szCs w:val="21"/>
              </w:rPr>
            </w:pPr>
            <w:r>
              <w:rPr>
                <w:rFonts w:hint="eastAsia" w:eastAsiaTheme="majorEastAsia"/>
                <w:szCs w:val="21"/>
              </w:rPr>
              <w:t>登陆</w:t>
            </w:r>
          </w:p>
        </w:tc>
      </w:tr>
      <w:tr w14:paraId="592F3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014C287C">
            <w:pPr>
              <w:adjustRightInd w:val="0"/>
              <w:snapToGrid w:val="0"/>
              <w:jc w:val="center"/>
              <w:rPr>
                <w:rFonts w:eastAsiaTheme="majorEastAsia"/>
                <w:szCs w:val="21"/>
              </w:rPr>
            </w:pPr>
            <w:r>
              <w:rPr>
                <w:rFonts w:hint="eastAsia" w:eastAsiaTheme="majorEastAsia"/>
                <w:szCs w:val="21"/>
              </w:rPr>
              <w:t>8</w:t>
            </w:r>
          </w:p>
        </w:tc>
        <w:tc>
          <w:tcPr>
            <w:tcW w:w="1014" w:type="pct"/>
            <w:vAlign w:val="center"/>
          </w:tcPr>
          <w:p w14:paraId="61B9CC53">
            <w:pPr>
              <w:adjustRightInd w:val="0"/>
              <w:snapToGrid w:val="0"/>
              <w:jc w:val="center"/>
              <w:rPr>
                <w:rFonts w:eastAsiaTheme="majorEastAsia"/>
                <w:szCs w:val="21"/>
              </w:rPr>
            </w:pPr>
            <w:r>
              <w:rPr>
                <w:rFonts w:hint="eastAsia" w:eastAsiaTheme="majorEastAsia"/>
                <w:szCs w:val="21"/>
              </w:rPr>
              <w:t>海缆保护方式7</w:t>
            </w:r>
          </w:p>
        </w:tc>
        <w:tc>
          <w:tcPr>
            <w:tcW w:w="2108" w:type="pct"/>
            <w:vAlign w:val="center"/>
          </w:tcPr>
          <w:p w14:paraId="2FE07D99">
            <w:pPr>
              <w:adjustRightInd w:val="0"/>
              <w:snapToGrid w:val="0"/>
              <w:jc w:val="center"/>
              <w:rPr>
                <w:rFonts w:eastAsiaTheme="majorEastAsia"/>
                <w:szCs w:val="21"/>
              </w:rPr>
            </w:pPr>
            <w:r>
              <w:rPr>
                <w:rFonts w:hint="eastAsia" w:eastAsiaTheme="majorEastAsia"/>
                <w:szCs w:val="21"/>
              </w:rPr>
              <w:t>哈夫型铸铁套管+两栖挖沟机开挖</w:t>
            </w:r>
          </w:p>
        </w:tc>
        <w:tc>
          <w:tcPr>
            <w:tcW w:w="1566" w:type="pct"/>
            <w:vAlign w:val="center"/>
          </w:tcPr>
          <w:p w14:paraId="523F15AC">
            <w:pPr>
              <w:adjustRightInd w:val="0"/>
              <w:snapToGrid w:val="0"/>
              <w:jc w:val="center"/>
              <w:rPr>
                <w:rFonts w:eastAsiaTheme="majorEastAsia"/>
                <w:szCs w:val="21"/>
              </w:rPr>
            </w:pPr>
            <w:r>
              <w:rPr>
                <w:rFonts w:hint="eastAsia" w:eastAsiaTheme="majorEastAsia"/>
                <w:szCs w:val="21"/>
              </w:rPr>
              <w:t>广东侧 浅滩</w:t>
            </w:r>
          </w:p>
        </w:tc>
      </w:tr>
      <w:tr w14:paraId="1F82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0493A2B5">
            <w:pPr>
              <w:adjustRightInd w:val="0"/>
              <w:snapToGrid w:val="0"/>
              <w:jc w:val="center"/>
              <w:rPr>
                <w:rFonts w:eastAsiaTheme="majorEastAsia"/>
                <w:szCs w:val="21"/>
              </w:rPr>
            </w:pPr>
            <w:r>
              <w:rPr>
                <w:rFonts w:hint="eastAsia" w:eastAsiaTheme="majorEastAsia"/>
                <w:szCs w:val="21"/>
              </w:rPr>
              <w:t>9</w:t>
            </w:r>
          </w:p>
        </w:tc>
        <w:tc>
          <w:tcPr>
            <w:tcW w:w="1014" w:type="pct"/>
            <w:vAlign w:val="center"/>
          </w:tcPr>
          <w:p w14:paraId="2ED5B553">
            <w:pPr>
              <w:adjustRightInd w:val="0"/>
              <w:snapToGrid w:val="0"/>
              <w:jc w:val="center"/>
              <w:rPr>
                <w:rFonts w:eastAsiaTheme="majorEastAsia"/>
                <w:szCs w:val="21"/>
              </w:rPr>
            </w:pPr>
            <w:r>
              <w:rPr>
                <w:rFonts w:hint="eastAsia" w:eastAsiaTheme="majorEastAsia"/>
                <w:szCs w:val="21"/>
              </w:rPr>
              <w:t>海缆保护方式</w:t>
            </w:r>
            <w:r>
              <w:rPr>
                <w:rFonts w:eastAsiaTheme="majorEastAsia"/>
                <w:szCs w:val="21"/>
              </w:rPr>
              <w:t>8</w:t>
            </w:r>
          </w:p>
        </w:tc>
        <w:tc>
          <w:tcPr>
            <w:tcW w:w="2108" w:type="pct"/>
            <w:vAlign w:val="center"/>
          </w:tcPr>
          <w:p w14:paraId="5799F423">
            <w:pPr>
              <w:adjustRightInd w:val="0"/>
              <w:snapToGrid w:val="0"/>
              <w:jc w:val="center"/>
              <w:rPr>
                <w:rFonts w:eastAsiaTheme="majorEastAsia"/>
                <w:szCs w:val="21"/>
              </w:rPr>
            </w:pPr>
            <w:r>
              <w:rPr>
                <w:rFonts w:hint="eastAsia" w:eastAsiaTheme="majorEastAsia"/>
                <w:szCs w:val="21"/>
              </w:rPr>
              <w:t>联锁块，抛石</w:t>
            </w:r>
          </w:p>
        </w:tc>
        <w:tc>
          <w:tcPr>
            <w:tcW w:w="1566" w:type="pct"/>
            <w:vAlign w:val="center"/>
          </w:tcPr>
          <w:p w14:paraId="4837CB64">
            <w:pPr>
              <w:adjustRightInd w:val="0"/>
              <w:snapToGrid w:val="0"/>
              <w:jc w:val="center"/>
              <w:rPr>
                <w:rFonts w:eastAsiaTheme="majorEastAsia"/>
                <w:szCs w:val="21"/>
              </w:rPr>
            </w:pPr>
            <w:r>
              <w:rPr>
                <w:rFonts w:hint="eastAsia" w:eastAsiaTheme="majorEastAsia"/>
                <w:szCs w:val="21"/>
              </w:rPr>
              <w:t>施工中局部埋深无法满足区</w:t>
            </w:r>
          </w:p>
        </w:tc>
      </w:tr>
      <w:tr w14:paraId="2ED74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 w:type="pct"/>
            <w:vAlign w:val="center"/>
          </w:tcPr>
          <w:p w14:paraId="6E3454B7">
            <w:pPr>
              <w:adjustRightInd w:val="0"/>
              <w:snapToGrid w:val="0"/>
              <w:jc w:val="center"/>
              <w:rPr>
                <w:rFonts w:eastAsiaTheme="majorEastAsia"/>
                <w:szCs w:val="21"/>
              </w:rPr>
            </w:pPr>
            <w:r>
              <w:rPr>
                <w:rFonts w:hint="eastAsia" w:eastAsiaTheme="majorEastAsia"/>
                <w:szCs w:val="21"/>
              </w:rPr>
              <w:t>10</w:t>
            </w:r>
          </w:p>
        </w:tc>
        <w:tc>
          <w:tcPr>
            <w:tcW w:w="1014" w:type="pct"/>
            <w:vAlign w:val="center"/>
          </w:tcPr>
          <w:p w14:paraId="68A2E285">
            <w:pPr>
              <w:adjustRightInd w:val="0"/>
              <w:snapToGrid w:val="0"/>
              <w:jc w:val="center"/>
              <w:rPr>
                <w:rFonts w:eastAsiaTheme="majorEastAsia"/>
                <w:szCs w:val="21"/>
              </w:rPr>
            </w:pPr>
            <w:r>
              <w:rPr>
                <w:rFonts w:hint="eastAsia" w:eastAsiaTheme="majorEastAsia"/>
                <w:szCs w:val="21"/>
              </w:rPr>
              <w:t>海缆保护方式9</w:t>
            </w:r>
          </w:p>
        </w:tc>
        <w:tc>
          <w:tcPr>
            <w:tcW w:w="2108" w:type="pct"/>
            <w:vAlign w:val="center"/>
          </w:tcPr>
          <w:p w14:paraId="4BD8F3D7">
            <w:pPr>
              <w:adjustRightInd w:val="0"/>
              <w:snapToGrid w:val="0"/>
              <w:jc w:val="center"/>
              <w:rPr>
                <w:rFonts w:eastAsiaTheme="majorEastAsia"/>
                <w:szCs w:val="21"/>
              </w:rPr>
            </w:pPr>
            <w:r>
              <w:rPr>
                <w:rFonts w:hint="eastAsia" w:eastAsiaTheme="majorEastAsia"/>
                <w:szCs w:val="21"/>
              </w:rPr>
              <w:t>套管+抛石</w:t>
            </w:r>
          </w:p>
        </w:tc>
        <w:tc>
          <w:tcPr>
            <w:tcW w:w="1566" w:type="pct"/>
            <w:vAlign w:val="center"/>
          </w:tcPr>
          <w:p w14:paraId="5D0F4BAE">
            <w:pPr>
              <w:adjustRightInd w:val="0"/>
              <w:snapToGrid w:val="0"/>
              <w:jc w:val="center"/>
              <w:rPr>
                <w:rFonts w:eastAsiaTheme="majorEastAsia"/>
                <w:szCs w:val="21"/>
              </w:rPr>
            </w:pPr>
            <w:r>
              <w:rPr>
                <w:rFonts w:hint="eastAsia" w:eastAsiaTheme="majorEastAsia"/>
                <w:szCs w:val="21"/>
              </w:rPr>
              <w:t>大坡度区段</w:t>
            </w:r>
          </w:p>
        </w:tc>
      </w:tr>
    </w:tbl>
    <w:p w14:paraId="136AD63D">
      <w:pPr>
        <w:adjustRightInd w:val="0"/>
        <w:snapToGrid w:val="0"/>
        <w:spacing w:line="360" w:lineRule="auto"/>
        <w:ind w:firstLine="420" w:firstLineChars="200"/>
        <w:rPr>
          <w:szCs w:val="21"/>
        </w:rPr>
      </w:pPr>
      <w:r>
        <w:rPr>
          <w:rFonts w:hint="eastAsia"/>
          <w:szCs w:val="21"/>
        </w:rPr>
        <w:t>海南侧与广东侧定向钻纵断面入下图所示：</w:t>
      </w:r>
    </w:p>
    <w:p w14:paraId="04A99471">
      <w:pPr>
        <w:widowControl/>
        <w:jc w:val="left"/>
        <w:rPr>
          <w:szCs w:val="21"/>
        </w:rPr>
      </w:pPr>
      <w:r>
        <w:rPr>
          <w:szCs w:val="21"/>
        </w:rPr>
        <w:br w:type="page"/>
      </w:r>
    </w:p>
    <w:p w14:paraId="78B061F4">
      <w:pPr>
        <w:adjustRightInd w:val="0"/>
        <w:snapToGrid w:val="0"/>
        <w:spacing w:line="360" w:lineRule="auto"/>
        <w:ind w:firstLine="420" w:firstLineChars="200"/>
        <w:rPr>
          <w:szCs w:val="21"/>
        </w:rPr>
        <w:sectPr>
          <w:headerReference r:id="rId7" w:type="first"/>
          <w:footerReference r:id="rId10" w:type="first"/>
          <w:footerReference r:id="rId8" w:type="default"/>
          <w:headerReference r:id="rId6" w:type="even"/>
          <w:footerReference r:id="rId9" w:type="even"/>
          <w:pgSz w:w="11906" w:h="16838"/>
          <w:pgMar w:top="1134" w:right="1418" w:bottom="1418" w:left="1418" w:header="851" w:footer="992" w:gutter="0"/>
          <w:pgNumType w:start="1"/>
          <w:cols w:space="720" w:num="1"/>
          <w:docGrid w:type="lines" w:linePitch="312" w:charSpace="0"/>
        </w:sectPr>
      </w:pPr>
    </w:p>
    <w:p w14:paraId="21AAC29B">
      <w:pPr>
        <w:adjustRightInd w:val="0"/>
        <w:snapToGrid w:val="0"/>
        <w:spacing w:line="360" w:lineRule="auto"/>
        <w:rPr>
          <w:szCs w:val="21"/>
        </w:rPr>
      </w:pPr>
      <w:r>
        <w:fldChar w:fldCharType="begin"/>
      </w:r>
      <w:r>
        <w:instrText xml:space="preserve"> INCLUDEPICTURE "C:\\Users\\g8703\\AppData\\Local\\Temp\\企业微信截图_17706876093678.png" \* MERGEFORMATINET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"C:\\Users\\g8703\\Desktop\\海南联网三期\\g8703\\AppData\\Local\\Temp\\企业微信截图_17706876093678.png"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"D:\\WXwork\\WXWork\\1688854406624167\\Cache\\g8703\\AppData\\Local\\Temp\\企业微信截图_17706876093678.png" \* MERGEFORMATINET</w:instrText>
      </w:r>
      <w:r>
        <w:instrText xml:space="preserve"> </w:instrText>
      </w:r>
      <w:r>
        <w:fldChar w:fldCharType="separate"/>
      </w:r>
      <w:r>
        <w:pict>
          <v:shape id="_x0000_i1026" o:spt="75" type="#_x0000_t75" style="height:300.25pt;width:698.95pt;" filled="f" o:preferrelative="t" stroked="f" coordsize="21600,21600">
            <v:path/>
            <v:fill on="f" focussize="0,0"/>
            <v:stroke on="f" joinstyle="miter"/>
            <v:imagedata r:id="rId23" r:href="rId24" o:title=""/>
            <o:lock v:ext="edit" aspectratio="t"/>
            <w10:wrap type="none"/>
            <w10:anchorlock/>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2EF87C9E">
      <w:pPr>
        <w:adjustRightInd w:val="0"/>
        <w:snapToGrid w:val="0"/>
        <w:spacing w:line="360" w:lineRule="auto"/>
        <w:jc w:val="center"/>
        <w:rPr>
          <w:rFonts w:eastAsiaTheme="majorEastAsia"/>
          <w:szCs w:val="21"/>
        </w:rPr>
      </w:pPr>
      <w:r>
        <w:rPr>
          <w:rFonts w:hint="eastAsia" w:eastAsiaTheme="majorEastAsia"/>
          <w:szCs w:val="21"/>
        </w:rPr>
        <w:t>图5</w:t>
      </w:r>
      <w:r>
        <w:t>.</w:t>
      </w:r>
      <w:r>
        <w:rPr>
          <w:rFonts w:hint="eastAsia"/>
        </w:rPr>
        <w:t>3</w:t>
      </w:r>
      <w:r>
        <w:t xml:space="preserve">.3-1 </w:t>
      </w:r>
      <w:r>
        <w:rPr>
          <w:rFonts w:hint="eastAsia"/>
        </w:rPr>
        <w:t>广东侧</w:t>
      </w:r>
      <w:r>
        <w:rPr>
          <w:rFonts w:hint="eastAsia" w:eastAsiaTheme="majorEastAsia"/>
          <w:szCs w:val="21"/>
        </w:rPr>
        <w:t>海陆非开挖水平定向钻（详见附件一）</w:t>
      </w:r>
    </w:p>
    <w:p w14:paraId="0DD177BE">
      <w:pPr>
        <w:adjustRightInd w:val="0"/>
        <w:snapToGrid w:val="0"/>
        <w:spacing w:line="360" w:lineRule="auto"/>
        <w:jc w:val="center"/>
        <w:rPr>
          <w:rFonts w:eastAsiaTheme="majorEastAsia"/>
          <w:szCs w:val="21"/>
        </w:rPr>
      </w:pPr>
    </w:p>
    <w:p w14:paraId="37EB6C4C">
      <w:pPr>
        <w:adjustRightInd w:val="0"/>
        <w:snapToGrid w:val="0"/>
        <w:spacing w:line="360" w:lineRule="auto"/>
        <w:jc w:val="center"/>
        <w:rPr>
          <w:rFonts w:eastAsiaTheme="majorEastAsia"/>
          <w:szCs w:val="21"/>
        </w:rPr>
      </w:pPr>
    </w:p>
    <w:p w14:paraId="5DA662E5">
      <w:pPr>
        <w:adjustRightInd w:val="0"/>
        <w:snapToGrid w:val="0"/>
        <w:spacing w:line="360" w:lineRule="auto"/>
        <w:jc w:val="center"/>
        <w:rPr>
          <w:rFonts w:eastAsiaTheme="majorEastAsia"/>
          <w:szCs w:val="21"/>
        </w:rPr>
      </w:pPr>
    </w:p>
    <w:p w14:paraId="532CC960">
      <w:pPr>
        <w:adjustRightInd w:val="0"/>
        <w:snapToGrid w:val="0"/>
        <w:spacing w:line="360" w:lineRule="auto"/>
        <w:jc w:val="center"/>
        <w:rPr>
          <w:rFonts w:eastAsiaTheme="majorEastAsia"/>
          <w:szCs w:val="21"/>
        </w:rPr>
      </w:pPr>
    </w:p>
    <w:p w14:paraId="78364E13">
      <w:pPr>
        <w:adjustRightInd w:val="0"/>
        <w:snapToGrid w:val="0"/>
        <w:spacing w:line="360" w:lineRule="auto"/>
        <w:jc w:val="center"/>
        <w:rPr>
          <w:rFonts w:eastAsiaTheme="majorEastAsia"/>
          <w:szCs w:val="21"/>
        </w:rPr>
      </w:pPr>
    </w:p>
    <w:p w14:paraId="565E25D0">
      <w:pPr>
        <w:adjustRightInd w:val="0"/>
        <w:snapToGrid w:val="0"/>
        <w:spacing w:line="360" w:lineRule="auto"/>
        <w:jc w:val="center"/>
        <w:rPr>
          <w:rFonts w:eastAsiaTheme="majorEastAsia"/>
          <w:szCs w:val="21"/>
        </w:rPr>
      </w:pPr>
    </w:p>
    <w:p w14:paraId="74DD8097">
      <w:pPr>
        <w:adjustRightInd w:val="0"/>
        <w:snapToGrid w:val="0"/>
        <w:spacing w:line="360" w:lineRule="auto"/>
        <w:jc w:val="center"/>
        <w:rPr>
          <w:rFonts w:eastAsiaTheme="majorEastAsia"/>
          <w:szCs w:val="21"/>
        </w:rPr>
      </w:pPr>
    </w:p>
    <w:p w14:paraId="709B0D80">
      <w:pPr>
        <w:adjustRightInd w:val="0"/>
        <w:snapToGrid w:val="0"/>
        <w:spacing w:line="360" w:lineRule="auto"/>
        <w:jc w:val="center"/>
        <w:rPr>
          <w:szCs w:val="21"/>
        </w:rPr>
      </w:pPr>
    </w:p>
    <w:p w14:paraId="0761D007">
      <w:pPr>
        <w:adjustRightInd w:val="0"/>
        <w:snapToGrid w:val="0"/>
        <w:spacing w:line="360" w:lineRule="auto"/>
      </w:pPr>
      <w:r>
        <w:fldChar w:fldCharType="begin"/>
      </w:r>
      <w:r>
        <w:instrText xml:space="preserve"> INCLUDEPICTURE "C:\\Users\\g8703\\AppData\\Local\\Temp\\企业微信截图_17706877157665.png" \* MERGEFORMATINET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"C:\\Users\\g8703\\Desktop\\海南联网三期\\g8703\\AppData\\Local\\Temp\\企业微信截图_17706877157665.png"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"D:\\WXwork\\WXWork\\1688854406624167\\Cache\\g8703\\AppData\\Local\\Temp\\企业微信截图_17706877157665.png" \* MERGEFORMATINET</w:instrText>
      </w:r>
      <w:r>
        <w:instrText xml:space="preserve"> </w:instrText>
      </w:r>
      <w:r>
        <w:fldChar w:fldCharType="separate"/>
      </w:r>
      <w:r>
        <w:pict>
          <v:shape id="_x0000_i1027" o:spt="75" type="#_x0000_t75" style="height:231.6pt;width:711.85pt;" filled="f" o:preferrelative="t" stroked="f" coordsize="21600,21600">
            <v:path/>
            <v:fill on="f" focussize="0,0"/>
            <v:stroke on="f" joinstyle="miter"/>
            <v:imagedata r:id="rId25" r:href="rId26" o:title=""/>
            <o:lock v:ext="edit" aspectratio="t"/>
            <w10:wrap type="none"/>
            <w10:anchorlock/>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4E765F01">
      <w:pPr>
        <w:adjustRightInd w:val="0"/>
        <w:snapToGrid w:val="0"/>
        <w:spacing w:line="360" w:lineRule="auto"/>
        <w:jc w:val="center"/>
        <w:rPr>
          <w:szCs w:val="21"/>
        </w:rPr>
      </w:pPr>
      <w:r>
        <w:rPr>
          <w:rFonts w:hint="eastAsia" w:eastAsiaTheme="majorEastAsia"/>
          <w:szCs w:val="21"/>
        </w:rPr>
        <w:t>图5</w:t>
      </w:r>
      <w:r>
        <w:t>.</w:t>
      </w:r>
      <w:r>
        <w:rPr>
          <w:rFonts w:hint="eastAsia"/>
        </w:rPr>
        <w:t>3</w:t>
      </w:r>
      <w:r>
        <w:t>.3-</w:t>
      </w:r>
      <w:r>
        <w:rPr>
          <w:rFonts w:hint="eastAsia"/>
        </w:rPr>
        <w:t>2</w:t>
      </w:r>
      <w:r>
        <w:t xml:space="preserve"> </w:t>
      </w:r>
      <w:r>
        <w:rPr>
          <w:rFonts w:hint="eastAsia"/>
        </w:rPr>
        <w:t>海南侧</w:t>
      </w:r>
      <w:r>
        <w:rPr>
          <w:rFonts w:hint="eastAsia" w:eastAsiaTheme="majorEastAsia"/>
          <w:szCs w:val="21"/>
        </w:rPr>
        <w:t>海陆非开挖水平定向钻（详见附件二）</w:t>
      </w:r>
    </w:p>
    <w:p w14:paraId="2E2787A0">
      <w:pPr>
        <w:widowControl/>
        <w:jc w:val="left"/>
        <w:rPr>
          <w:szCs w:val="21"/>
        </w:rPr>
      </w:pPr>
      <w:r>
        <w:rPr>
          <w:szCs w:val="21"/>
        </w:rPr>
        <w:br w:type="page"/>
      </w:r>
    </w:p>
    <w:p w14:paraId="3D8ACBEF">
      <w:pPr>
        <w:adjustRightInd w:val="0"/>
        <w:snapToGrid w:val="0"/>
        <w:spacing w:line="360" w:lineRule="auto"/>
        <w:ind w:firstLine="420" w:firstLineChars="200"/>
        <w:rPr>
          <w:szCs w:val="21"/>
        </w:rPr>
        <w:sectPr>
          <w:pgSz w:w="16838" w:h="11906" w:orient="landscape"/>
          <w:pgMar w:top="1418" w:right="1134" w:bottom="1418" w:left="1418" w:header="851" w:footer="992" w:gutter="0"/>
          <w:cols w:space="720" w:num="1"/>
          <w:docGrid w:type="linesAndChars" w:linePitch="312" w:charSpace="0"/>
        </w:sectPr>
      </w:pPr>
    </w:p>
    <w:p w14:paraId="10BE5C41">
      <w:pPr>
        <w:adjustRightInd w:val="0"/>
        <w:snapToGrid w:val="0"/>
        <w:spacing w:line="360" w:lineRule="auto"/>
        <w:ind w:firstLine="420" w:firstLineChars="200"/>
        <w:rPr>
          <w:szCs w:val="21"/>
        </w:rPr>
      </w:pPr>
    </w:p>
    <w:p w14:paraId="71E5E794">
      <w:pPr>
        <w:pStyle w:val="284"/>
      </w:pPr>
      <w:bookmarkStart w:id="78" w:name="_Toc232443349"/>
      <w:bookmarkStart w:id="79" w:name="_Toc22302714"/>
      <w:bookmarkStart w:id="80" w:name="_Toc282993253"/>
      <w:bookmarkStart w:id="81" w:name="_Toc226123942"/>
      <w:bookmarkStart w:id="82" w:name="_Toc322681855"/>
      <w:r>
        <w:rPr>
          <w:rFonts w:hint="eastAsia"/>
        </w:rPr>
        <w:t>6</w:t>
      </w:r>
      <w:r>
        <w:t xml:space="preserve"> </w:t>
      </w:r>
      <w:r>
        <w:rPr>
          <w:rFonts w:hint="eastAsia"/>
        </w:rPr>
        <w:t>技术要求</w:t>
      </w:r>
      <w:bookmarkEnd w:id="78"/>
      <w:bookmarkEnd w:id="79"/>
      <w:bookmarkEnd w:id="80"/>
      <w:bookmarkEnd w:id="81"/>
      <w:bookmarkEnd w:id="82"/>
    </w:p>
    <w:p w14:paraId="1BF1FAED">
      <w:pPr>
        <w:pStyle w:val="286"/>
      </w:pPr>
      <w:bookmarkStart w:id="83" w:name="_Toc494469221"/>
      <w:bookmarkStart w:id="84" w:name="_Toc232443350"/>
      <w:bookmarkStart w:id="85" w:name="_Toc226123943"/>
      <w:bookmarkStart w:id="86" w:name="_Toc162518919"/>
      <w:bookmarkStart w:id="87" w:name="_Toc22302717"/>
      <w:r>
        <w:rPr>
          <w:rFonts w:hint="eastAsia"/>
        </w:rPr>
        <w:t>6.1 基本设计要求</w:t>
      </w:r>
      <w:bookmarkEnd w:id="83"/>
      <w:bookmarkEnd w:id="84"/>
      <w:bookmarkEnd w:id="85"/>
      <w:bookmarkEnd w:id="86"/>
    </w:p>
    <w:p w14:paraId="2D3407C7">
      <w:pPr>
        <w:pStyle w:val="290"/>
        <w:rPr>
          <w:rFonts w:ascii="仿宋_GB2312"/>
        </w:rPr>
      </w:pPr>
      <w:r>
        <w:rPr>
          <w:rFonts w:hint="eastAsia"/>
        </w:rPr>
        <w:t>6</w:t>
      </w:r>
      <w:r>
        <w:t>.1.1</w:t>
      </w:r>
      <w:r>
        <w:rPr>
          <w:rFonts w:hint="eastAsia"/>
        </w:rPr>
        <w:t xml:space="preserve">  </w:t>
      </w:r>
      <w:r>
        <w:rPr>
          <w:rFonts w:hint="eastAsia" w:ascii="仿宋_GB2312"/>
        </w:rPr>
        <w:t>电力系统</w:t>
      </w:r>
    </w:p>
    <w:p w14:paraId="401B212E">
      <w:pPr>
        <w:pStyle w:val="288"/>
      </w:pPr>
      <w:r>
        <w:t>本标书中所规定的设备，应适用于下列电力系统:</w:t>
      </w:r>
    </w:p>
    <w:p w14:paraId="6BD4AAEA">
      <w:pPr>
        <w:pStyle w:val="288"/>
      </w:pPr>
      <w:r>
        <w:t>(1)</w:t>
      </w:r>
      <w:r>
        <w:rPr>
          <w:rFonts w:hint="eastAsia"/>
        </w:rPr>
        <w:t xml:space="preserve"> </w:t>
      </w:r>
      <w:r>
        <w:t>系统额定频率</w:t>
      </w:r>
      <w:r>
        <w:rPr>
          <w:rFonts w:hint="eastAsia"/>
        </w:rPr>
        <w:tab/>
      </w:r>
      <w:r>
        <w:rPr>
          <w:rFonts w:hint="eastAsia"/>
        </w:rPr>
        <w:tab/>
      </w:r>
      <w:r>
        <w:rPr>
          <w:rFonts w:hint="eastAsia"/>
        </w:rPr>
        <w:tab/>
      </w:r>
      <w:r>
        <w:rPr>
          <w:rFonts w:hint="eastAsia"/>
        </w:rPr>
        <w:tab/>
      </w:r>
      <w:r>
        <w:rPr>
          <w:rFonts w:hint="eastAsia"/>
        </w:rPr>
        <w:tab/>
      </w:r>
      <w:r>
        <w:t>50Hz</w:t>
      </w:r>
    </w:p>
    <w:p w14:paraId="58ADBE9B">
      <w:pPr>
        <w:pStyle w:val="288"/>
      </w:pPr>
      <w:r>
        <w:t>(2)</w:t>
      </w:r>
      <w:r>
        <w:rPr>
          <w:rFonts w:hint="eastAsia"/>
        </w:rPr>
        <w:t xml:space="preserve"> </w:t>
      </w:r>
      <w:r>
        <w:t>系统额定电压</w:t>
      </w:r>
      <w:r>
        <w:rPr>
          <w:rFonts w:hint="eastAsia"/>
        </w:rPr>
        <w:tab/>
      </w:r>
      <w:r>
        <w:rPr>
          <w:rFonts w:hint="eastAsia"/>
        </w:rPr>
        <w:tab/>
      </w:r>
      <w:r>
        <w:rPr>
          <w:rFonts w:hint="eastAsia"/>
        </w:rPr>
        <w:tab/>
      </w:r>
      <w:r>
        <w:rPr>
          <w:rFonts w:hint="eastAsia"/>
        </w:rPr>
        <w:tab/>
      </w:r>
      <w:r>
        <w:rPr>
          <w:rFonts w:hint="eastAsia"/>
        </w:rPr>
        <w:tab/>
      </w:r>
      <w:r>
        <w:t>290/</w:t>
      </w:r>
      <w:r>
        <w:rPr>
          <w:rFonts w:hint="eastAsia"/>
        </w:rPr>
        <w:t>500kV</w:t>
      </w:r>
    </w:p>
    <w:p w14:paraId="1C7613DB">
      <w:pPr>
        <w:pStyle w:val="288"/>
      </w:pPr>
      <w:r>
        <w:t>(3)</w:t>
      </w:r>
      <w:r>
        <w:rPr>
          <w:rFonts w:hint="eastAsia"/>
        </w:rPr>
        <w:t xml:space="preserve"> </w:t>
      </w:r>
      <w:r>
        <w:t>系统最高运行电压</w:t>
      </w:r>
      <w:r>
        <w:rPr>
          <w:rFonts w:hint="eastAsia"/>
        </w:rPr>
        <w:tab/>
      </w:r>
      <w:r>
        <w:rPr>
          <w:rFonts w:hint="eastAsia"/>
        </w:rPr>
        <w:tab/>
      </w:r>
      <w:r>
        <w:rPr>
          <w:rFonts w:hint="eastAsia"/>
        </w:rPr>
        <w:tab/>
      </w:r>
      <w:r>
        <w:rPr>
          <w:rFonts w:hint="eastAsia"/>
        </w:rPr>
        <w:tab/>
      </w:r>
      <w:r>
        <w:t>550kV</w:t>
      </w:r>
    </w:p>
    <w:p w14:paraId="78E48056">
      <w:pPr>
        <w:pStyle w:val="288"/>
      </w:pPr>
      <w:r>
        <w:t>(4)</w:t>
      </w:r>
      <w:r>
        <w:rPr>
          <w:rFonts w:hint="eastAsia"/>
        </w:rPr>
        <w:t xml:space="preserve"> </w:t>
      </w:r>
      <w:r>
        <w:t>系统短路水平</w:t>
      </w:r>
      <w:r>
        <w:rPr>
          <w:rFonts w:hint="eastAsia"/>
        </w:rPr>
        <w:tab/>
      </w:r>
      <w:r>
        <w:rPr>
          <w:rFonts w:hint="eastAsia"/>
        </w:rPr>
        <w:tab/>
      </w:r>
      <w:r>
        <w:rPr>
          <w:rFonts w:hint="eastAsia"/>
        </w:rPr>
        <w:tab/>
      </w:r>
      <w:r>
        <w:rPr>
          <w:rFonts w:hint="eastAsia"/>
        </w:rPr>
        <w:tab/>
      </w:r>
      <w:r>
        <w:rPr>
          <w:rFonts w:hint="eastAsia"/>
        </w:rPr>
        <w:tab/>
      </w:r>
      <w:r>
        <w:rPr>
          <w:rFonts w:hint="eastAsia"/>
        </w:rPr>
        <w:t>三相短路</w:t>
      </w:r>
      <w:r>
        <w:t>63</w:t>
      </w:r>
      <w:r>
        <w:rPr>
          <w:rFonts w:hint="eastAsia"/>
        </w:rPr>
        <w:t>kA，</w:t>
      </w:r>
      <w:r>
        <w:t>5</w:t>
      </w:r>
      <w:r>
        <w:rPr>
          <w:rFonts w:hint="eastAsia"/>
        </w:rPr>
        <w:t>s</w:t>
      </w:r>
    </w:p>
    <w:p w14:paraId="711C63E4">
      <w:pPr>
        <w:pStyle w:val="288"/>
      </w:pPr>
      <w:r>
        <w:rPr>
          <w:rFonts w:hint="eastAsia"/>
        </w:rPr>
        <w:t>(</w:t>
      </w:r>
      <w:r>
        <w:t>5</w:t>
      </w:r>
      <w:r>
        <w:rPr>
          <w:rFonts w:hint="eastAsia"/>
        </w:rPr>
        <w:t xml:space="preserve">) </w:t>
      </w:r>
      <w:r>
        <w:t>系统接地方式</w:t>
      </w:r>
      <w:r>
        <w:rPr>
          <w:rFonts w:hint="eastAsia"/>
        </w:rPr>
        <w:tab/>
      </w:r>
      <w:r>
        <w:rPr>
          <w:rFonts w:hint="eastAsia"/>
        </w:rPr>
        <w:tab/>
      </w:r>
      <w:r>
        <w:rPr>
          <w:rFonts w:hint="eastAsia"/>
        </w:rPr>
        <w:tab/>
      </w:r>
      <w:r>
        <w:rPr>
          <w:rFonts w:hint="eastAsia"/>
        </w:rPr>
        <w:tab/>
      </w:r>
      <w:r>
        <w:rPr>
          <w:rFonts w:hint="eastAsia"/>
        </w:rPr>
        <w:tab/>
      </w:r>
      <w:r>
        <w:rPr>
          <w:rFonts w:hint="eastAsia"/>
        </w:rPr>
        <w:t>中性点有效接地</w:t>
      </w:r>
    </w:p>
    <w:p w14:paraId="69311D62">
      <w:pPr>
        <w:pStyle w:val="290"/>
      </w:pPr>
      <w:r>
        <w:rPr>
          <w:rFonts w:hint="eastAsia"/>
        </w:rPr>
        <w:t>6.1.2 抗震</w:t>
      </w:r>
      <w:r>
        <w:t>等级</w:t>
      </w:r>
    </w:p>
    <w:p w14:paraId="1C4126AC">
      <w:pPr>
        <w:pStyle w:val="288"/>
      </w:pPr>
      <w:r>
        <w:rPr>
          <w:rFonts w:hint="eastAsia"/>
        </w:rPr>
        <w:t>本工程按照8度设防。招标海缆系统及附件设备应能承受</w:t>
      </w:r>
      <w:r>
        <w:t>设计基本地震加速度值为0.3g</w:t>
      </w:r>
      <w:r>
        <w:rPr>
          <w:rFonts w:hint="eastAsia"/>
        </w:rPr>
        <w:t>施加于设备结构最弱部分时，在共振条件下所发生的动态地震应力，并且安全系数应大于1.67。</w:t>
      </w:r>
    </w:p>
    <w:p w14:paraId="0A7567CF">
      <w:pPr>
        <w:pStyle w:val="288"/>
      </w:pPr>
      <w:r>
        <w:rPr>
          <w:rFonts w:hint="eastAsia"/>
        </w:rPr>
        <w:t>须对相关设备进行校验计算和采取措施，特别是设备连接处的抗震动校验。</w:t>
      </w:r>
    </w:p>
    <w:p w14:paraId="551C2313">
      <w:pPr>
        <w:pStyle w:val="290"/>
      </w:pPr>
      <w:r>
        <w:rPr>
          <w:rFonts w:hint="eastAsia"/>
        </w:rPr>
        <w:t xml:space="preserve">6.1.3 </w:t>
      </w:r>
      <w:r>
        <w:t>防污等级</w:t>
      </w:r>
    </w:p>
    <w:p w14:paraId="337A768E">
      <w:pPr>
        <w:pStyle w:val="288"/>
      </w:pPr>
      <w:r>
        <w:t>污秽等级</w:t>
      </w:r>
      <w:r>
        <w:rPr>
          <w:rFonts w:hint="eastAsia"/>
        </w:rPr>
        <w:tab/>
      </w:r>
      <w:r>
        <w:rPr>
          <w:rFonts w:hint="eastAsia"/>
        </w:rPr>
        <w:tab/>
      </w:r>
      <w:r>
        <w:rPr>
          <w:rFonts w:hint="eastAsia"/>
        </w:rPr>
        <w:tab/>
      </w:r>
      <w:r>
        <w:rPr>
          <w:rFonts w:hint="eastAsia"/>
        </w:rPr>
        <w:tab/>
      </w:r>
      <w:r>
        <w:rPr>
          <w:rFonts w:hint="eastAsia"/>
        </w:rPr>
        <w:tab/>
      </w:r>
      <w:r>
        <w:rPr>
          <w:rFonts w:hint="eastAsia"/>
        </w:rPr>
        <w:tab/>
      </w:r>
      <w:r>
        <w:t>e级</w:t>
      </w:r>
    </w:p>
    <w:p w14:paraId="7C22F994">
      <w:pPr>
        <w:pStyle w:val="290"/>
      </w:pPr>
      <w:r>
        <w:rPr>
          <w:rFonts w:hint="eastAsia"/>
        </w:rPr>
        <w:t>6.1.4 设计寿命</w:t>
      </w:r>
    </w:p>
    <w:p w14:paraId="64CD945B">
      <w:pPr>
        <w:pStyle w:val="288"/>
      </w:pPr>
      <w:r>
        <w:rPr>
          <w:rFonts w:hint="eastAsia"/>
        </w:rPr>
        <w:t>全部设备必须是全新的，持久耐用的。即使在本标书中没有明显地提出，全部设备也应满足作为一个完整产品所能满足的全部要求。投标方应保证设备全生命周期为40年，且在此期限内，其内部部件无需进行维修。</w:t>
      </w:r>
    </w:p>
    <w:p w14:paraId="3DC14EFC">
      <w:pPr>
        <w:adjustRightInd w:val="0"/>
        <w:snapToGrid w:val="0"/>
        <w:spacing w:line="480" w:lineRule="atLeast"/>
        <w:ind w:firstLine="480" w:firstLineChars="200"/>
        <w:rPr>
          <w:sz w:val="24"/>
        </w:rPr>
      </w:pPr>
    </w:p>
    <w:p w14:paraId="3BFFF0EA">
      <w:pPr>
        <w:pStyle w:val="286"/>
      </w:pPr>
      <w:bookmarkStart w:id="88" w:name="_Toc498344518"/>
      <w:bookmarkStart w:id="89" w:name="_Toc232443351"/>
      <w:bookmarkStart w:id="90" w:name="_Toc226123944"/>
      <w:bookmarkStart w:id="91" w:name="_Toc162518920"/>
      <w:r>
        <w:rPr>
          <w:rFonts w:hint="eastAsia"/>
        </w:rPr>
        <w:t>6.</w:t>
      </w:r>
      <w:r>
        <w:t>2</w:t>
      </w:r>
      <w:r>
        <w:rPr>
          <w:rFonts w:hint="eastAsia"/>
        </w:rPr>
        <w:t xml:space="preserve"> </w:t>
      </w:r>
      <w:bookmarkEnd w:id="88"/>
      <w:r>
        <w:rPr>
          <w:rFonts w:hint="eastAsia"/>
        </w:rPr>
        <w:t>工作特性</w:t>
      </w:r>
      <w:bookmarkEnd w:id="89"/>
      <w:bookmarkEnd w:id="90"/>
      <w:bookmarkEnd w:id="91"/>
    </w:p>
    <w:p w14:paraId="64CA12E7">
      <w:pPr>
        <w:pStyle w:val="288"/>
      </w:pPr>
      <w:r>
        <w:rPr>
          <w:rFonts w:hint="eastAsia"/>
        </w:rPr>
        <w:t>海缆导体的最高工作温度为</w:t>
      </w:r>
      <w:r>
        <w:t>90</w:t>
      </w:r>
      <w:r>
        <w:rPr>
          <w:rFonts w:hint="eastAsia"/>
        </w:rPr>
        <w:t>℃。</w:t>
      </w:r>
    </w:p>
    <w:p w14:paraId="37441637">
      <w:pPr>
        <w:pStyle w:val="288"/>
      </w:pPr>
      <w:r>
        <w:rPr>
          <w:rFonts w:hint="eastAsia"/>
        </w:rPr>
        <w:t>短路时（最长持续时间不超过</w:t>
      </w:r>
      <w:r>
        <w:t>5</w:t>
      </w:r>
      <w:r>
        <w:rPr>
          <w:rFonts w:hint="eastAsia"/>
        </w:rPr>
        <w:t>秒）海缆导体的最高温度不超过</w:t>
      </w:r>
      <w:r>
        <w:t>250</w:t>
      </w:r>
      <w:r>
        <w:rPr>
          <w:rFonts w:hint="eastAsia"/>
        </w:rPr>
        <w:t>℃。</w:t>
      </w:r>
    </w:p>
    <w:p w14:paraId="4A14FDD8">
      <w:pPr>
        <w:pStyle w:val="288"/>
      </w:pPr>
      <w:r>
        <w:rPr>
          <w:rFonts w:hint="eastAsia"/>
        </w:rPr>
        <w:t>金属护套和铠装的接地方式：海缆线路采用两端直接接地的接地方式，两端铠装在锚固装置处接入接地网，金属护套分别经接地线和直接接地箱接至接地网。</w:t>
      </w:r>
    </w:p>
    <w:p w14:paraId="225B1459">
      <w:pPr>
        <w:pStyle w:val="288"/>
        <w:ind w:firstLine="422"/>
        <w:rPr>
          <w:b/>
        </w:rPr>
      </w:pPr>
      <w:r>
        <w:rPr>
          <w:rFonts w:hint="eastAsia"/>
          <w:b/>
        </w:rPr>
        <w:t>在下述任何一种敷设条件下，单回海缆的载流量不应低于</w:t>
      </w:r>
      <w:r>
        <w:rPr>
          <w:b/>
        </w:rPr>
        <w:t>730A</w:t>
      </w:r>
      <w:r>
        <w:rPr>
          <w:rFonts w:hint="eastAsia"/>
          <w:b/>
        </w:rPr>
        <w:t>。主要敷设及载流量计算条件如下：</w:t>
      </w:r>
    </w:p>
    <w:p w14:paraId="1B285BBF">
      <w:pPr>
        <w:pStyle w:val="288"/>
      </w:pPr>
      <w:r>
        <w:rPr>
          <w:rFonts w:hint="eastAsia"/>
        </w:rPr>
        <w:t>1、海中段，依照埋深最深敷设工况考虑，海床温度25.0℃，土壤热阻0.7</w:t>
      </w:r>
      <w:r>
        <w:t>K</w:t>
      </w:r>
      <w:r>
        <w:rPr>
          <w:rFonts w:hint="eastAsia"/>
        </w:rPr>
        <w:t>*m</w:t>
      </w:r>
      <w:r>
        <w:t xml:space="preserve"> /W</w:t>
      </w:r>
      <w:r>
        <w:rPr>
          <w:rFonts w:hint="eastAsia"/>
        </w:rPr>
        <w:t>，埋深4.0m；</w:t>
      </w:r>
    </w:p>
    <w:p w14:paraId="765477D0">
      <w:pPr>
        <w:pStyle w:val="288"/>
      </w:pPr>
      <w:r>
        <w:rPr>
          <w:rFonts w:hint="eastAsia"/>
        </w:rPr>
        <w:t>2、定向钻登陆段浅埋段</w:t>
      </w:r>
    </w:p>
    <w:p w14:paraId="21856711">
      <w:pPr>
        <w:pStyle w:val="288"/>
      </w:pPr>
      <w:r>
        <w:rPr>
          <w:rFonts w:hint="eastAsia"/>
        </w:rPr>
        <w:t>土壤温度取29.0℃，土壤热阻取1</w:t>
      </w:r>
      <w:r>
        <w:t xml:space="preserve"> K</w:t>
      </w:r>
      <w:r>
        <w:rPr>
          <w:rFonts w:hint="eastAsia"/>
        </w:rPr>
        <w:t>*m</w:t>
      </w:r>
      <w:r>
        <w:t>/W</w:t>
      </w:r>
      <w:r>
        <w:rPr>
          <w:rFonts w:hint="eastAsia"/>
        </w:rPr>
        <w:t>，埋深2.0m；管径暂按630mm、壁厚12mm；两根海缆间距7m。定向钻内回填低热阻材料，热阻系数0.5</w:t>
      </w:r>
      <w:r>
        <w:t xml:space="preserve"> K</w:t>
      </w:r>
      <w:r>
        <w:rPr>
          <w:rFonts w:hint="eastAsia"/>
        </w:rPr>
        <w:t>*m</w:t>
      </w:r>
      <w:r>
        <w:t xml:space="preserve"> /W</w:t>
      </w:r>
      <w:r>
        <w:rPr>
          <w:rFonts w:hint="eastAsia"/>
        </w:rPr>
        <w:t>。</w:t>
      </w:r>
    </w:p>
    <w:p w14:paraId="15CFBE6F">
      <w:pPr>
        <w:pStyle w:val="288"/>
        <w:ind w:firstLine="0" w:firstLineChars="0"/>
      </w:pPr>
      <w:r>
        <w:rPr>
          <w:highlight w:val="lightGray"/>
        </w:rPr>
        <w:tab/>
      </w:r>
      <w:r>
        <w:rPr>
          <w:rFonts w:hint="eastAsia"/>
          <w:highlight w:val="lightGray"/>
        </w:rPr>
        <w:t>3、</w:t>
      </w:r>
      <w:r>
        <w:rPr>
          <w:rFonts w:hint="eastAsia"/>
        </w:rPr>
        <w:t>定向钻登陆段深埋段</w:t>
      </w:r>
    </w:p>
    <w:p w14:paraId="5DC97832">
      <w:pPr>
        <w:pStyle w:val="288"/>
        <w:ind w:firstLineChars="0"/>
      </w:pPr>
      <w:r>
        <w:rPr>
          <w:rFonts w:hint="eastAsia"/>
        </w:rPr>
        <w:t>土壤温度取25.0℃，土壤热阻取0.7</w:t>
      </w:r>
      <w:r>
        <w:t xml:space="preserve"> K</w:t>
      </w:r>
      <w:r>
        <w:rPr>
          <w:rFonts w:hint="eastAsia"/>
        </w:rPr>
        <w:t>*m</w:t>
      </w:r>
      <w:r>
        <w:t>/W</w:t>
      </w:r>
      <w:r>
        <w:rPr>
          <w:rFonts w:hint="eastAsia"/>
        </w:rPr>
        <w:t>，埋深25.0m；管径暂按630mm、壁厚1</w:t>
      </w:r>
      <w:r>
        <w:t>4</w:t>
      </w:r>
      <w:r>
        <w:rPr>
          <w:rFonts w:hint="eastAsia"/>
        </w:rPr>
        <w:t>mm。定向钻内回填低热阻材料，热阻系数0.5</w:t>
      </w:r>
      <w:r>
        <w:t xml:space="preserve"> K</w:t>
      </w:r>
      <w:r>
        <w:rPr>
          <w:rFonts w:hint="eastAsia"/>
        </w:rPr>
        <w:t>*m</w:t>
      </w:r>
      <w:r>
        <w:t>/W</w:t>
      </w:r>
      <w:r>
        <w:rPr>
          <w:rFonts w:hint="eastAsia"/>
        </w:rPr>
        <w:t>。</w:t>
      </w:r>
    </w:p>
    <w:p w14:paraId="15150822">
      <w:pPr>
        <w:pStyle w:val="288"/>
      </w:pPr>
      <w:r>
        <w:rPr>
          <w:rFonts w:hint="eastAsia"/>
        </w:rPr>
        <w:t>4、陆上电缆沟考虑回填低热阻土，热阻系数0.5。最高气温取</w:t>
      </w:r>
      <w:r>
        <w:t>39</w:t>
      </w:r>
      <w:r>
        <w:rPr>
          <w:rFonts w:hint="eastAsia"/>
        </w:rPr>
        <w:t>℃，土壤温度取</w:t>
      </w:r>
      <w:r>
        <w:t>30</w:t>
      </w:r>
      <w:r>
        <w:rPr>
          <w:rFonts w:hint="eastAsia"/>
        </w:rPr>
        <w:t>℃，周边土壤热阻</w:t>
      </w:r>
      <w:r>
        <w:t>1 K</w:t>
      </w:r>
      <w:r>
        <w:rPr>
          <w:rFonts w:hint="eastAsia"/>
        </w:rPr>
        <w:t>*m</w:t>
      </w:r>
      <w:r>
        <w:t>/W</w:t>
      </w:r>
      <w:r>
        <w:rPr>
          <w:rFonts w:hint="eastAsia"/>
        </w:rPr>
        <w:t>，盖板露面。</w:t>
      </w:r>
    </w:p>
    <w:tbl>
      <w:tblPr>
        <w:tblStyle w:val="85"/>
        <w:tblW w:w="9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948"/>
        <w:gridCol w:w="708"/>
        <w:gridCol w:w="993"/>
        <w:gridCol w:w="1134"/>
        <w:gridCol w:w="3723"/>
      </w:tblGrid>
      <w:tr w14:paraId="0C1A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41" w:type="dxa"/>
            <w:noWrap/>
            <w:vAlign w:val="center"/>
          </w:tcPr>
          <w:p w14:paraId="62E5BE64">
            <w:pPr>
              <w:jc w:val="center"/>
              <w:rPr>
                <w:color w:val="000000"/>
                <w:szCs w:val="21"/>
                <w:lang w:val="pt-BR"/>
              </w:rPr>
            </w:pPr>
            <w:r>
              <w:rPr>
                <w:color w:val="000000"/>
                <w:szCs w:val="21"/>
                <w:lang w:val="pt-BR"/>
              </w:rPr>
              <w:t>序号</w:t>
            </w:r>
          </w:p>
        </w:tc>
        <w:tc>
          <w:tcPr>
            <w:tcW w:w="1948" w:type="dxa"/>
            <w:noWrap/>
            <w:vAlign w:val="center"/>
          </w:tcPr>
          <w:p w14:paraId="22C5EB74">
            <w:pPr>
              <w:jc w:val="center"/>
              <w:rPr>
                <w:color w:val="000000"/>
                <w:szCs w:val="21"/>
                <w:lang w:val="pt-BR"/>
              </w:rPr>
            </w:pPr>
            <w:r>
              <w:rPr>
                <w:color w:val="000000"/>
                <w:szCs w:val="21"/>
                <w:lang w:val="pt-BR"/>
              </w:rPr>
              <w:t>敷设方式</w:t>
            </w:r>
          </w:p>
        </w:tc>
        <w:tc>
          <w:tcPr>
            <w:tcW w:w="708" w:type="dxa"/>
            <w:vAlign w:val="center"/>
          </w:tcPr>
          <w:p w14:paraId="1DE694EA">
            <w:pPr>
              <w:jc w:val="center"/>
              <w:rPr>
                <w:color w:val="000000"/>
                <w:szCs w:val="21"/>
                <w:lang w:val="pt-BR"/>
              </w:rPr>
            </w:pPr>
            <w:r>
              <w:rPr>
                <w:color w:val="000000"/>
                <w:szCs w:val="21"/>
                <w:lang w:val="pt-BR"/>
              </w:rPr>
              <w:t>埋深m</w:t>
            </w:r>
          </w:p>
        </w:tc>
        <w:tc>
          <w:tcPr>
            <w:tcW w:w="993" w:type="dxa"/>
            <w:noWrap/>
            <w:vAlign w:val="center"/>
          </w:tcPr>
          <w:p w14:paraId="31EB8B55">
            <w:pPr>
              <w:jc w:val="center"/>
              <w:rPr>
                <w:color w:val="000000"/>
                <w:szCs w:val="21"/>
                <w:lang w:val="pt-BR"/>
              </w:rPr>
            </w:pPr>
            <w:r>
              <w:rPr>
                <w:rFonts w:hint="eastAsia"/>
                <w:color w:val="000000"/>
                <w:szCs w:val="21"/>
                <w:lang w:val="pt-BR"/>
              </w:rPr>
              <w:t>土壤热阻系数</w:t>
            </w:r>
          </w:p>
          <w:p w14:paraId="344D09CE">
            <w:pPr>
              <w:jc w:val="center"/>
              <w:rPr>
                <w:color w:val="000000"/>
                <w:szCs w:val="21"/>
                <w:lang w:val="pt-BR"/>
              </w:rPr>
            </w:pPr>
            <w:r>
              <w:rPr>
                <w:rFonts w:hint="eastAsia"/>
              </w:rPr>
              <w:t>K*m</w:t>
            </w:r>
            <w:r>
              <w:t>/</w:t>
            </w:r>
            <w:r>
              <w:rPr>
                <w:rFonts w:hint="eastAsia"/>
              </w:rPr>
              <w:t>W</w:t>
            </w:r>
          </w:p>
        </w:tc>
        <w:tc>
          <w:tcPr>
            <w:tcW w:w="1134" w:type="dxa"/>
            <w:vAlign w:val="center"/>
          </w:tcPr>
          <w:p w14:paraId="0A7DFA15">
            <w:pPr>
              <w:jc w:val="center"/>
              <w:rPr>
                <w:color w:val="000000"/>
                <w:szCs w:val="21"/>
                <w:lang w:val="pt-BR"/>
              </w:rPr>
            </w:pPr>
            <w:r>
              <w:rPr>
                <w:rFonts w:hint="eastAsia"/>
                <w:color w:val="000000"/>
                <w:szCs w:val="21"/>
                <w:lang w:val="pt-BR"/>
              </w:rPr>
              <w:t>土壤温度或水温</w:t>
            </w:r>
          </w:p>
          <w:p w14:paraId="1DEFADBB">
            <w:pPr>
              <w:jc w:val="center"/>
              <w:rPr>
                <w:color w:val="000000"/>
                <w:szCs w:val="21"/>
                <w:lang w:val="pt-BR"/>
              </w:rPr>
            </w:pPr>
            <w:r>
              <w:rPr>
                <w:rFonts w:hint="eastAsia"/>
                <w:color w:val="000000"/>
                <w:szCs w:val="21"/>
                <w:lang w:val="pt-BR"/>
              </w:rPr>
              <w:t>℃</w:t>
            </w:r>
          </w:p>
        </w:tc>
        <w:tc>
          <w:tcPr>
            <w:tcW w:w="3723" w:type="dxa"/>
            <w:noWrap/>
            <w:vAlign w:val="center"/>
          </w:tcPr>
          <w:p w14:paraId="0EE897F5">
            <w:pPr>
              <w:jc w:val="center"/>
              <w:rPr>
                <w:color w:val="000000"/>
                <w:szCs w:val="21"/>
                <w:lang w:val="pt-BR"/>
              </w:rPr>
            </w:pPr>
            <w:r>
              <w:rPr>
                <w:rFonts w:hint="eastAsia"/>
                <w:color w:val="000000"/>
                <w:szCs w:val="21"/>
                <w:lang w:val="pt-BR"/>
              </w:rPr>
              <w:t>其他边界条件</w:t>
            </w:r>
          </w:p>
        </w:tc>
      </w:tr>
      <w:tr w14:paraId="3232D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41" w:type="dxa"/>
            <w:noWrap/>
            <w:vAlign w:val="center"/>
          </w:tcPr>
          <w:p w14:paraId="6838A239">
            <w:pPr>
              <w:jc w:val="center"/>
              <w:rPr>
                <w:color w:val="000000"/>
                <w:szCs w:val="21"/>
                <w:lang w:val="pt-BR"/>
              </w:rPr>
            </w:pPr>
            <w:r>
              <w:rPr>
                <w:color w:val="000000"/>
                <w:szCs w:val="21"/>
                <w:lang w:val="pt-BR"/>
              </w:rPr>
              <w:t>1</w:t>
            </w:r>
          </w:p>
        </w:tc>
        <w:tc>
          <w:tcPr>
            <w:tcW w:w="1948" w:type="dxa"/>
            <w:noWrap/>
            <w:vAlign w:val="center"/>
          </w:tcPr>
          <w:p w14:paraId="5FB44EA7">
            <w:pPr>
              <w:jc w:val="center"/>
              <w:rPr>
                <w:color w:val="000000"/>
                <w:szCs w:val="21"/>
                <w:lang w:val="pt-BR"/>
              </w:rPr>
            </w:pPr>
            <w:r>
              <w:rPr>
                <w:rFonts w:hint="eastAsia"/>
                <w:color w:val="000000"/>
                <w:szCs w:val="21"/>
                <w:lang w:val="pt-BR"/>
              </w:rPr>
              <w:t>滩涂段掩埋保护</w:t>
            </w:r>
          </w:p>
        </w:tc>
        <w:tc>
          <w:tcPr>
            <w:tcW w:w="708" w:type="dxa"/>
            <w:vAlign w:val="center"/>
          </w:tcPr>
          <w:p w14:paraId="233A56BA">
            <w:pPr>
              <w:jc w:val="center"/>
              <w:rPr>
                <w:color w:val="000000"/>
                <w:szCs w:val="21"/>
                <w:lang w:val="pt-BR"/>
              </w:rPr>
            </w:pPr>
            <w:r>
              <w:rPr>
                <w:color w:val="000000"/>
                <w:szCs w:val="21"/>
                <w:lang w:val="pt-BR"/>
              </w:rPr>
              <w:t>2.0</w:t>
            </w:r>
          </w:p>
        </w:tc>
        <w:tc>
          <w:tcPr>
            <w:tcW w:w="993" w:type="dxa"/>
            <w:noWrap/>
            <w:vAlign w:val="center"/>
          </w:tcPr>
          <w:p w14:paraId="101DF34B">
            <w:pPr>
              <w:jc w:val="center"/>
              <w:rPr>
                <w:color w:val="000000"/>
                <w:szCs w:val="21"/>
                <w:lang w:val="pt-BR"/>
              </w:rPr>
            </w:pPr>
            <w:r>
              <w:rPr>
                <w:rFonts w:hint="eastAsia"/>
                <w:color w:val="000000"/>
                <w:szCs w:val="21"/>
                <w:lang w:val="pt-BR"/>
              </w:rPr>
              <w:t>0</w:t>
            </w:r>
            <w:r>
              <w:rPr>
                <w:color w:val="000000"/>
                <w:szCs w:val="21"/>
                <w:lang w:val="pt-BR"/>
              </w:rPr>
              <w:t>.7</w:t>
            </w:r>
          </w:p>
        </w:tc>
        <w:tc>
          <w:tcPr>
            <w:tcW w:w="1134" w:type="dxa"/>
            <w:vAlign w:val="center"/>
          </w:tcPr>
          <w:p w14:paraId="680B2FED">
            <w:pPr>
              <w:jc w:val="center"/>
              <w:rPr>
                <w:color w:val="000000"/>
                <w:szCs w:val="21"/>
                <w:lang w:val="pt-BR"/>
              </w:rPr>
            </w:pPr>
            <w:r>
              <w:rPr>
                <w:color w:val="000000"/>
                <w:szCs w:val="21"/>
                <w:lang w:val="pt-BR"/>
              </w:rPr>
              <w:t>25</w:t>
            </w:r>
          </w:p>
        </w:tc>
        <w:tc>
          <w:tcPr>
            <w:tcW w:w="3723" w:type="dxa"/>
            <w:noWrap/>
            <w:vAlign w:val="center"/>
          </w:tcPr>
          <w:p w14:paraId="103A9355">
            <w:pPr>
              <w:jc w:val="left"/>
              <w:rPr>
                <w:color w:val="000000"/>
                <w:szCs w:val="21"/>
                <w:lang w:val="pt-BR"/>
              </w:rPr>
            </w:pPr>
            <w:r>
              <w:rPr>
                <w:rFonts w:hint="eastAsia"/>
                <w:color w:val="000000"/>
                <w:szCs w:val="21"/>
                <w:lang w:val="pt-BR"/>
              </w:rPr>
              <w:t>徐闻侧长滩涂段</w:t>
            </w:r>
          </w:p>
        </w:tc>
      </w:tr>
      <w:tr w14:paraId="7416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41" w:type="dxa"/>
            <w:noWrap/>
            <w:vAlign w:val="center"/>
          </w:tcPr>
          <w:p w14:paraId="64684520">
            <w:pPr>
              <w:jc w:val="center"/>
              <w:rPr>
                <w:color w:val="000000"/>
                <w:szCs w:val="21"/>
                <w:lang w:val="pt-BR"/>
              </w:rPr>
            </w:pPr>
            <w:r>
              <w:rPr>
                <w:rFonts w:hint="eastAsia"/>
                <w:color w:val="000000"/>
                <w:szCs w:val="21"/>
                <w:lang w:val="pt-BR"/>
              </w:rPr>
              <w:t>2</w:t>
            </w:r>
          </w:p>
        </w:tc>
        <w:tc>
          <w:tcPr>
            <w:tcW w:w="1948" w:type="dxa"/>
            <w:noWrap/>
            <w:vAlign w:val="center"/>
          </w:tcPr>
          <w:p w14:paraId="0F30BD5C">
            <w:pPr>
              <w:jc w:val="center"/>
              <w:rPr>
                <w:color w:val="000000"/>
                <w:szCs w:val="21"/>
                <w:lang w:val="pt-BR"/>
              </w:rPr>
            </w:pPr>
            <w:r>
              <w:rPr>
                <w:rFonts w:hint="eastAsia"/>
                <w:color w:val="000000"/>
                <w:szCs w:val="21"/>
                <w:lang w:val="pt-BR"/>
              </w:rPr>
              <w:t>海中段埋设保护</w:t>
            </w:r>
          </w:p>
        </w:tc>
        <w:tc>
          <w:tcPr>
            <w:tcW w:w="708" w:type="dxa"/>
            <w:vAlign w:val="center"/>
          </w:tcPr>
          <w:p w14:paraId="5BDD3901">
            <w:pPr>
              <w:jc w:val="center"/>
              <w:rPr>
                <w:color w:val="000000"/>
                <w:szCs w:val="21"/>
                <w:lang w:val="pt-BR"/>
              </w:rPr>
            </w:pPr>
            <w:r>
              <w:rPr>
                <w:color w:val="000000"/>
                <w:szCs w:val="21"/>
                <w:lang w:val="pt-BR"/>
              </w:rPr>
              <w:t>4.0</w:t>
            </w:r>
          </w:p>
        </w:tc>
        <w:tc>
          <w:tcPr>
            <w:tcW w:w="993" w:type="dxa"/>
            <w:noWrap/>
            <w:vAlign w:val="center"/>
          </w:tcPr>
          <w:p w14:paraId="50E0B93F">
            <w:pPr>
              <w:jc w:val="center"/>
              <w:rPr>
                <w:color w:val="000000"/>
                <w:szCs w:val="21"/>
                <w:lang w:val="pt-BR"/>
              </w:rPr>
            </w:pPr>
            <w:r>
              <w:rPr>
                <w:rFonts w:hint="eastAsia"/>
                <w:color w:val="000000"/>
                <w:szCs w:val="21"/>
                <w:lang w:val="pt-BR"/>
              </w:rPr>
              <w:t>0</w:t>
            </w:r>
            <w:r>
              <w:rPr>
                <w:color w:val="000000"/>
                <w:szCs w:val="21"/>
                <w:lang w:val="pt-BR"/>
              </w:rPr>
              <w:t>.7</w:t>
            </w:r>
          </w:p>
        </w:tc>
        <w:tc>
          <w:tcPr>
            <w:tcW w:w="1134" w:type="dxa"/>
            <w:vAlign w:val="center"/>
          </w:tcPr>
          <w:p w14:paraId="582F9694">
            <w:pPr>
              <w:jc w:val="center"/>
              <w:rPr>
                <w:color w:val="000000"/>
                <w:szCs w:val="21"/>
                <w:lang w:val="pt-BR"/>
              </w:rPr>
            </w:pPr>
            <w:r>
              <w:rPr>
                <w:color w:val="000000"/>
                <w:szCs w:val="21"/>
                <w:lang w:val="pt-BR"/>
              </w:rPr>
              <w:t>25</w:t>
            </w:r>
          </w:p>
        </w:tc>
        <w:tc>
          <w:tcPr>
            <w:tcW w:w="3723" w:type="dxa"/>
            <w:noWrap/>
            <w:vAlign w:val="center"/>
          </w:tcPr>
          <w:p w14:paraId="34B08CCC">
            <w:pPr>
              <w:jc w:val="left"/>
              <w:rPr>
                <w:color w:val="000000"/>
                <w:szCs w:val="21"/>
                <w:lang w:val="pt-BR"/>
              </w:rPr>
            </w:pPr>
            <w:r>
              <w:rPr>
                <w:rFonts w:hint="eastAsia"/>
                <w:color w:val="000000"/>
                <w:szCs w:val="21"/>
                <w:lang w:val="pt-BR"/>
              </w:rPr>
              <w:t>涵盖海中所有具备埋设深度的区段</w:t>
            </w:r>
          </w:p>
        </w:tc>
      </w:tr>
      <w:tr w14:paraId="24E90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41" w:type="dxa"/>
            <w:noWrap/>
            <w:vAlign w:val="center"/>
          </w:tcPr>
          <w:p w14:paraId="171D9814">
            <w:pPr>
              <w:jc w:val="center"/>
              <w:rPr>
                <w:color w:val="000000"/>
                <w:szCs w:val="21"/>
                <w:lang w:val="pt-BR"/>
              </w:rPr>
            </w:pPr>
            <w:r>
              <w:rPr>
                <w:color w:val="000000"/>
                <w:szCs w:val="21"/>
                <w:lang w:val="pt-BR"/>
              </w:rPr>
              <w:t>3</w:t>
            </w:r>
          </w:p>
        </w:tc>
        <w:tc>
          <w:tcPr>
            <w:tcW w:w="1948" w:type="dxa"/>
            <w:noWrap/>
            <w:vAlign w:val="center"/>
          </w:tcPr>
          <w:p w14:paraId="6560032B">
            <w:pPr>
              <w:jc w:val="center"/>
              <w:rPr>
                <w:color w:val="000000"/>
                <w:szCs w:val="21"/>
                <w:lang w:val="pt-BR"/>
              </w:rPr>
            </w:pPr>
            <w:r>
              <w:rPr>
                <w:rFonts w:hint="eastAsia"/>
                <w:color w:val="000000"/>
                <w:szCs w:val="21"/>
                <w:lang w:val="pt-BR"/>
              </w:rPr>
              <w:t>定向钻浅埋段</w:t>
            </w:r>
          </w:p>
        </w:tc>
        <w:tc>
          <w:tcPr>
            <w:tcW w:w="708" w:type="dxa"/>
            <w:vAlign w:val="center"/>
          </w:tcPr>
          <w:p w14:paraId="2F666289">
            <w:pPr>
              <w:jc w:val="center"/>
              <w:rPr>
                <w:color w:val="000000"/>
                <w:szCs w:val="21"/>
                <w:lang w:val="pt-BR"/>
              </w:rPr>
            </w:pPr>
            <w:r>
              <w:rPr>
                <w:color w:val="000000"/>
                <w:szCs w:val="21"/>
                <w:lang w:val="pt-BR"/>
              </w:rPr>
              <w:t>2.0</w:t>
            </w:r>
          </w:p>
        </w:tc>
        <w:tc>
          <w:tcPr>
            <w:tcW w:w="993" w:type="dxa"/>
            <w:noWrap/>
            <w:vAlign w:val="center"/>
          </w:tcPr>
          <w:p w14:paraId="05DEFA6A">
            <w:pPr>
              <w:jc w:val="center"/>
              <w:rPr>
                <w:color w:val="000000"/>
                <w:szCs w:val="21"/>
                <w:lang w:val="pt-BR"/>
              </w:rPr>
            </w:pPr>
            <w:r>
              <w:rPr>
                <w:color w:val="000000"/>
                <w:szCs w:val="21"/>
                <w:lang w:val="pt-BR"/>
              </w:rPr>
              <w:t>1.0</w:t>
            </w:r>
          </w:p>
        </w:tc>
        <w:tc>
          <w:tcPr>
            <w:tcW w:w="1134" w:type="dxa"/>
            <w:vAlign w:val="center"/>
          </w:tcPr>
          <w:p w14:paraId="56396369">
            <w:pPr>
              <w:jc w:val="center"/>
              <w:rPr>
                <w:color w:val="000000"/>
                <w:szCs w:val="21"/>
                <w:lang w:val="pt-BR"/>
              </w:rPr>
            </w:pPr>
            <w:r>
              <w:rPr>
                <w:color w:val="000000"/>
                <w:szCs w:val="21"/>
                <w:lang w:val="pt-BR"/>
              </w:rPr>
              <w:t>29</w:t>
            </w:r>
          </w:p>
        </w:tc>
        <w:tc>
          <w:tcPr>
            <w:tcW w:w="3723" w:type="dxa"/>
            <w:noWrap/>
            <w:vAlign w:val="center"/>
          </w:tcPr>
          <w:p w14:paraId="72A7A81B">
            <w:pPr>
              <w:jc w:val="left"/>
              <w:rPr>
                <w:color w:val="000000"/>
                <w:szCs w:val="21"/>
                <w:lang w:val="pt-BR"/>
              </w:rPr>
            </w:pPr>
            <w:r>
              <w:rPr>
                <w:rFonts w:hint="eastAsia"/>
                <w:color w:val="000000"/>
                <w:szCs w:val="21"/>
                <w:lang w:val="pt-BR"/>
              </w:rPr>
              <w:t>管径暂按630mm、壁厚1</w:t>
            </w:r>
            <w:r>
              <w:rPr>
                <w:rFonts w:hint="eastAsia"/>
                <w:color w:val="000000"/>
                <w:szCs w:val="21"/>
              </w:rPr>
              <w:t>2</w:t>
            </w:r>
            <w:r>
              <w:rPr>
                <w:rFonts w:hint="eastAsia"/>
                <w:color w:val="000000"/>
                <w:szCs w:val="21"/>
                <w:lang w:val="pt-BR"/>
              </w:rPr>
              <w:t>mm；两根海缆间距7m</w:t>
            </w:r>
          </w:p>
        </w:tc>
      </w:tr>
      <w:tr w14:paraId="63580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41" w:type="dxa"/>
            <w:noWrap/>
            <w:vAlign w:val="center"/>
          </w:tcPr>
          <w:p w14:paraId="1A0E0728">
            <w:pPr>
              <w:jc w:val="center"/>
              <w:rPr>
                <w:color w:val="000000"/>
                <w:szCs w:val="21"/>
                <w:lang w:val="pt-BR"/>
              </w:rPr>
            </w:pPr>
            <w:r>
              <w:rPr>
                <w:color w:val="000000"/>
                <w:szCs w:val="21"/>
                <w:lang w:val="pt-BR"/>
              </w:rPr>
              <w:t>4</w:t>
            </w:r>
          </w:p>
        </w:tc>
        <w:tc>
          <w:tcPr>
            <w:tcW w:w="1948" w:type="dxa"/>
            <w:noWrap/>
            <w:vAlign w:val="center"/>
          </w:tcPr>
          <w:p w14:paraId="273545ED">
            <w:pPr>
              <w:jc w:val="center"/>
              <w:rPr>
                <w:color w:val="000000"/>
                <w:szCs w:val="21"/>
                <w:lang w:val="pt-BR"/>
              </w:rPr>
            </w:pPr>
            <w:r>
              <w:rPr>
                <w:rFonts w:hint="eastAsia"/>
                <w:color w:val="000000"/>
                <w:szCs w:val="21"/>
                <w:lang w:val="pt-BR"/>
              </w:rPr>
              <w:t>定向钻深埋段</w:t>
            </w:r>
          </w:p>
        </w:tc>
        <w:tc>
          <w:tcPr>
            <w:tcW w:w="708" w:type="dxa"/>
            <w:vAlign w:val="center"/>
          </w:tcPr>
          <w:p w14:paraId="41C85802">
            <w:pPr>
              <w:jc w:val="center"/>
              <w:rPr>
                <w:color w:val="000000"/>
                <w:szCs w:val="21"/>
                <w:lang w:val="pt-BR"/>
              </w:rPr>
            </w:pPr>
            <w:r>
              <w:rPr>
                <w:rFonts w:hint="eastAsia"/>
                <w:color w:val="000000"/>
                <w:szCs w:val="21"/>
                <w:lang w:val="pt-BR"/>
              </w:rPr>
              <w:t>2</w:t>
            </w:r>
            <w:r>
              <w:rPr>
                <w:color w:val="000000"/>
                <w:szCs w:val="21"/>
                <w:lang w:val="pt-BR"/>
              </w:rPr>
              <w:t>5.0</w:t>
            </w:r>
          </w:p>
        </w:tc>
        <w:tc>
          <w:tcPr>
            <w:tcW w:w="993" w:type="dxa"/>
            <w:noWrap/>
            <w:vAlign w:val="center"/>
          </w:tcPr>
          <w:p w14:paraId="3DE5266F">
            <w:pPr>
              <w:jc w:val="center"/>
              <w:rPr>
                <w:color w:val="000000"/>
                <w:szCs w:val="21"/>
                <w:lang w:val="pt-BR"/>
              </w:rPr>
            </w:pPr>
            <w:r>
              <w:rPr>
                <w:rFonts w:hint="eastAsia"/>
                <w:color w:val="000000"/>
                <w:szCs w:val="21"/>
                <w:lang w:val="pt-BR"/>
              </w:rPr>
              <w:t>0</w:t>
            </w:r>
            <w:r>
              <w:rPr>
                <w:color w:val="000000"/>
                <w:szCs w:val="21"/>
                <w:lang w:val="pt-BR"/>
              </w:rPr>
              <w:t>.7</w:t>
            </w:r>
          </w:p>
        </w:tc>
        <w:tc>
          <w:tcPr>
            <w:tcW w:w="1134" w:type="dxa"/>
            <w:vAlign w:val="center"/>
          </w:tcPr>
          <w:p w14:paraId="1B0044C5">
            <w:pPr>
              <w:jc w:val="center"/>
              <w:rPr>
                <w:color w:val="000000"/>
                <w:szCs w:val="21"/>
                <w:lang w:val="pt-BR"/>
              </w:rPr>
            </w:pPr>
            <w:r>
              <w:rPr>
                <w:rFonts w:hint="eastAsia"/>
                <w:color w:val="000000"/>
                <w:szCs w:val="21"/>
                <w:lang w:val="pt-BR"/>
              </w:rPr>
              <w:t>2</w:t>
            </w:r>
            <w:r>
              <w:rPr>
                <w:color w:val="000000"/>
                <w:szCs w:val="21"/>
                <w:lang w:val="pt-BR"/>
              </w:rPr>
              <w:t>5</w:t>
            </w:r>
          </w:p>
        </w:tc>
        <w:tc>
          <w:tcPr>
            <w:tcW w:w="3723" w:type="dxa"/>
            <w:noWrap/>
            <w:vAlign w:val="center"/>
          </w:tcPr>
          <w:p w14:paraId="745B083D">
            <w:pPr>
              <w:jc w:val="left"/>
              <w:rPr>
                <w:color w:val="000000"/>
                <w:szCs w:val="21"/>
                <w:lang w:val="pt-BR"/>
              </w:rPr>
            </w:pPr>
            <w:r>
              <w:rPr>
                <w:color w:val="000000"/>
                <w:szCs w:val="21"/>
                <w:lang w:val="pt-BR"/>
              </w:rPr>
              <w:t>管径暂按630mm、壁厚14mm</w:t>
            </w:r>
          </w:p>
        </w:tc>
      </w:tr>
      <w:tr w14:paraId="17DF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41" w:type="dxa"/>
            <w:noWrap/>
            <w:vAlign w:val="center"/>
          </w:tcPr>
          <w:p w14:paraId="4246EFE5">
            <w:pPr>
              <w:jc w:val="center"/>
              <w:rPr>
                <w:color w:val="000000"/>
                <w:szCs w:val="21"/>
                <w:lang w:val="pt-BR"/>
              </w:rPr>
            </w:pPr>
            <w:r>
              <w:rPr>
                <w:color w:val="000000"/>
                <w:szCs w:val="21"/>
                <w:lang w:val="pt-BR"/>
              </w:rPr>
              <w:t>5</w:t>
            </w:r>
          </w:p>
        </w:tc>
        <w:tc>
          <w:tcPr>
            <w:tcW w:w="1948" w:type="dxa"/>
            <w:noWrap/>
            <w:vAlign w:val="center"/>
          </w:tcPr>
          <w:p w14:paraId="366E0E4A">
            <w:pPr>
              <w:jc w:val="center"/>
              <w:rPr>
                <w:color w:val="000000"/>
                <w:szCs w:val="21"/>
                <w:lang w:val="pt-BR"/>
              </w:rPr>
            </w:pPr>
            <w:r>
              <w:rPr>
                <w:color w:val="000000"/>
                <w:szCs w:val="21"/>
                <w:lang w:val="pt-BR"/>
              </w:rPr>
              <w:t>陆上电缆沟</w:t>
            </w:r>
          </w:p>
        </w:tc>
        <w:tc>
          <w:tcPr>
            <w:tcW w:w="708" w:type="dxa"/>
            <w:vAlign w:val="center"/>
          </w:tcPr>
          <w:p w14:paraId="37270E84">
            <w:pPr>
              <w:jc w:val="center"/>
              <w:rPr>
                <w:color w:val="000000"/>
                <w:szCs w:val="21"/>
                <w:lang w:val="pt-BR"/>
              </w:rPr>
            </w:pPr>
            <w:r>
              <w:rPr>
                <w:rFonts w:hint="eastAsia"/>
                <w:color w:val="000000"/>
                <w:szCs w:val="21"/>
                <w:lang w:val="pt-BR"/>
              </w:rPr>
              <w:t>0</w:t>
            </w:r>
          </w:p>
        </w:tc>
        <w:tc>
          <w:tcPr>
            <w:tcW w:w="993" w:type="dxa"/>
            <w:noWrap/>
            <w:vAlign w:val="center"/>
          </w:tcPr>
          <w:p w14:paraId="7064AB6D">
            <w:pPr>
              <w:jc w:val="center"/>
              <w:rPr>
                <w:color w:val="000000"/>
                <w:szCs w:val="21"/>
                <w:lang w:val="pt-BR"/>
              </w:rPr>
            </w:pPr>
            <w:r>
              <w:rPr>
                <w:rFonts w:hint="eastAsia"/>
                <w:color w:val="000000"/>
                <w:szCs w:val="21"/>
                <w:lang w:val="pt-BR"/>
              </w:rPr>
              <w:t>1</w:t>
            </w:r>
            <w:r>
              <w:rPr>
                <w:color w:val="000000"/>
                <w:szCs w:val="21"/>
                <w:lang w:val="pt-BR"/>
              </w:rPr>
              <w:t>.0</w:t>
            </w:r>
          </w:p>
        </w:tc>
        <w:tc>
          <w:tcPr>
            <w:tcW w:w="1134" w:type="dxa"/>
            <w:vAlign w:val="center"/>
          </w:tcPr>
          <w:p w14:paraId="61116DC1">
            <w:pPr>
              <w:jc w:val="center"/>
              <w:rPr>
                <w:color w:val="000000"/>
                <w:szCs w:val="21"/>
                <w:lang w:val="pt-BR"/>
              </w:rPr>
            </w:pPr>
            <w:r>
              <w:rPr>
                <w:rFonts w:hint="eastAsia"/>
                <w:color w:val="000000"/>
                <w:szCs w:val="21"/>
                <w:lang w:val="pt-BR"/>
              </w:rPr>
              <w:t>3</w:t>
            </w:r>
            <w:r>
              <w:rPr>
                <w:color w:val="000000"/>
                <w:szCs w:val="21"/>
                <w:lang w:val="pt-BR"/>
              </w:rPr>
              <w:t>0</w:t>
            </w:r>
          </w:p>
        </w:tc>
        <w:tc>
          <w:tcPr>
            <w:tcW w:w="3723" w:type="dxa"/>
            <w:noWrap/>
            <w:vAlign w:val="center"/>
          </w:tcPr>
          <w:p w14:paraId="74AC7A60">
            <w:pPr>
              <w:jc w:val="left"/>
              <w:rPr>
                <w:color w:val="000000"/>
                <w:szCs w:val="21"/>
                <w:lang w:val="pt-BR"/>
              </w:rPr>
            </w:pPr>
            <w:r>
              <w:rPr>
                <w:color w:val="000000"/>
                <w:szCs w:val="21"/>
                <w:lang w:val="pt-BR"/>
              </w:rPr>
              <w:t>陆上电缆沟考虑空气中敷设，最高气温取39℃，盖板露面存在对热换流。</w:t>
            </w:r>
          </w:p>
        </w:tc>
      </w:tr>
    </w:tbl>
    <w:p w14:paraId="77FCA26E">
      <w:pPr>
        <w:pStyle w:val="288"/>
        <w:ind w:firstLine="422"/>
        <w:rPr>
          <w:b/>
        </w:rPr>
      </w:pPr>
      <w:r>
        <w:rPr>
          <w:rFonts w:hint="eastAsia"/>
          <w:b/>
        </w:rPr>
        <w:t>除以上稳态载流量输送要求之外，还应满足多种负荷工况下的</w:t>
      </w:r>
      <w:r>
        <w:rPr>
          <w:b/>
        </w:rPr>
        <w:t>1</w:t>
      </w:r>
      <w:r>
        <w:rPr>
          <w:rFonts w:hint="eastAsia"/>
          <w:b/>
        </w:rPr>
        <w:t>小时过负荷要求，在过负荷工况下，海缆导体温度不应超过9</w:t>
      </w:r>
      <w:r>
        <w:rPr>
          <w:b/>
        </w:rPr>
        <w:t>0</w:t>
      </w:r>
      <w:r>
        <w:rPr>
          <w:rFonts w:hint="eastAsia"/>
          <w:b/>
        </w:rPr>
        <w:t>℃，要求指标如下：</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65"/>
        <w:gridCol w:w="2265"/>
      </w:tblGrid>
      <w:tr w14:paraId="36CA1A89">
        <w:tblPrEx>
          <w:tblCellMar>
            <w:top w:w="0" w:type="dxa"/>
            <w:left w:w="108" w:type="dxa"/>
            <w:bottom w:w="0" w:type="dxa"/>
            <w:right w:w="108" w:type="dxa"/>
          </w:tblCellMar>
        </w:tblPrEx>
        <w:trPr>
          <w:jc w:val="center"/>
        </w:trPr>
        <w:tc>
          <w:tcPr>
            <w:tcW w:w="2265" w:type="dxa"/>
          </w:tcPr>
          <w:p w14:paraId="31F06094">
            <w:pPr>
              <w:jc w:val="center"/>
              <w:rPr>
                <w:color w:val="000000"/>
                <w:lang w:val="pt-BR"/>
              </w:rPr>
            </w:pPr>
          </w:p>
        </w:tc>
        <w:tc>
          <w:tcPr>
            <w:tcW w:w="2265" w:type="dxa"/>
          </w:tcPr>
          <w:p w14:paraId="6DB5E91A">
            <w:pPr>
              <w:jc w:val="center"/>
              <w:rPr>
                <w:color w:val="000000"/>
                <w:lang w:val="pt-BR"/>
              </w:rPr>
            </w:pPr>
            <w:r>
              <w:rPr>
                <w:rFonts w:hint="eastAsia"/>
                <w:color w:val="000000"/>
                <w:szCs w:val="21"/>
                <w:lang w:val="pt-BR"/>
              </w:rPr>
              <w:t>过负荷前输送容量</w:t>
            </w:r>
            <w:r>
              <w:rPr>
                <w:color w:val="000000"/>
                <w:szCs w:val="21"/>
                <w:lang w:val="pt-BR"/>
              </w:rPr>
              <w:t>300MW</w:t>
            </w:r>
          </w:p>
        </w:tc>
        <w:tc>
          <w:tcPr>
            <w:tcW w:w="2265" w:type="dxa"/>
          </w:tcPr>
          <w:p w14:paraId="76BC7464">
            <w:pPr>
              <w:jc w:val="center"/>
              <w:rPr>
                <w:color w:val="000000"/>
                <w:lang w:val="pt-BR"/>
              </w:rPr>
            </w:pPr>
            <w:r>
              <w:rPr>
                <w:rFonts w:hint="eastAsia"/>
                <w:color w:val="000000"/>
                <w:szCs w:val="21"/>
                <w:lang w:val="pt-BR"/>
              </w:rPr>
              <w:t>过负荷前输送容量</w:t>
            </w:r>
            <w:r>
              <w:rPr>
                <w:color w:val="000000"/>
                <w:szCs w:val="21"/>
                <w:lang w:val="pt-BR"/>
              </w:rPr>
              <w:t>450MW</w:t>
            </w:r>
          </w:p>
        </w:tc>
      </w:tr>
      <w:tr w14:paraId="3478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5" w:type="dxa"/>
          </w:tcPr>
          <w:p w14:paraId="0268DD81">
            <w:pPr>
              <w:jc w:val="center"/>
              <w:rPr>
                <w:color w:val="000000"/>
                <w:lang w:val="pt-BR"/>
              </w:rPr>
            </w:pPr>
            <w:r>
              <w:rPr>
                <w:rFonts w:hint="eastAsia"/>
                <w:color w:val="000000"/>
                <w:szCs w:val="21"/>
                <w:lang w:val="pt-BR"/>
              </w:rPr>
              <w:t>一小时过负荷能力</w:t>
            </w:r>
          </w:p>
        </w:tc>
        <w:tc>
          <w:tcPr>
            <w:tcW w:w="2265" w:type="dxa"/>
          </w:tcPr>
          <w:p w14:paraId="0C064847">
            <w:pPr>
              <w:jc w:val="center"/>
              <w:rPr>
                <w:color w:val="000000"/>
                <w:lang w:val="pt-BR"/>
              </w:rPr>
            </w:pPr>
            <w:r>
              <w:rPr>
                <w:color w:val="000000"/>
                <w:szCs w:val="21"/>
                <w:lang w:val="pt-BR"/>
              </w:rPr>
              <w:t>2400A</w:t>
            </w:r>
          </w:p>
        </w:tc>
        <w:tc>
          <w:tcPr>
            <w:tcW w:w="2265" w:type="dxa"/>
          </w:tcPr>
          <w:p w14:paraId="680F77ED">
            <w:pPr>
              <w:jc w:val="center"/>
              <w:rPr>
                <w:color w:val="000000"/>
                <w:lang w:val="pt-BR"/>
              </w:rPr>
            </w:pPr>
            <w:r>
              <w:rPr>
                <w:color w:val="000000"/>
                <w:szCs w:val="21"/>
                <w:lang w:val="pt-BR"/>
              </w:rPr>
              <w:t>1900A</w:t>
            </w:r>
          </w:p>
        </w:tc>
      </w:tr>
    </w:tbl>
    <w:p w14:paraId="14EDFE0D">
      <w:pPr>
        <w:pStyle w:val="288"/>
        <w:ind w:firstLine="0" w:firstLineChars="0"/>
        <w:rPr>
          <w:b/>
        </w:rPr>
      </w:pPr>
      <w:r>
        <w:rPr>
          <w:b/>
        </w:rPr>
        <w:tab/>
      </w:r>
      <w:r>
        <w:rPr>
          <w:rFonts w:hint="eastAsia"/>
          <w:b/>
        </w:rPr>
        <w:t>投标方应提供上述各敷设条件下各工况完整的海缆载流量计算书。</w:t>
      </w:r>
    </w:p>
    <w:p w14:paraId="09380753">
      <w:pPr>
        <w:pStyle w:val="288"/>
        <w:ind w:firstLine="422"/>
        <w:rPr>
          <w:b/>
          <w:szCs w:val="24"/>
        </w:rPr>
      </w:pPr>
      <w:r>
        <w:rPr>
          <w:rFonts w:hint="eastAsia"/>
          <w:b/>
        </w:rPr>
        <w:t>投标方应基于上述各敷设条件中瓶颈段载流量工况提供短时过负荷能力的计算书（过负荷情况下</w:t>
      </w:r>
      <w:r>
        <w:rPr>
          <w:b/>
        </w:rPr>
        <w:t xml:space="preserve"> </w:t>
      </w:r>
      <w:r>
        <w:rPr>
          <w:rFonts w:hint="eastAsia"/>
          <w:b/>
        </w:rPr>
        <w:t>电流</w:t>
      </w:r>
      <w:r>
        <w:rPr>
          <w:b/>
        </w:rPr>
        <w:t>-</w:t>
      </w:r>
      <w:r>
        <w:rPr>
          <w:rFonts w:hint="eastAsia"/>
          <w:b/>
        </w:rPr>
        <w:t>时间</w:t>
      </w:r>
      <w:r>
        <w:rPr>
          <w:b/>
        </w:rPr>
        <w:t xml:space="preserve"> </w:t>
      </w:r>
      <w:r>
        <w:rPr>
          <w:rFonts w:hint="eastAsia"/>
          <w:b/>
        </w:rPr>
        <w:t>曲线图），并确认一小时过负荷能力能满足指标要求。</w:t>
      </w:r>
      <w:r>
        <w:rPr>
          <w:rFonts w:hint="eastAsia"/>
          <w:b/>
          <w:szCs w:val="24"/>
        </w:rPr>
        <w:t>除一小时过负荷能力计算书应提供外，投标方还应提供</w:t>
      </w:r>
      <w:r>
        <w:rPr>
          <w:rFonts w:hint="eastAsia"/>
          <w:b/>
        </w:rPr>
        <w:t>最低载流量工况</w:t>
      </w:r>
      <w:r>
        <w:rPr>
          <w:rFonts w:hint="eastAsia"/>
          <w:b/>
          <w:szCs w:val="24"/>
        </w:rPr>
        <w:t>条件下，百分之5</w:t>
      </w:r>
      <w:r>
        <w:rPr>
          <w:b/>
          <w:szCs w:val="24"/>
        </w:rPr>
        <w:t>0</w:t>
      </w:r>
      <w:r>
        <w:rPr>
          <w:rFonts w:hint="eastAsia"/>
          <w:b/>
          <w:szCs w:val="24"/>
        </w:rPr>
        <w:t>及百分之7</w:t>
      </w:r>
      <w:r>
        <w:rPr>
          <w:b/>
          <w:szCs w:val="24"/>
        </w:rPr>
        <w:t>5</w:t>
      </w:r>
      <w:r>
        <w:rPr>
          <w:rFonts w:hint="eastAsia"/>
          <w:b/>
          <w:szCs w:val="24"/>
        </w:rPr>
        <w:t>负载下的半小时，二小时与八小时海缆过负荷能力的计算书。</w:t>
      </w:r>
    </w:p>
    <w:p w14:paraId="457DC362">
      <w:pPr>
        <w:pStyle w:val="288"/>
        <w:ind w:firstLine="422"/>
        <w:rPr>
          <w:b/>
          <w:szCs w:val="24"/>
        </w:rPr>
      </w:pPr>
      <w:r>
        <w:rPr>
          <w:rFonts w:hint="eastAsia"/>
          <w:b/>
          <w:szCs w:val="24"/>
        </w:rPr>
        <w:t>投标方应提交海缆相关机械力学计算书，需包含海缆允许最大牵引力、海中段海缆敷设拉力、定向钻中海缆敷设拉力（定向钻纵断面设计见附件1与附件2）、海缆最大允许侧压力以及打捞状况下拉力等工况的完整力学计算书。</w:t>
      </w:r>
    </w:p>
    <w:p w14:paraId="04BD6457">
      <w:pPr>
        <w:pStyle w:val="288"/>
        <w:ind w:firstLine="422"/>
        <w:rPr>
          <w:b/>
          <w:szCs w:val="24"/>
        </w:rPr>
      </w:pPr>
      <w:r>
        <w:rPr>
          <w:rFonts w:hint="eastAsia"/>
          <w:b/>
          <w:szCs w:val="24"/>
        </w:rPr>
        <w:t>投标方应依据本工程项目情况，理论最大可能潮流底层流速 2m/s的前提下，提供海缆最大允许悬跨长度指标。</w:t>
      </w:r>
    </w:p>
    <w:p w14:paraId="70BF19FF">
      <w:pPr>
        <w:adjustRightInd w:val="0"/>
        <w:snapToGrid w:val="0"/>
        <w:spacing w:line="480" w:lineRule="atLeast"/>
        <w:ind w:firstLine="480" w:firstLineChars="200"/>
        <w:rPr>
          <w:sz w:val="24"/>
        </w:rPr>
      </w:pPr>
    </w:p>
    <w:p w14:paraId="6E5534E9">
      <w:pPr>
        <w:pStyle w:val="286"/>
      </w:pPr>
      <w:bookmarkStart w:id="92" w:name="_Toc162518921"/>
      <w:bookmarkStart w:id="93" w:name="_Toc232443352"/>
      <w:bookmarkStart w:id="94" w:name="_Toc226123945"/>
      <w:r>
        <w:rPr>
          <w:rFonts w:hint="eastAsia"/>
        </w:rPr>
        <w:t>6.</w:t>
      </w:r>
      <w:bookmarkStart w:id="95" w:name="_Toc435713959"/>
      <w:bookmarkStart w:id="96" w:name="_Toc435075390"/>
      <w:bookmarkStart w:id="97" w:name="_Toc435075541"/>
      <w:bookmarkStart w:id="98" w:name="_Toc71945440"/>
      <w:bookmarkStart w:id="99" w:name="_Toc442617821"/>
      <w:bookmarkStart w:id="100" w:name="_Toc432343301"/>
      <w:bookmarkStart w:id="101" w:name="_Toc435621519"/>
      <w:bookmarkStart w:id="102" w:name="_Toc439048733"/>
      <w:bookmarkStart w:id="103" w:name="_Toc435621266"/>
      <w:bookmarkStart w:id="104" w:name="_Toc432385087"/>
      <w:bookmarkStart w:id="105" w:name="_Toc435621723"/>
      <w:bookmarkStart w:id="106" w:name="_Toc72142310"/>
      <w:bookmarkStart w:id="107" w:name="_Toc433871648"/>
      <w:bookmarkStart w:id="108" w:name="_Toc433789176"/>
      <w:bookmarkStart w:id="109" w:name="_Toc69802020"/>
      <w:bookmarkStart w:id="110" w:name="_Toc439049009"/>
      <w:r>
        <w:rPr>
          <w:rFonts w:hint="eastAsia"/>
        </w:rPr>
        <w:t>3 型式与技术性能要求</w:t>
      </w:r>
      <w:bookmarkEnd w:id="92"/>
      <w:bookmarkEnd w:id="93"/>
      <w:bookmarkEnd w:id="94"/>
    </w:p>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55DBB06D">
      <w:pPr>
        <w:pStyle w:val="288"/>
      </w:pPr>
      <w:r>
        <w:rPr>
          <w:rFonts w:hint="eastAsia"/>
        </w:rPr>
        <w:t>三芯海底电力电缆（光纤复合电缆）采用铜导体三芯交联聚乙烯绝缘、分相铅护套、聚乙烯护套、镀锌钢丝铠装（登陆段为或铜丝铠装）、聚丙烯绳外被海底光电复合缆，截面</w:t>
      </w:r>
      <w:r>
        <w:t>3</w:t>
      </w:r>
      <w:r>
        <w:rPr>
          <w:rFonts w:hint="eastAsia"/>
        </w:rPr>
        <w:t>×</w:t>
      </w:r>
      <w:r>
        <w:t>1000mm</w:t>
      </w:r>
      <w:r>
        <w:rPr>
          <w:vertAlign w:val="superscript"/>
        </w:rPr>
        <w:t>2</w:t>
      </w:r>
      <w:r>
        <w:rPr>
          <w:rFonts w:hint="eastAsia"/>
        </w:rPr>
        <w:t>。应具有阻水导体、导体屏蔽层、绝缘层、绝缘屏蔽层、阻水缓冲层、铅套、非金属护层、成缆填充、绕包层、内衬层及复合光缆、铠装及外被层等主要结构层。</w:t>
      </w:r>
    </w:p>
    <w:p w14:paraId="680C2115">
      <w:pPr>
        <w:pStyle w:val="288"/>
        <w:ind w:left="210" w:leftChars="100" w:firstLine="210" w:firstLineChars="100"/>
      </w:pPr>
      <w:r>
        <w:rPr>
          <w:rFonts w:hint="eastAsia"/>
        </w:rPr>
        <w:t>海缆需具备防海水、防腐蚀、防盐碱、防地震等特性，并在该恶劣条件下安全、可靠地工作4</w:t>
      </w:r>
      <w:r>
        <w:t>0</w:t>
      </w:r>
      <w:r>
        <w:rPr>
          <w:rFonts w:hint="eastAsia"/>
        </w:rPr>
        <w:t>年以上。</w:t>
      </w:r>
    </w:p>
    <w:p w14:paraId="345E1A84">
      <w:pPr>
        <w:pStyle w:val="288"/>
      </w:pPr>
    </w:p>
    <w:p w14:paraId="192C0569">
      <w:pPr>
        <w:pStyle w:val="290"/>
      </w:pPr>
      <w:r>
        <w:rPr>
          <w:rFonts w:hint="eastAsia"/>
        </w:rPr>
        <w:t>6.</w:t>
      </w:r>
      <w:r>
        <w:t xml:space="preserve">3.1 </w:t>
      </w:r>
      <w:r>
        <w:rPr>
          <w:rFonts w:hint="eastAsia"/>
        </w:rPr>
        <w:t>海缆系统型式和额定值</w:t>
      </w:r>
    </w:p>
    <w:p w14:paraId="48D83D40">
      <w:pPr>
        <w:pStyle w:val="288"/>
      </w:pPr>
      <w:r>
        <w:rPr>
          <w:rFonts w:hint="eastAsia"/>
        </w:rPr>
        <w:t>1、海缆型式：</w:t>
      </w:r>
      <w:r>
        <w:tab/>
      </w:r>
      <w:r>
        <w:tab/>
      </w:r>
      <w:r>
        <w:tab/>
      </w:r>
      <w:r>
        <w:tab/>
      </w:r>
      <w:r>
        <w:tab/>
      </w:r>
      <w:r>
        <w:rPr>
          <w:rFonts w:hint="eastAsia"/>
        </w:rPr>
        <w:tab/>
      </w:r>
      <w:r>
        <w:rPr>
          <w:rFonts w:hint="eastAsia"/>
        </w:rPr>
        <w:tab/>
      </w:r>
      <w:r>
        <w:rPr>
          <w:rFonts w:hint="eastAsia"/>
        </w:rPr>
        <w:t>三芯、铜导体、交联聚乙烯</w:t>
      </w:r>
      <w:r>
        <w:t xml:space="preserve"> (XLPE)</w:t>
      </w:r>
      <w:r>
        <w:rPr>
          <w:rFonts w:hint="eastAsia"/>
        </w:rPr>
        <w:t>绝缘</w:t>
      </w:r>
    </w:p>
    <w:p w14:paraId="2AB28B41">
      <w:pPr>
        <w:pStyle w:val="288"/>
      </w:pPr>
      <w:r>
        <w:rPr>
          <w:rFonts w:hint="eastAsia"/>
        </w:rPr>
        <w:t>2、额定电压（</w:t>
      </w:r>
      <w:r>
        <w:t>U</w:t>
      </w:r>
      <w:r>
        <w:rPr>
          <w:vertAlign w:val="subscript"/>
        </w:rPr>
        <w:t>0</w:t>
      </w:r>
      <w:r>
        <w:t>/U</w:t>
      </w:r>
      <w:r>
        <w:rPr>
          <w:rFonts w:hint="eastAsia"/>
        </w:rPr>
        <w:t>）：</w:t>
      </w:r>
      <w:r>
        <w:tab/>
      </w:r>
      <w:r>
        <w:tab/>
      </w:r>
      <w:r>
        <w:rPr>
          <w:rFonts w:hint="eastAsia"/>
        </w:rPr>
        <w:tab/>
      </w:r>
      <w:r>
        <w:rPr>
          <w:rFonts w:hint="eastAsia"/>
        </w:rPr>
        <w:tab/>
      </w:r>
      <w:r>
        <w:t xml:space="preserve">290/ </w:t>
      </w:r>
      <w:r>
        <w:rPr>
          <w:rFonts w:hint="eastAsia"/>
        </w:rPr>
        <w:t>500kV</w:t>
      </w:r>
    </w:p>
    <w:p w14:paraId="1E950FA3">
      <w:pPr>
        <w:pStyle w:val="288"/>
      </w:pPr>
      <w:r>
        <w:rPr>
          <w:rFonts w:hint="eastAsia"/>
        </w:rPr>
        <w:t>3、最高工作电压（</w:t>
      </w:r>
      <w:r>
        <w:t>Um</w:t>
      </w:r>
      <w:r>
        <w:rPr>
          <w:rFonts w:hint="eastAsia"/>
        </w:rPr>
        <w:t>）：</w:t>
      </w:r>
      <w:r>
        <w:rPr>
          <w:rFonts w:hint="eastAsia"/>
        </w:rPr>
        <w:tab/>
      </w:r>
      <w:r>
        <w:tab/>
      </w:r>
      <w:r>
        <w:rPr>
          <w:rFonts w:hint="eastAsia"/>
        </w:rPr>
        <w:tab/>
      </w:r>
      <w:r>
        <w:t xml:space="preserve">    550kV</w:t>
      </w:r>
    </w:p>
    <w:p w14:paraId="57859D94">
      <w:pPr>
        <w:pStyle w:val="288"/>
      </w:pPr>
      <w:r>
        <w:rPr>
          <w:rFonts w:hint="eastAsia"/>
        </w:rPr>
        <w:t>4、额定频率：</w:t>
      </w:r>
      <w:r>
        <w:tab/>
      </w:r>
      <w:r>
        <w:tab/>
      </w:r>
      <w:r>
        <w:tab/>
      </w:r>
      <w:r>
        <w:tab/>
      </w:r>
      <w:r>
        <w:rPr>
          <w:rFonts w:hint="eastAsia"/>
        </w:rPr>
        <w:tab/>
      </w:r>
      <w:r>
        <w:rPr>
          <w:rFonts w:hint="eastAsia"/>
        </w:rPr>
        <w:tab/>
      </w:r>
      <w:r>
        <w:t>50Hz</w:t>
      </w:r>
    </w:p>
    <w:p w14:paraId="3BFB2DE7">
      <w:pPr>
        <w:pStyle w:val="288"/>
      </w:pPr>
      <w:r>
        <w:rPr>
          <w:rFonts w:hint="eastAsia"/>
        </w:rPr>
        <w:t>5、导体截面：</w:t>
      </w:r>
      <w:r>
        <w:rPr>
          <w:rFonts w:hint="eastAsia"/>
        </w:rPr>
        <w:tab/>
      </w:r>
      <w:r>
        <w:rPr>
          <w:rFonts w:hint="eastAsia"/>
        </w:rPr>
        <w:tab/>
      </w:r>
      <w:r>
        <w:rPr>
          <w:rFonts w:hint="eastAsia"/>
        </w:rPr>
        <w:tab/>
      </w:r>
      <w:r>
        <w:rPr>
          <w:rFonts w:hint="eastAsia"/>
        </w:rPr>
        <w:tab/>
      </w:r>
      <w:r>
        <w:rPr>
          <w:rFonts w:hint="eastAsia"/>
        </w:rPr>
        <w:tab/>
      </w:r>
      <w:r>
        <w:rPr>
          <w:rFonts w:hint="eastAsia"/>
        </w:rPr>
        <w:tab/>
      </w:r>
      <w:r>
        <w:t>3</w:t>
      </w:r>
      <w:r>
        <w:rPr>
          <w:rFonts w:hint="eastAsia"/>
        </w:rPr>
        <w:t>×</w:t>
      </w:r>
      <w:r>
        <w:t>1000mm</w:t>
      </w:r>
      <w:r>
        <w:rPr>
          <w:vertAlign w:val="superscript"/>
        </w:rPr>
        <w:t>2</w:t>
      </w:r>
    </w:p>
    <w:p w14:paraId="2E1CC96A">
      <w:pPr>
        <w:pStyle w:val="288"/>
      </w:pPr>
      <w:r>
        <w:rPr>
          <w:rFonts w:hint="eastAsia"/>
        </w:rPr>
        <w:t>6、输送容量：</w:t>
      </w:r>
      <w:r>
        <w:tab/>
      </w:r>
      <w:r>
        <w:tab/>
      </w:r>
      <w:r>
        <w:tab/>
      </w:r>
      <w:r>
        <w:tab/>
      </w:r>
      <w:r>
        <w:rPr>
          <w:rFonts w:hint="eastAsia"/>
        </w:rPr>
        <w:tab/>
      </w:r>
      <w:r>
        <w:rPr>
          <w:rFonts w:hint="eastAsia"/>
        </w:rPr>
        <w:tab/>
      </w:r>
      <w:r>
        <w:rPr>
          <w:u w:val="single"/>
        </w:rPr>
        <w:t>600</w:t>
      </w:r>
      <w:r>
        <w:rPr>
          <w:rFonts w:hint="eastAsia"/>
          <w:u w:val="single"/>
        </w:rPr>
        <w:t>MW、0</w:t>
      </w:r>
      <w:r>
        <w:rPr>
          <w:u w:val="single"/>
        </w:rPr>
        <w:t>.98</w:t>
      </w:r>
      <w:r>
        <w:rPr>
          <w:rFonts w:hint="eastAsia"/>
          <w:u w:val="single"/>
        </w:rPr>
        <w:t>功率因数</w:t>
      </w:r>
    </w:p>
    <w:p w14:paraId="2167C0D3">
      <w:pPr>
        <w:pStyle w:val="288"/>
      </w:pPr>
      <w:r>
        <w:rPr>
          <w:rFonts w:hint="eastAsia"/>
        </w:rPr>
        <w:t>7、额定电流：</w:t>
      </w:r>
      <w:r>
        <w:tab/>
      </w:r>
      <w:r>
        <w:t xml:space="preserve"> </w:t>
      </w:r>
      <w:r>
        <w:tab/>
      </w:r>
      <w:r>
        <w:tab/>
      </w:r>
      <w:r>
        <w:tab/>
      </w:r>
      <w:r>
        <w:rPr>
          <w:rFonts w:hint="eastAsia"/>
        </w:rPr>
        <w:tab/>
      </w:r>
      <w:r>
        <w:rPr>
          <w:rFonts w:hint="eastAsia"/>
        </w:rPr>
        <w:tab/>
      </w:r>
      <w:r>
        <w:rPr>
          <w:rFonts w:hint="eastAsia"/>
          <w:u w:val="single"/>
        </w:rPr>
        <w:t>7</w:t>
      </w:r>
      <w:r>
        <w:rPr>
          <w:u w:val="single"/>
        </w:rPr>
        <w:t>30</w:t>
      </w:r>
      <w:r>
        <w:rPr>
          <w:rFonts w:hint="eastAsia"/>
          <w:u w:val="single"/>
        </w:rPr>
        <w:t>A</w:t>
      </w:r>
    </w:p>
    <w:p w14:paraId="245D25E9">
      <w:pPr>
        <w:pStyle w:val="288"/>
      </w:pPr>
      <w:r>
        <w:rPr>
          <w:rFonts w:hint="eastAsia"/>
        </w:rPr>
        <w:t>8、三相短路电流：</w:t>
      </w:r>
      <w:r>
        <w:rPr>
          <w:rFonts w:hint="eastAsia"/>
        </w:rPr>
        <w:tab/>
      </w:r>
      <w:r>
        <w:rPr>
          <w:rFonts w:hint="eastAsia"/>
        </w:rPr>
        <w:tab/>
      </w:r>
      <w:r>
        <w:rPr>
          <w:rFonts w:hint="eastAsia"/>
        </w:rPr>
        <w:tab/>
      </w:r>
      <w:r>
        <w:t xml:space="preserve">        63kA</w:t>
      </w:r>
      <w:r>
        <w:rPr>
          <w:rFonts w:hint="eastAsia"/>
        </w:rPr>
        <w:t>（有效值）</w:t>
      </w:r>
    </w:p>
    <w:p w14:paraId="24842B85">
      <w:pPr>
        <w:pStyle w:val="288"/>
      </w:pPr>
      <w:r>
        <w:tab/>
      </w:r>
      <w:r>
        <w:rPr>
          <w:rFonts w:hint="eastAsia"/>
        </w:rPr>
        <w:t xml:space="preserve">短时耐受电流持续时间： </w:t>
      </w:r>
      <w:r>
        <w:t xml:space="preserve">        </w:t>
      </w:r>
      <w:r>
        <w:rPr>
          <w:rFonts w:hint="eastAsia"/>
        </w:rPr>
        <w:tab/>
      </w:r>
      <w:r>
        <w:rPr>
          <w:rFonts w:hint="eastAsia"/>
        </w:rPr>
        <w:t>5</w:t>
      </w:r>
      <w:r>
        <w:t>s</w:t>
      </w:r>
    </w:p>
    <w:p w14:paraId="7D8658EA">
      <w:pPr>
        <w:pStyle w:val="288"/>
      </w:pPr>
      <w:r>
        <w:t>9</w:t>
      </w:r>
      <w:r>
        <w:rPr>
          <w:rFonts w:hint="eastAsia"/>
        </w:rPr>
        <w:t>、额定雷电冲击耐受电压（</w:t>
      </w:r>
      <w:r>
        <w:t>U</w:t>
      </w:r>
      <w:r>
        <w:rPr>
          <w:vertAlign w:val="subscript"/>
        </w:rPr>
        <w:t>P1</w:t>
      </w:r>
      <w:r>
        <w:rPr>
          <w:rFonts w:hint="eastAsia"/>
        </w:rPr>
        <w:t>）：</w:t>
      </w:r>
      <w:r>
        <w:t xml:space="preserve">     1550kV</w:t>
      </w:r>
    </w:p>
    <w:p w14:paraId="260E13C7">
      <w:pPr>
        <w:pStyle w:val="290"/>
      </w:pPr>
      <w:r>
        <w:rPr>
          <w:rFonts w:hint="eastAsia"/>
        </w:rPr>
        <w:t>6.</w:t>
      </w:r>
      <w:r>
        <w:t xml:space="preserve">3.2 </w:t>
      </w:r>
      <w:r>
        <w:rPr>
          <w:rFonts w:hint="eastAsia"/>
        </w:rPr>
        <w:t>运行温度</w:t>
      </w:r>
    </w:p>
    <w:p w14:paraId="05197C0F">
      <w:pPr>
        <w:pStyle w:val="288"/>
      </w:pPr>
      <w:r>
        <w:rPr>
          <w:rFonts w:hint="eastAsia"/>
        </w:rPr>
        <w:t>在各种运行工况下运行时，电缆导体的温度限值不应超过下表规定：</w:t>
      </w:r>
    </w:p>
    <w:p w14:paraId="3DB8F8DB">
      <w:pPr>
        <w:pStyle w:val="288"/>
        <w:jc w:val="center"/>
        <w:rPr>
          <w:sz w:val="24"/>
          <w:szCs w:val="24"/>
        </w:rPr>
      </w:pPr>
      <w:r>
        <w:rPr>
          <w:rFonts w:hint="eastAsia"/>
        </w:rPr>
        <w:t>表6</w:t>
      </w:r>
      <w:r>
        <w:t xml:space="preserve">.3-1  </w:t>
      </w:r>
      <w:r>
        <w:rPr>
          <w:rFonts w:hint="eastAsia"/>
        </w:rPr>
        <w:t>电缆导体温度限值</w:t>
      </w:r>
    </w:p>
    <w:tbl>
      <w:tblPr>
        <w:tblStyle w:val="85"/>
        <w:tblW w:w="82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491"/>
        <w:gridCol w:w="2709"/>
      </w:tblGrid>
      <w:tr w14:paraId="4024F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491" w:type="dxa"/>
          </w:tcPr>
          <w:p w14:paraId="7C2FC63E">
            <w:pPr>
              <w:adjustRightInd w:val="0"/>
              <w:snapToGrid w:val="0"/>
              <w:spacing w:line="480" w:lineRule="atLeast"/>
              <w:jc w:val="center"/>
            </w:pPr>
            <w:r>
              <w:rPr>
                <w:rFonts w:hint="eastAsia"/>
              </w:rPr>
              <w:t>工况</w:t>
            </w:r>
          </w:p>
        </w:tc>
        <w:tc>
          <w:tcPr>
            <w:tcW w:w="2709" w:type="dxa"/>
          </w:tcPr>
          <w:p w14:paraId="4FD52CD0">
            <w:pPr>
              <w:adjustRightInd w:val="0"/>
              <w:snapToGrid w:val="0"/>
              <w:spacing w:line="480" w:lineRule="atLeast"/>
              <w:jc w:val="center"/>
            </w:pPr>
            <w:r>
              <w:t>XLPE</w:t>
            </w:r>
            <w:r>
              <w:rPr>
                <w:rFonts w:hint="eastAsia"/>
              </w:rPr>
              <w:t>绝缘电缆</w:t>
            </w:r>
          </w:p>
        </w:tc>
      </w:tr>
      <w:tr w14:paraId="5D94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491" w:type="dxa"/>
          </w:tcPr>
          <w:p w14:paraId="6629A44C">
            <w:pPr>
              <w:adjustRightInd w:val="0"/>
              <w:snapToGrid w:val="0"/>
              <w:spacing w:line="480" w:lineRule="atLeast"/>
              <w:jc w:val="center"/>
            </w:pPr>
            <w:r>
              <w:rPr>
                <w:rFonts w:hint="eastAsia"/>
              </w:rPr>
              <w:t>额定电流时长期最高允许温度（℃）</w:t>
            </w:r>
          </w:p>
        </w:tc>
        <w:tc>
          <w:tcPr>
            <w:tcW w:w="2709" w:type="dxa"/>
          </w:tcPr>
          <w:p w14:paraId="6690D6FE">
            <w:pPr>
              <w:adjustRightInd w:val="0"/>
              <w:snapToGrid w:val="0"/>
              <w:spacing w:line="480" w:lineRule="atLeast"/>
              <w:jc w:val="center"/>
            </w:pPr>
            <w:r>
              <w:t>90</w:t>
            </w:r>
          </w:p>
        </w:tc>
      </w:tr>
      <w:tr w14:paraId="3B32D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491" w:type="dxa"/>
          </w:tcPr>
          <w:p w14:paraId="2C528314">
            <w:pPr>
              <w:adjustRightInd w:val="0"/>
              <w:snapToGrid w:val="0"/>
              <w:spacing w:line="480" w:lineRule="atLeast"/>
              <w:jc w:val="center"/>
            </w:pPr>
            <w:r>
              <w:rPr>
                <w:rFonts w:hint="eastAsia"/>
              </w:rPr>
              <w:t>短路时最高允许温度（℃，持续时间</w:t>
            </w:r>
            <w:r>
              <w:t>5s</w:t>
            </w:r>
            <w:r>
              <w:rPr>
                <w:rFonts w:hint="eastAsia"/>
              </w:rPr>
              <w:t>）</w:t>
            </w:r>
          </w:p>
        </w:tc>
        <w:tc>
          <w:tcPr>
            <w:tcW w:w="2709" w:type="dxa"/>
          </w:tcPr>
          <w:p w14:paraId="747B59D9">
            <w:pPr>
              <w:adjustRightInd w:val="0"/>
              <w:snapToGrid w:val="0"/>
              <w:spacing w:line="480" w:lineRule="atLeast"/>
              <w:jc w:val="center"/>
            </w:pPr>
            <w:r>
              <w:t>250</w:t>
            </w:r>
          </w:p>
        </w:tc>
      </w:tr>
    </w:tbl>
    <w:p w14:paraId="27F7A79F">
      <w:pPr>
        <w:pStyle w:val="288"/>
      </w:pPr>
    </w:p>
    <w:p w14:paraId="62E657C6">
      <w:pPr>
        <w:pStyle w:val="288"/>
      </w:pPr>
      <w:r>
        <w:rPr>
          <w:rFonts w:hint="eastAsia"/>
        </w:rPr>
        <w:t>投标方应提供电缆温度－最大电流关系曲线。</w:t>
      </w:r>
    </w:p>
    <w:p w14:paraId="39C23F0A">
      <w:pPr>
        <w:pStyle w:val="290"/>
      </w:pPr>
      <w:r>
        <w:rPr>
          <w:rFonts w:hint="eastAsia"/>
        </w:rPr>
        <w:t>6.3.3损耗</w:t>
      </w:r>
    </w:p>
    <w:p w14:paraId="6BF942FD">
      <w:pPr>
        <w:pStyle w:val="288"/>
      </w:pPr>
      <w:r>
        <w:rPr>
          <w:rFonts w:hint="eastAsia"/>
        </w:rPr>
        <w:t>损耗计算应符合</w:t>
      </w:r>
      <w:r>
        <w:t>IEC60287</w:t>
      </w:r>
      <w:r>
        <w:rPr>
          <w:rFonts w:hint="eastAsia"/>
        </w:rPr>
        <w:t>的规定。在额定电压和额定持续电流时的三相回路电缆总损耗不应超过</w:t>
      </w:r>
      <w:r>
        <w:rPr>
          <w:u w:val="single"/>
        </w:rPr>
        <w:t>1</w:t>
      </w:r>
      <w:r>
        <w:rPr>
          <w:rFonts w:hint="eastAsia"/>
          <w:u w:val="single"/>
        </w:rPr>
        <w:t>1</w:t>
      </w:r>
      <w:r>
        <w:rPr>
          <w:u w:val="single"/>
        </w:rPr>
        <w:t xml:space="preserve">0 </w:t>
      </w:r>
      <w:r>
        <w:t>kW/km</w:t>
      </w:r>
      <w:r>
        <w:rPr>
          <w:rFonts w:hint="eastAsia"/>
        </w:rPr>
        <w:t>。投标方需提供详细的各项损耗数据。</w:t>
      </w:r>
    </w:p>
    <w:p w14:paraId="548BD460">
      <w:pPr>
        <w:pStyle w:val="290"/>
      </w:pPr>
      <w:r>
        <w:rPr>
          <w:rFonts w:hint="eastAsia"/>
        </w:rPr>
        <w:t>6.</w:t>
      </w:r>
      <w:r>
        <w:t>3.4</w:t>
      </w:r>
      <w:r>
        <w:rPr>
          <w:rFonts w:hint="eastAsia"/>
        </w:rPr>
        <w:t>介质损耗因数</w:t>
      </w:r>
      <w:r>
        <w:t>(tg</w:t>
      </w:r>
      <w:r>
        <w:rPr>
          <w:rFonts w:hint="eastAsia"/>
        </w:rPr>
        <w:t>δ</w:t>
      </w:r>
      <w:r>
        <w:t>)</w:t>
      </w:r>
    </w:p>
    <w:p w14:paraId="135F5972">
      <w:pPr>
        <w:pStyle w:val="288"/>
      </w:pPr>
      <w:r>
        <w:t>根据</w:t>
      </w:r>
      <w:r>
        <w:rPr>
          <w:rFonts w:hint="eastAsia"/>
        </w:rPr>
        <w:t>国标41629.1中</w:t>
      </w:r>
      <w:r>
        <w:t>规定的试验条件，电缆介质损耗tg</w:t>
      </w:r>
      <w:r>
        <w:rPr>
          <w:rFonts w:hint="eastAsia"/>
        </w:rPr>
        <w:t>δ</w:t>
      </w:r>
      <w:r>
        <w:t>值不应超过下列规定：</w:t>
      </w:r>
    </w:p>
    <w:p w14:paraId="4BF71379">
      <w:pPr>
        <w:pStyle w:val="288"/>
      </w:pPr>
      <w:r>
        <w:t>XLPE</w:t>
      </w:r>
      <w:r>
        <w:rPr>
          <w:rFonts w:hint="eastAsia"/>
        </w:rPr>
        <w:t>绝缘电缆</w:t>
      </w:r>
      <w:r>
        <w:tab/>
      </w:r>
      <w:r>
        <w:tab/>
      </w:r>
      <w:r>
        <w:rPr>
          <w:rFonts w:hint="eastAsia"/>
        </w:rPr>
        <w:t>8</w:t>
      </w:r>
      <w:r>
        <w:t>×10</w:t>
      </w:r>
      <w:r>
        <w:rPr>
          <w:vertAlign w:val="superscript"/>
        </w:rPr>
        <w:t>-4</w:t>
      </w:r>
    </w:p>
    <w:p w14:paraId="60B2F779">
      <w:pPr>
        <w:pStyle w:val="290"/>
      </w:pPr>
      <w:r>
        <w:rPr>
          <w:rFonts w:hint="eastAsia"/>
        </w:rPr>
        <w:t>6.3.5局部放电水平</w:t>
      </w:r>
    </w:p>
    <w:p w14:paraId="4CCCDA16">
      <w:pPr>
        <w:pStyle w:val="288"/>
        <w:rPr>
          <w:sz w:val="24"/>
          <w:szCs w:val="24"/>
        </w:rPr>
      </w:pPr>
      <w:r>
        <w:rPr>
          <w:rFonts w:hint="eastAsia"/>
        </w:rPr>
        <w:t>局部放电试验按</w:t>
      </w:r>
      <w:r>
        <w:t>GB/T 41629.1</w:t>
      </w:r>
      <w:r>
        <w:rPr>
          <w:rFonts w:hint="eastAsia"/>
        </w:rPr>
        <w:t>或GB/T3048.12规定进行，局部放电试验测试系统灵敏度应优于5</w:t>
      </w:r>
      <w:r>
        <w:t>pC</w:t>
      </w:r>
      <w:r>
        <w:rPr>
          <w:rFonts w:hint="eastAsia"/>
        </w:rPr>
        <w:t>。试验时，电压升到</w:t>
      </w:r>
      <w:r>
        <w:t>1.75U</w:t>
      </w:r>
      <w:r>
        <w:rPr>
          <w:vertAlign w:val="subscript"/>
        </w:rPr>
        <w:t>0</w:t>
      </w:r>
      <w:r>
        <w:rPr>
          <w:rFonts w:hint="eastAsia"/>
        </w:rPr>
        <w:t>后保持</w:t>
      </w:r>
      <w:r>
        <w:t>10s</w:t>
      </w:r>
      <w:r>
        <w:rPr>
          <w:rFonts w:hint="eastAsia"/>
        </w:rPr>
        <w:t>，然后缓慢地降到</w:t>
      </w:r>
      <w:r>
        <w:t>1.5U</w:t>
      </w:r>
      <w:r>
        <w:rPr>
          <w:vertAlign w:val="subscript"/>
        </w:rPr>
        <w:t>0</w:t>
      </w:r>
      <w:r>
        <w:rPr>
          <w:rFonts w:hint="eastAsia"/>
        </w:rPr>
        <w:t>，在</w:t>
      </w:r>
      <w:r>
        <w:t>1.5U</w:t>
      </w:r>
      <w:r>
        <w:rPr>
          <w:vertAlign w:val="subscript"/>
        </w:rPr>
        <w:t>0</w:t>
      </w:r>
      <w:r>
        <w:rPr>
          <w:rFonts w:hint="eastAsia"/>
        </w:rPr>
        <w:t>电压下电缆应无可检测出的放电。</w:t>
      </w:r>
    </w:p>
    <w:p w14:paraId="69D764DE">
      <w:pPr>
        <w:pStyle w:val="286"/>
      </w:pPr>
      <w:bookmarkStart w:id="111" w:name="_Toc162518922"/>
      <w:bookmarkStart w:id="112" w:name="_Toc226123946"/>
      <w:bookmarkStart w:id="113" w:name="_Toc232443353"/>
      <w:r>
        <w:rPr>
          <w:rFonts w:hint="eastAsia"/>
        </w:rPr>
        <w:t>6.4 电缆结构及材料</w:t>
      </w:r>
      <w:bookmarkEnd w:id="111"/>
      <w:bookmarkEnd w:id="112"/>
      <w:bookmarkEnd w:id="113"/>
    </w:p>
    <w:p w14:paraId="0745818D">
      <w:pPr>
        <w:pStyle w:val="288"/>
      </w:pPr>
      <w:r>
        <w:rPr>
          <w:rFonts w:hint="eastAsia"/>
        </w:rPr>
        <w:t>电缆的结构设计和材料的选用必须满足本规范书的要求，确保电缆运行安全可靠，有良好的电气和机械性能，便于安装和维护。交联工艺必须是全封闭干式交联，内、外半导电层与绝缘层必须采用三层共挤。海缆大致结构如下图所示。</w:t>
      </w:r>
    </w:p>
    <w:p w14:paraId="1087BD17">
      <w:pPr>
        <w:pStyle w:val="288"/>
        <w:ind w:firstLine="0" w:firstLineChars="0"/>
        <w:jc w:val="center"/>
      </w:pP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INCLUDEPICTURE  "F:\\WXWork\\1688854406624167\\Cache\\Image\\2025-03\\电缆.jpg" \* MERGEFORMATINET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"C:\\Users\\g8509.GEDI\\Cache\\Image\\2025-03\\电缆.jpg"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"C:\\Users\\g8703\\Cache\\Image\\2025-03\\电缆.jpg"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"C:\\Users\\g1820.GEDI\\Cache\\Image\\2025-03\\电缆.jpg"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"F:\\WXWork\\1688854406624167\\Cache\\Image\\2025-03\\电缆.jpg"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"C:\\Users\\g8703\\Desktop\\海南联网三期\\Image\\2025-03\\电缆.jpg"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"E:\\【项目相关】\\【海南工程】\\海南联网第三期\\Image\\2025-03\\电缆.jpg"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fldChar w:fldCharType="begin"/>
      </w:r>
      <w:r>
        <w:instrText xml:space="preserve"> </w:instrText>
      </w:r>
      <w:r>
        <w:rPr>
          <w:rFonts w:hint="eastAsia"/>
        </w:rPr>
        <w:instrText xml:space="preserve">INCLUDEPICTURE  "D:\\WXwork\\WXWork\\1688854406624167\\Cache\\Image\\2025-03\\电缆.jpg" \* MERGEFORMATINET</w:instrText>
      </w:r>
      <w:r>
        <w:instrText xml:space="preserve"> </w:instrText>
      </w:r>
      <w:r>
        <w:fldChar w:fldCharType="separate"/>
      </w:r>
      <w:r>
        <w:pict>
          <v:shape id="_x0000_i1028" o:spt="75" type="#_x0000_t75" style="height:275.75pt;width:440.85pt;" filled="f" o:preferrelative="t" stroked="f" coordsize="21600,21600">
            <v:path/>
            <v:fill on="f" focussize="0,0"/>
            <v:stroke on="f" joinstyle="miter"/>
            <v:imagedata r:id="rId18" r:href="rId19" o:title=""/>
            <o:lock v:ext="edit" aspectratio="t"/>
            <w10:wrap type="none"/>
            <w10:anchorlock/>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426DDE0B">
      <w:pPr>
        <w:pStyle w:val="288"/>
        <w:jc w:val="center"/>
      </w:pPr>
      <w:r>
        <w:rPr>
          <w:rFonts w:hint="eastAsia"/>
        </w:rPr>
        <w:t>图6.4-1：海缆结构示意图（图中钢丝铠装层在近岸段应更改为铜丝铠装层）</w:t>
      </w:r>
    </w:p>
    <w:p w14:paraId="0BEC18CD">
      <w:pPr>
        <w:pStyle w:val="290"/>
      </w:pPr>
      <w:r>
        <w:rPr>
          <w:rFonts w:hint="eastAsia"/>
        </w:rPr>
        <w:t>6</w:t>
      </w:r>
      <w:r>
        <w:t>.4.1</w:t>
      </w:r>
      <w:r>
        <w:rPr>
          <w:rFonts w:hint="eastAsia"/>
        </w:rPr>
        <w:t>导体</w:t>
      </w:r>
    </w:p>
    <w:p w14:paraId="7B802AEA">
      <w:pPr>
        <w:pStyle w:val="288"/>
      </w:pPr>
      <w:r>
        <w:rPr>
          <w:rFonts w:hint="eastAsia"/>
        </w:rPr>
        <w:t>6</w:t>
      </w:r>
      <w:r>
        <w:t>.4.1.1</w:t>
      </w:r>
      <w:r>
        <w:rPr>
          <w:rFonts w:hint="eastAsia"/>
        </w:rPr>
        <w:t>导体截面</w:t>
      </w:r>
    </w:p>
    <w:p w14:paraId="7EFB46EB">
      <w:pPr>
        <w:pStyle w:val="288"/>
      </w:pPr>
      <w:r>
        <w:rPr>
          <w:rFonts w:hint="eastAsia"/>
        </w:rPr>
        <w:t>本工程海底电缆导体截面为1</w:t>
      </w:r>
      <w:r>
        <w:t>000</w:t>
      </w:r>
      <w:r>
        <w:rPr>
          <w:rFonts w:hint="eastAsia"/>
        </w:rPr>
        <w:t>mm</w:t>
      </w:r>
      <w:r>
        <w:rPr>
          <w:vertAlign w:val="superscript"/>
        </w:rPr>
        <w:t>2</w:t>
      </w:r>
      <w:r>
        <w:rPr>
          <w:rFonts w:hint="eastAsia"/>
        </w:rPr>
        <w:t>。</w:t>
      </w:r>
    </w:p>
    <w:p w14:paraId="08DCA594">
      <w:pPr>
        <w:pStyle w:val="288"/>
      </w:pPr>
      <w:r>
        <w:rPr>
          <w:rFonts w:hint="eastAsia"/>
        </w:rPr>
        <w:t>应满足本技术规范规定的使用条件和敷设环境条件下电缆线路载流量和额定短时耐受的要求，在各种运行工况下，其温度不超过规定的限值。</w:t>
      </w:r>
    </w:p>
    <w:p w14:paraId="13C8CA27">
      <w:pPr>
        <w:pStyle w:val="288"/>
      </w:pPr>
      <w:r>
        <w:rPr>
          <w:rFonts w:hint="eastAsia"/>
        </w:rPr>
        <w:t>电缆线路载流量和允许的额定短时耐受电流的计算应符合JB</w:t>
      </w:r>
      <w:r>
        <w:t>/T 10181</w:t>
      </w:r>
      <w:r>
        <w:rPr>
          <w:rFonts w:hint="eastAsia"/>
        </w:rPr>
        <w:t>、</w:t>
      </w:r>
      <w:r>
        <w:t>IEC60287</w:t>
      </w:r>
      <w:r>
        <w:rPr>
          <w:rFonts w:hint="eastAsia"/>
        </w:rPr>
        <w:t>、IEC</w:t>
      </w:r>
      <w:r>
        <w:t>60853</w:t>
      </w:r>
      <w:r>
        <w:rPr>
          <w:rFonts w:hint="eastAsia"/>
        </w:rPr>
        <w:t>和</w:t>
      </w:r>
      <w:r>
        <w:t>IEC60949</w:t>
      </w:r>
      <w:r>
        <w:rPr>
          <w:rFonts w:hint="eastAsia"/>
        </w:rPr>
        <w:t>规定的要求。投标方应提交计算报告给招标方审查。</w:t>
      </w:r>
    </w:p>
    <w:p w14:paraId="18FFF42A">
      <w:pPr>
        <w:pStyle w:val="288"/>
      </w:pPr>
      <w:r>
        <w:rPr>
          <w:rFonts w:hint="eastAsia"/>
        </w:rPr>
        <w:t>6</w:t>
      </w:r>
      <w:r>
        <w:t>.4.1.2</w:t>
      </w:r>
      <w:r>
        <w:rPr>
          <w:rFonts w:hint="eastAsia"/>
        </w:rPr>
        <w:t>导体材料</w:t>
      </w:r>
    </w:p>
    <w:p w14:paraId="2E46B95D">
      <w:pPr>
        <w:pStyle w:val="288"/>
      </w:pPr>
      <w:r>
        <w:rPr>
          <w:rFonts w:hint="eastAsia"/>
        </w:rPr>
        <w:t>导体应符合</w:t>
      </w:r>
      <w:r>
        <w:t xml:space="preserve"> GB/T 3956 </w:t>
      </w:r>
      <w:r>
        <w:rPr>
          <w:rFonts w:hint="eastAsia"/>
        </w:rPr>
        <w:t>和</w:t>
      </w:r>
      <w:r>
        <w:t>GB/T 41629</w:t>
      </w:r>
      <w:r>
        <w:rPr>
          <w:rFonts w:hint="eastAsia"/>
        </w:rPr>
        <w:t>的规定，必须采用无氧圆铜线，纯度应不小于</w:t>
      </w:r>
      <w:r>
        <w:t>99.95%</w:t>
      </w:r>
      <w:r>
        <w:rPr>
          <w:rFonts w:hint="eastAsia"/>
        </w:rPr>
        <w:t>。导体直流电阻应符合</w:t>
      </w:r>
      <w:r>
        <w:t>GB/T</w:t>
      </w:r>
      <w:r>
        <w:rPr>
          <w:rFonts w:hint="eastAsia"/>
        </w:rPr>
        <w:t xml:space="preserve"> </w:t>
      </w:r>
      <w:r>
        <w:t>3956</w:t>
      </w:r>
      <w:r>
        <w:rPr>
          <w:rFonts w:hint="eastAsia"/>
        </w:rPr>
        <w:t>规定，在20℃时不大于</w:t>
      </w:r>
      <w:r>
        <w:rPr>
          <w:rFonts w:hint="eastAsia" w:asciiTheme="minorEastAsia" w:hAnsiTheme="minorEastAsia" w:eastAsiaTheme="minorEastAsia"/>
          <w:kern w:val="0"/>
          <w:sz w:val="22"/>
          <w:szCs w:val="22"/>
        </w:rPr>
        <w:t>0.0</w:t>
      </w:r>
      <w:r>
        <w:rPr>
          <w:rFonts w:asciiTheme="minorEastAsia" w:hAnsiTheme="minorEastAsia" w:eastAsiaTheme="minorEastAsia"/>
          <w:kern w:val="0"/>
          <w:sz w:val="22"/>
          <w:szCs w:val="22"/>
        </w:rPr>
        <w:t>176</w:t>
      </w:r>
      <w:r>
        <w:rPr>
          <w:rFonts w:hint="eastAsia" w:asciiTheme="minorEastAsia" w:hAnsiTheme="minorEastAsia" w:eastAsiaTheme="minorEastAsia"/>
          <w:kern w:val="0"/>
          <w:sz w:val="22"/>
          <w:szCs w:val="22"/>
        </w:rPr>
        <w:t>Ω/km</w:t>
      </w:r>
      <w:r>
        <w:rPr>
          <w:rFonts w:hint="eastAsia"/>
        </w:rPr>
        <w:t>。</w:t>
      </w:r>
    </w:p>
    <w:p w14:paraId="6A41F0E9">
      <w:pPr>
        <w:pStyle w:val="288"/>
      </w:pPr>
      <w:r>
        <w:rPr>
          <w:rFonts w:hint="eastAsia"/>
        </w:rPr>
        <w:t>6</w:t>
      </w:r>
      <w:r>
        <w:t>.4.1.3</w:t>
      </w:r>
      <w:r>
        <w:rPr>
          <w:rFonts w:hint="eastAsia"/>
        </w:rPr>
        <w:t>导体结构</w:t>
      </w:r>
    </w:p>
    <w:p w14:paraId="7EC40976">
      <w:pPr>
        <w:pStyle w:val="288"/>
      </w:pPr>
      <w:r>
        <w:t>导体采用绞合圆形紧压线芯，</w:t>
      </w:r>
      <w:r>
        <w:rPr>
          <w:rFonts w:hint="eastAsia"/>
        </w:rPr>
        <w:t>紧压系数不小于</w:t>
      </w:r>
      <w:r>
        <w:t>0.9</w:t>
      </w:r>
      <w:r>
        <w:rPr>
          <w:rFonts w:hint="eastAsia"/>
        </w:rPr>
        <w:t>。导体表面应光洁、无裂纹、无油污、无损伤屏蔽及绝缘的毛刺、锐边，以及凸起或断裂的单线。铜单线性能应符合</w:t>
      </w:r>
      <w:r>
        <w:t>GB/T 3953</w:t>
      </w:r>
      <w:r>
        <w:rPr>
          <w:rFonts w:hint="eastAsia"/>
        </w:rPr>
        <w:t>的规定。</w:t>
      </w:r>
    </w:p>
    <w:p w14:paraId="41ABE682">
      <w:pPr>
        <w:pStyle w:val="288"/>
      </w:pPr>
      <w:r>
        <w:rPr>
          <w:rFonts w:hint="eastAsia"/>
        </w:rPr>
        <w:t>制造</w:t>
      </w:r>
      <w:r>
        <w:t>长度上的海缆导体不允许</w:t>
      </w:r>
      <w:r>
        <w:rPr>
          <w:rFonts w:hint="eastAsia"/>
        </w:rPr>
        <w:t>有</w:t>
      </w:r>
      <w:r>
        <w:t>整芯</w:t>
      </w:r>
      <w:r>
        <w:rPr>
          <w:rFonts w:hint="eastAsia"/>
        </w:rPr>
        <w:t>或</w:t>
      </w:r>
      <w:r>
        <w:t>整股焊接。绞合导体中的单线允许焊接，但在同一层内，相邻两个接头之间的距离应不小于300 mm。</w:t>
      </w:r>
    </w:p>
    <w:p w14:paraId="7AB6DFC4">
      <w:pPr>
        <w:pStyle w:val="288"/>
      </w:pPr>
      <w:r>
        <w:rPr>
          <w:rFonts w:hint="eastAsia"/>
        </w:rPr>
        <w:t>6</w:t>
      </w:r>
      <w:r>
        <w:t>.4.1.4</w:t>
      </w:r>
      <w:r>
        <w:rPr>
          <w:rFonts w:hint="eastAsia"/>
        </w:rPr>
        <w:t>导体机械性能</w:t>
      </w:r>
    </w:p>
    <w:p w14:paraId="54B35A89">
      <w:pPr>
        <w:pStyle w:val="288"/>
      </w:pPr>
      <w:r>
        <w:rPr>
          <w:rFonts w:hint="eastAsia"/>
        </w:rPr>
        <w:t>绞合前导线的</w:t>
      </w:r>
      <w:r>
        <w:t>机械性能应</w:t>
      </w:r>
      <w:r>
        <w:rPr>
          <w:rFonts w:hint="eastAsia"/>
        </w:rPr>
        <w:t>符合</w:t>
      </w:r>
      <w:r>
        <w:t>GB/T 3953</w:t>
      </w:r>
      <w:r>
        <w:rPr>
          <w:rFonts w:hint="eastAsia"/>
        </w:rPr>
        <w:t>的规定。</w:t>
      </w:r>
    </w:p>
    <w:p w14:paraId="7FA52F2E">
      <w:pPr>
        <w:pStyle w:val="288"/>
      </w:pPr>
      <w:r>
        <w:rPr>
          <w:rFonts w:hint="eastAsia"/>
        </w:rPr>
        <w:t>6</w:t>
      </w:r>
      <w:r>
        <w:t>.4.1.5</w:t>
      </w:r>
      <w:r>
        <w:rPr>
          <w:rFonts w:hint="eastAsia"/>
        </w:rPr>
        <w:t>导体阻水性能</w:t>
      </w:r>
    </w:p>
    <w:p w14:paraId="7F0FE9C0">
      <w:pPr>
        <w:pStyle w:val="288"/>
      </w:pPr>
      <w:r>
        <w:rPr>
          <w:rFonts w:hint="eastAsia"/>
        </w:rPr>
        <w:t>导体应具有纵向阻水结构，其纵向阻水性能应符合 GB/T 41629.1 中 8.7.2 条的规定，在不小于本项目 110m 水深对应的试验水压压强下，导体透水性能应经受透水试验并且透水距离不大于 30m。</w:t>
      </w:r>
    </w:p>
    <w:p w14:paraId="20875646">
      <w:pPr>
        <w:pStyle w:val="288"/>
      </w:pPr>
    </w:p>
    <w:p w14:paraId="03058816">
      <w:pPr>
        <w:pStyle w:val="290"/>
      </w:pPr>
      <w:r>
        <w:rPr>
          <w:rFonts w:hint="eastAsia"/>
        </w:rPr>
        <w:t>6</w:t>
      </w:r>
      <w:r>
        <w:t>.4.2</w:t>
      </w:r>
      <w:r>
        <w:rPr>
          <w:rFonts w:hint="eastAsia"/>
        </w:rPr>
        <w:t>导体屏蔽层</w:t>
      </w:r>
    </w:p>
    <w:p w14:paraId="06426081">
      <w:pPr>
        <w:pStyle w:val="288"/>
      </w:pPr>
      <w:r>
        <w:rPr>
          <w:rFonts w:hint="eastAsia"/>
        </w:rPr>
        <w:t>6</w:t>
      </w:r>
      <w:r>
        <w:t>.4.2.1</w:t>
      </w:r>
      <w:r>
        <w:rPr>
          <w:rFonts w:hint="eastAsia"/>
        </w:rPr>
        <w:t>材料</w:t>
      </w:r>
    </w:p>
    <w:p w14:paraId="3B7CE44C">
      <w:pPr>
        <w:pStyle w:val="288"/>
      </w:pPr>
      <w:r>
        <w:rPr>
          <w:rFonts w:hint="eastAsia"/>
        </w:rPr>
        <w:t>导体屏蔽层应由绕包半导电带和挤包的半导电层复合而成，并符合 GB/T 41629 的规定。其中挤包的半导电层与绝缘层一起挤压形成，材料采用与绝缘层材料相近的半导体化合物。</w:t>
      </w:r>
    </w:p>
    <w:p w14:paraId="414F0141">
      <w:pPr>
        <w:pStyle w:val="288"/>
      </w:pPr>
      <w:r>
        <w:rPr>
          <w:rFonts w:hint="eastAsia"/>
        </w:rPr>
        <w:t>半导电屏蔽料必须采用超光滑可交联型半导电材料，与绝缘层相容。其允许工作温度不小于绝缘层允许工作温度。半导电料从生产之日到使用不应超过18个月。</w:t>
      </w:r>
    </w:p>
    <w:p w14:paraId="0EEFFA60">
      <w:pPr>
        <w:pStyle w:val="288"/>
        <w:rPr>
          <w:rFonts w:ascii="Segoe UI" w:hAnsi="Segoe UI" w:cs="Segoe UI"/>
          <w:color w:val="0F1115"/>
          <w:shd w:val="clear" w:color="auto" w:fill="FFFFFF"/>
        </w:rPr>
      </w:pPr>
      <w:r>
        <w:rPr>
          <w:rFonts w:hint="eastAsia"/>
        </w:rPr>
        <w:t>投标时投标方应说明非自主可控屏蔽料原材料来源厂家及型号。</w:t>
      </w:r>
    </w:p>
    <w:p w14:paraId="2764ED99">
      <w:pPr>
        <w:pStyle w:val="288"/>
        <w:rPr>
          <w:rFonts w:ascii="Segoe UI" w:hAnsi="Segoe UI" w:cs="Segoe UI"/>
          <w:color w:val="0F1115"/>
          <w:shd w:val="clear" w:color="auto" w:fill="FFFFFF"/>
        </w:rPr>
      </w:pPr>
      <w:r>
        <w:rPr>
          <w:rFonts w:hint="eastAsia"/>
        </w:rPr>
        <w:t>如采用</w:t>
      </w:r>
      <w:r>
        <w:rPr>
          <w:rFonts w:hint="eastAsia" w:asciiTheme="minorEastAsia" w:hAnsiTheme="minorEastAsia" w:eastAsiaTheme="minorEastAsia"/>
          <w:szCs w:val="24"/>
        </w:rPr>
        <w:t>自主可控海缆</w:t>
      </w:r>
      <w:r>
        <w:rPr>
          <w:rFonts w:hint="eastAsia"/>
        </w:rPr>
        <w:t>方案，鼓励采用</w:t>
      </w:r>
      <w:r>
        <w:rPr>
          <w:rFonts w:hint="eastAsia" w:asciiTheme="minorEastAsia" w:hAnsiTheme="minorEastAsia" w:eastAsiaTheme="minorEastAsia"/>
          <w:szCs w:val="24"/>
        </w:rPr>
        <w:t>自主可控</w:t>
      </w:r>
      <w:r>
        <w:rPr>
          <w:rFonts w:hint="eastAsia"/>
        </w:rPr>
        <w:t>屏蔽料。投标方应同步开展</w:t>
      </w:r>
      <w:r>
        <w:rPr>
          <w:rFonts w:hint="eastAsia" w:asciiTheme="minorEastAsia" w:hAnsiTheme="minorEastAsia" w:eastAsiaTheme="minorEastAsia"/>
          <w:szCs w:val="24"/>
        </w:rPr>
        <w:t>自主可控</w:t>
      </w:r>
      <w:r>
        <w:rPr>
          <w:rFonts w:hint="eastAsia"/>
        </w:rPr>
        <w:t>屏蔽料海缆的相关研发、试验、验证等工作，</w:t>
      </w:r>
      <w:r>
        <w:rPr>
          <w:rFonts w:ascii="Segoe UI" w:hAnsi="Segoe UI" w:cs="Segoe UI"/>
          <w:color w:val="0F1115"/>
          <w:shd w:val="clear" w:color="auto" w:fill="FFFFFF"/>
        </w:rPr>
        <w:t>具体方案</w:t>
      </w:r>
      <w:r>
        <w:rPr>
          <w:rFonts w:hint="eastAsia" w:ascii="Segoe UI" w:hAnsi="Segoe UI" w:cs="Segoe UI"/>
          <w:color w:val="0F1115"/>
          <w:shd w:val="clear" w:color="auto" w:fill="FFFFFF"/>
        </w:rPr>
        <w:t>由招标方</w:t>
      </w:r>
      <w:r>
        <w:rPr>
          <w:rFonts w:ascii="Segoe UI" w:hAnsi="Segoe UI" w:cs="Segoe UI"/>
          <w:color w:val="0F1115"/>
          <w:shd w:val="clear" w:color="auto" w:fill="FFFFFF"/>
        </w:rPr>
        <w:t>基于研制进度书面确认。</w:t>
      </w:r>
    </w:p>
    <w:p w14:paraId="65FBCD50">
      <w:pPr>
        <w:pStyle w:val="288"/>
      </w:pPr>
      <w:r>
        <w:rPr>
          <w:rFonts w:hint="eastAsia"/>
        </w:rPr>
        <w:t>6</w:t>
      </w:r>
      <w:r>
        <w:t>.4.2.2</w:t>
      </w:r>
      <w:r>
        <w:rPr>
          <w:rFonts w:hint="eastAsia"/>
        </w:rPr>
        <w:t>厚度</w:t>
      </w:r>
    </w:p>
    <w:p w14:paraId="080061E3">
      <w:pPr>
        <w:pStyle w:val="288"/>
      </w:pPr>
      <w:r>
        <w:rPr>
          <w:rFonts w:hint="eastAsia"/>
        </w:rPr>
        <w:t>导体屏蔽应由绕包半导电带和在其上挤包的半导电层组成，其厚度的近似值为</w:t>
      </w:r>
      <w:r>
        <w:t>2.</w:t>
      </w:r>
      <w:r>
        <w:rPr>
          <w:rFonts w:hint="eastAsia"/>
        </w:rPr>
        <w:t>5</w:t>
      </w:r>
      <w:r>
        <w:t>mm</w:t>
      </w:r>
      <w:r>
        <w:rPr>
          <w:rFonts w:hint="eastAsia"/>
        </w:rPr>
        <w:t>，其中挤包的半导电层的最薄点厚度不应小于</w:t>
      </w:r>
      <w:r>
        <w:t>1.</w:t>
      </w:r>
      <w:r>
        <w:rPr>
          <w:rFonts w:hint="eastAsia"/>
        </w:rPr>
        <w:t>7mm。</w:t>
      </w:r>
    </w:p>
    <w:p w14:paraId="11B8038E">
      <w:pPr>
        <w:pStyle w:val="288"/>
      </w:pPr>
      <w:r>
        <w:rPr>
          <w:rFonts w:hint="eastAsia"/>
        </w:rPr>
        <w:t>6</w:t>
      </w:r>
      <w:r>
        <w:t>.4.2.3</w:t>
      </w:r>
      <w:r>
        <w:rPr>
          <w:rFonts w:hint="eastAsia"/>
        </w:rPr>
        <w:t>性能</w:t>
      </w:r>
    </w:p>
    <w:p w14:paraId="5B6D1A01">
      <w:pPr>
        <w:pStyle w:val="288"/>
      </w:pPr>
      <w:r>
        <w:rPr>
          <w:rFonts w:hint="eastAsia"/>
        </w:rPr>
        <w:t>1、导体屏蔽料的半导电体积电阻率，在9</w:t>
      </w:r>
      <w:r>
        <w:t>0</w:t>
      </w:r>
      <w:r>
        <w:rPr>
          <w:rFonts w:hint="eastAsia"/>
        </w:rPr>
        <w:t>℃温度范围内测量值应不超过3</w:t>
      </w:r>
      <w:r>
        <w:t>.5</w:t>
      </w:r>
      <w:r>
        <w:rPr/>
        <w:sym w:font="Symbol" w:char="F057"/>
      </w:r>
      <w:r>
        <w:t>·m</w:t>
      </w:r>
      <w:r>
        <w:rPr>
          <w:rFonts w:hint="eastAsia"/>
        </w:rPr>
        <w:t>，在23℃温度范围内测量值应不超过1</w:t>
      </w:r>
      <w:r>
        <w:rPr/>
        <w:sym w:font="Symbol" w:char="F057"/>
      </w:r>
      <w:r>
        <w:t>·m。</w:t>
      </w:r>
    </w:p>
    <w:p w14:paraId="038B73C8">
      <w:pPr>
        <w:pStyle w:val="288"/>
      </w:pPr>
      <w:r>
        <w:rPr>
          <w:rFonts w:hint="eastAsia"/>
        </w:rPr>
        <w:t>2、老化后的半导电屏蔽电阻率应不超过以下值</w:t>
      </w:r>
      <w:r>
        <w:t xml:space="preserve">: 1000 </w:t>
      </w:r>
      <w:r>
        <w:rPr/>
        <w:sym w:font="Symbol" w:char="F057"/>
      </w:r>
      <w:r>
        <w:t>·m</w:t>
      </w:r>
      <w:r>
        <w:rPr>
          <w:rFonts w:hint="eastAsia"/>
        </w:rPr>
        <w:t>。</w:t>
      </w:r>
    </w:p>
    <w:p w14:paraId="17E563D9">
      <w:pPr>
        <w:pStyle w:val="288"/>
      </w:pPr>
      <w:r>
        <w:rPr>
          <w:rFonts w:hint="eastAsia"/>
        </w:rPr>
        <w:t>3、半导电屏蔽层与绝缘层界面微孔和突起试验应按GB/T 41629</w:t>
      </w:r>
      <w:r>
        <w:t>.1-2022</w:t>
      </w:r>
      <w:r>
        <w:rPr>
          <w:rFonts w:hint="eastAsia"/>
        </w:rPr>
        <w:t>附录B规定进行测试，试验结果应符合以下要求：</w:t>
      </w:r>
    </w:p>
    <w:p w14:paraId="56344B68">
      <w:pPr>
        <w:pStyle w:val="288"/>
      </w:pPr>
      <w:r>
        <w:rPr>
          <w:rFonts w:hint="eastAsia"/>
        </w:rPr>
        <w:t>a）半导电屏蔽层与绝缘层界面应无大于0.02mm的微孔；</w:t>
      </w:r>
    </w:p>
    <w:p w14:paraId="2F3DAAE0">
      <w:pPr>
        <w:pStyle w:val="288"/>
      </w:pPr>
      <w:r>
        <w:t>b</w:t>
      </w:r>
      <w:r>
        <w:rPr>
          <w:rFonts w:hint="eastAsia"/>
        </w:rPr>
        <w:t>）导体半导电屏蔽层与绝缘层界面应无大于0.05mm进入绝缘层的突起以及大于0.05mm进入半导电屏蔽层的突起；</w:t>
      </w:r>
    </w:p>
    <w:p w14:paraId="6BD121E6">
      <w:pPr>
        <w:pStyle w:val="288"/>
      </w:pPr>
      <w:r>
        <w:rPr>
          <w:rFonts w:hint="eastAsia"/>
        </w:rPr>
        <w:t>6</w:t>
      </w:r>
      <w:r>
        <w:t>.4.2.4</w:t>
      </w:r>
      <w:r>
        <w:rPr>
          <w:rFonts w:hint="eastAsia"/>
        </w:rPr>
        <w:t>其它</w:t>
      </w:r>
    </w:p>
    <w:p w14:paraId="510E5C2E">
      <w:pPr>
        <w:pStyle w:val="288"/>
      </w:pPr>
      <w:r>
        <w:rPr>
          <w:rFonts w:hint="eastAsia"/>
        </w:rPr>
        <w:t>挤包的半导电层应厚度均匀，并与绝缘层牢固地黏结。半导电层与绝缘层的界面应连续光滑，无明显绞线凸纹、尖角、颗粒、焦烧及擦伤的痕迹，且半导电层与绝缘层界面突起与微孔的限制应符合</w:t>
      </w:r>
      <w:r>
        <w:t>GB/T 41629</w:t>
      </w:r>
      <w:r>
        <w:rPr>
          <w:rFonts w:hint="eastAsia"/>
        </w:rPr>
        <w:t>的规定。绝缘屏蔽与导体挤包屏蔽层和绝缘层三层一起共挤，均匀地黏附在绝缘层上。</w:t>
      </w:r>
    </w:p>
    <w:p w14:paraId="2EF332A5">
      <w:pPr>
        <w:pStyle w:val="290"/>
      </w:pPr>
      <w:r>
        <w:rPr>
          <w:rFonts w:hint="eastAsia"/>
        </w:rPr>
        <w:t>6</w:t>
      </w:r>
      <w:r>
        <w:t>.4.3</w:t>
      </w:r>
      <w:r>
        <w:rPr>
          <w:rFonts w:hint="eastAsia"/>
        </w:rPr>
        <w:t>绝缘层</w:t>
      </w:r>
    </w:p>
    <w:p w14:paraId="42EAA6ED">
      <w:pPr>
        <w:pStyle w:val="288"/>
      </w:pPr>
      <w:r>
        <w:rPr>
          <w:rFonts w:hint="eastAsia"/>
        </w:rPr>
        <w:t>6</w:t>
      </w:r>
      <w:r>
        <w:t>.4.3.1</w:t>
      </w:r>
      <w:r>
        <w:rPr>
          <w:rFonts w:hint="eastAsia"/>
        </w:rPr>
        <w:t>材料</w:t>
      </w:r>
    </w:p>
    <w:p w14:paraId="3F12BAC6">
      <w:pPr>
        <w:pStyle w:val="288"/>
      </w:pPr>
      <w:r>
        <w:rPr>
          <w:rFonts w:hint="eastAsia"/>
        </w:rPr>
        <w:t>500kV海缆主绝缘必须采用特超净（无大于</w:t>
      </w:r>
      <w:r>
        <w:t>50μm</w:t>
      </w:r>
      <w:r>
        <w:rPr>
          <w:rFonts w:hint="eastAsia"/>
        </w:rPr>
        <w:t>的杂质）绝缘料，需提供相应的材料（招标方认可的权威第三方机构）的性能检验报告。生产之日到使用不应超过24个月。</w:t>
      </w:r>
    </w:p>
    <w:p w14:paraId="4C940E41">
      <w:pPr>
        <w:pStyle w:val="288"/>
      </w:pPr>
      <w:r>
        <w:rPr>
          <w:rFonts w:hint="eastAsia"/>
        </w:rPr>
        <w:t>如采用</w:t>
      </w:r>
      <w:r>
        <w:rPr>
          <w:rFonts w:hint="eastAsia" w:asciiTheme="minorEastAsia" w:hAnsiTheme="minorEastAsia" w:eastAsiaTheme="minorEastAsia"/>
          <w:szCs w:val="24"/>
        </w:rPr>
        <w:t>自主可控</w:t>
      </w:r>
      <w:r>
        <w:rPr>
          <w:rFonts w:hint="eastAsia"/>
        </w:rPr>
        <w:t>海缆方案，绝缘料的</w:t>
      </w:r>
      <w:r>
        <w:rPr>
          <w:rFonts w:hint="eastAsia" w:asciiTheme="minorEastAsia" w:hAnsiTheme="minorEastAsia" w:eastAsiaTheme="minorEastAsia"/>
          <w:szCs w:val="24"/>
        </w:rPr>
        <w:t>基料、配方和工艺等全链条均需实现自主可控</w:t>
      </w:r>
      <w:r>
        <w:rPr>
          <w:rFonts w:hint="eastAsia"/>
        </w:rPr>
        <w:t>。投标时应说明原材料潜在供应商及产品型号，同时说明当前</w:t>
      </w:r>
      <w:r>
        <w:rPr>
          <w:rFonts w:hint="eastAsia" w:asciiTheme="minorEastAsia" w:hAnsiTheme="minorEastAsia" w:eastAsiaTheme="minorEastAsia"/>
          <w:szCs w:val="24"/>
        </w:rPr>
        <w:t>自主可控</w:t>
      </w:r>
      <w:r>
        <w:rPr>
          <w:rFonts w:hint="eastAsia"/>
        </w:rPr>
        <w:t>绝缘料海缆研发情况，并提供相关依据。投标方中标后，必须深度参与</w:t>
      </w:r>
      <w:r>
        <w:rPr>
          <w:rFonts w:hint="eastAsia" w:asciiTheme="minorEastAsia" w:hAnsiTheme="minorEastAsia" w:eastAsiaTheme="minorEastAsia"/>
          <w:szCs w:val="24"/>
        </w:rPr>
        <w:t>自主可控</w:t>
      </w:r>
      <w:r>
        <w:rPr>
          <w:rFonts w:hint="eastAsia"/>
        </w:rPr>
        <w:t>绝缘料的设计迭代、现场检查检验，对其生产工艺、质量等把关负责。</w:t>
      </w:r>
    </w:p>
    <w:p w14:paraId="66F3A2A9">
      <w:pPr>
        <w:pStyle w:val="288"/>
        <w:rPr>
          <w:highlight w:val="yellow"/>
        </w:rPr>
      </w:pPr>
      <w:r>
        <w:rPr>
          <w:rFonts w:hint="eastAsia" w:cstheme="minorBidi"/>
        </w:rPr>
        <w:t>2</w:t>
      </w:r>
      <w:r>
        <w:rPr>
          <w:rFonts w:cstheme="minorBidi"/>
        </w:rPr>
        <w:t>028</w:t>
      </w:r>
      <w:r>
        <w:rPr>
          <w:rFonts w:hint="eastAsia" w:cstheme="minorBidi"/>
        </w:rPr>
        <w:t>年</w:t>
      </w:r>
      <w:r>
        <w:rPr>
          <w:rFonts w:cstheme="minorBidi"/>
        </w:rPr>
        <w:t>7</w:t>
      </w:r>
      <w:r>
        <w:rPr>
          <w:rFonts w:hint="eastAsia" w:cstheme="minorBidi"/>
        </w:rPr>
        <w:t>月3</w:t>
      </w:r>
      <w:r>
        <w:rPr>
          <w:rFonts w:cstheme="minorBidi"/>
        </w:rPr>
        <w:t>0</w:t>
      </w:r>
      <w:r>
        <w:rPr>
          <w:rFonts w:hint="eastAsia" w:cstheme="minorBidi"/>
        </w:rPr>
        <w:t>日</w:t>
      </w:r>
      <w:r>
        <w:rPr>
          <w:rFonts w:hint="eastAsia"/>
        </w:rPr>
        <w:t>前，应组织</w:t>
      </w:r>
      <w:r>
        <w:rPr>
          <w:rFonts w:hint="eastAsia" w:asciiTheme="minorEastAsia" w:hAnsiTheme="minorEastAsia" w:eastAsiaTheme="minorEastAsia"/>
          <w:szCs w:val="24"/>
        </w:rPr>
        <w:t>自主可控</w:t>
      </w:r>
      <w:r>
        <w:rPr>
          <w:rFonts w:hint="eastAsia"/>
        </w:rPr>
        <w:t>海缆</w:t>
      </w:r>
      <w:r>
        <w:t>研发</w:t>
      </w:r>
      <w:r>
        <w:rPr>
          <w:rFonts w:hint="eastAsia"/>
        </w:rPr>
        <w:t>结果</w:t>
      </w:r>
      <w:r>
        <w:t>专家</w:t>
      </w:r>
      <w:r>
        <w:rPr>
          <w:rFonts w:hint="eastAsia"/>
        </w:rPr>
        <w:t>评审</w:t>
      </w:r>
      <w:r>
        <w:t>会</w:t>
      </w:r>
      <w:r>
        <w:rPr>
          <w:rFonts w:hint="eastAsia"/>
        </w:rPr>
        <w:t>，给出海缆绝缘料应用方案建议。如招标方确认采用其他绝缘料海缆方案，投标方应按要求落实执行。</w:t>
      </w:r>
    </w:p>
    <w:p w14:paraId="2BB41F70">
      <w:pPr>
        <w:pStyle w:val="288"/>
      </w:pPr>
      <w:r>
        <w:rPr>
          <w:rFonts w:hint="eastAsia"/>
        </w:rPr>
        <w:t>6</w:t>
      </w:r>
      <w:r>
        <w:t>.4.3.2</w:t>
      </w:r>
      <w:r>
        <w:rPr>
          <w:rFonts w:hint="eastAsia"/>
        </w:rPr>
        <w:t>厚度</w:t>
      </w:r>
    </w:p>
    <w:p w14:paraId="3826D0B2">
      <w:pPr>
        <w:pStyle w:val="288"/>
      </w:pPr>
      <w:r>
        <w:rPr>
          <w:rFonts w:hint="eastAsia"/>
        </w:rPr>
        <w:t>绝缘层应满足本规范规定的绝缘水平要求，并考虑绝缘老化等因素，应能在最高工作电压下长期运行，应能承受各种过电压，在使用寿命期内不应发生任何绝缘故障。</w:t>
      </w:r>
    </w:p>
    <w:p w14:paraId="442121AB">
      <w:pPr>
        <w:pStyle w:val="288"/>
      </w:pPr>
      <w:r>
        <w:rPr>
          <w:rFonts w:hint="eastAsia"/>
        </w:rPr>
        <w:t>绝缘性能及标称厚度按</w:t>
      </w:r>
      <w:r>
        <w:t>GB/T 41629</w:t>
      </w:r>
      <w:r>
        <w:rPr>
          <w:rFonts w:hint="eastAsia"/>
        </w:rPr>
        <w:t>规定，绝缘厚度应不包含导体和绝缘上半导电屏蔽厚度。绝缘厚度平均值不小于标称值</w:t>
      </w:r>
      <w:r>
        <w:t>33.0mm</w:t>
      </w:r>
      <w:r>
        <w:rPr>
          <w:rFonts w:hint="eastAsia"/>
        </w:rPr>
        <w:t>。绝缘最小测量厚度和绝缘偏心度要求应：任一点最小测量厚度不小于标称值的</w:t>
      </w:r>
      <w:r>
        <w:t>95%</w:t>
      </w:r>
      <w:r>
        <w:rPr>
          <w:rFonts w:hint="eastAsia"/>
        </w:rPr>
        <w:t>。任一断面的偏心度</w:t>
      </w:r>
      <w:r>
        <w:t>((</w:t>
      </w:r>
      <w:r>
        <w:rPr>
          <w:rFonts w:hint="eastAsia"/>
        </w:rPr>
        <w:t>最大测量厚度</w:t>
      </w:r>
      <w:r>
        <w:t>-</w:t>
      </w:r>
      <w:r>
        <w:rPr>
          <w:rFonts w:hint="eastAsia"/>
        </w:rPr>
        <w:t>最小测量厚度</w:t>
      </w:r>
      <w:r>
        <w:t>)/</w:t>
      </w:r>
      <w:r>
        <w:rPr>
          <w:rFonts w:hint="eastAsia"/>
        </w:rPr>
        <w:t>最大测量厚度</w:t>
      </w:r>
      <w:r>
        <w:t>)</w:t>
      </w:r>
      <w:r>
        <w:rPr>
          <w:rFonts w:hint="eastAsia"/>
        </w:rPr>
        <w:t>不大于</w:t>
      </w:r>
      <w:r>
        <w:t>5%</w:t>
      </w:r>
      <w:r>
        <w:rPr>
          <w:rFonts w:hint="eastAsia"/>
        </w:rPr>
        <w:t>。</w:t>
      </w:r>
    </w:p>
    <w:p w14:paraId="46157144">
      <w:pPr>
        <w:pStyle w:val="288"/>
      </w:pPr>
      <w:r>
        <w:rPr>
          <w:rFonts w:hint="eastAsia"/>
        </w:rPr>
        <w:t>6</w:t>
      </w:r>
      <w:r>
        <w:t>.4.3.3</w:t>
      </w:r>
      <w:r>
        <w:rPr>
          <w:rFonts w:hint="eastAsia"/>
        </w:rPr>
        <w:t>性能</w:t>
      </w:r>
    </w:p>
    <w:p w14:paraId="3FA716DE">
      <w:pPr>
        <w:pStyle w:val="288"/>
      </w:pPr>
      <w:r>
        <w:rPr>
          <w:rFonts w:hint="eastAsia"/>
        </w:rPr>
        <w:t>主绝缘的最小工频平均击穿场强不小于40</w:t>
      </w:r>
      <w:r>
        <w:t>kV/mm</w:t>
      </w:r>
      <w:r>
        <w:rPr>
          <w:rFonts w:hint="eastAsia"/>
        </w:rPr>
        <w:t>；最小冲击平均击穿场强不小于80</w:t>
      </w:r>
      <w:r>
        <w:t>kV/mm</w:t>
      </w:r>
      <w:r>
        <w:rPr>
          <w:rFonts w:hint="eastAsia"/>
        </w:rPr>
        <w:t>。</w:t>
      </w:r>
    </w:p>
    <w:p w14:paraId="08252256">
      <w:pPr>
        <w:pStyle w:val="288"/>
      </w:pPr>
      <w:r>
        <w:rPr>
          <w:rFonts w:hint="eastAsia"/>
        </w:rPr>
        <w:t>XLPE绝缘微孔杂质应按GB/T 41629</w:t>
      </w:r>
      <w:r>
        <w:t>.1</w:t>
      </w:r>
      <w:r>
        <w:rPr>
          <w:rFonts w:hint="eastAsia"/>
        </w:rPr>
        <w:t>附录B规定进行测试，试验结果应符合以下要求：</w:t>
      </w:r>
    </w:p>
    <w:p w14:paraId="13A2EEFF">
      <w:pPr>
        <w:pStyle w:val="288"/>
      </w:pPr>
      <w:r>
        <w:rPr>
          <w:rFonts w:hint="eastAsia"/>
        </w:rPr>
        <w:t>1、成品电缆绝缘中应无大于 0.02mm的微孔；</w:t>
      </w:r>
    </w:p>
    <w:p w14:paraId="6CB7777D">
      <w:pPr>
        <w:pStyle w:val="288"/>
      </w:pPr>
      <w:r>
        <w:rPr>
          <w:rFonts w:hint="eastAsia"/>
        </w:rPr>
        <w:t>2、成品电缆绝缘中应无大于0.075 mm的不透明杂质；</w:t>
      </w:r>
    </w:p>
    <w:p w14:paraId="556FE1DB">
      <w:pPr>
        <w:pStyle w:val="290"/>
      </w:pPr>
      <w:r>
        <w:tab/>
      </w:r>
      <w:r>
        <w:rPr>
          <w:rFonts w:hint="eastAsia"/>
        </w:rPr>
        <w:t>主</w:t>
      </w:r>
      <w:r>
        <w:t>绝</w:t>
      </w:r>
      <w:r>
        <w:rPr>
          <w:rFonts w:hint="eastAsia"/>
        </w:rPr>
        <w:t>缘其他性能，如抗张强度、断裂伸长率等，均应满足GB/T 41629</w:t>
      </w:r>
      <w:r>
        <w:t>.</w:t>
      </w:r>
      <w:r>
        <w:rPr>
          <w:rFonts w:hint="eastAsia"/>
        </w:rPr>
        <w:t>2附录</w:t>
      </w:r>
      <w:r>
        <w:t>A</w:t>
      </w:r>
      <w:r>
        <w:rPr>
          <w:rFonts w:hint="eastAsia"/>
        </w:rPr>
        <w:t>要求。</w:t>
      </w:r>
    </w:p>
    <w:p w14:paraId="40387AAE">
      <w:pPr>
        <w:pStyle w:val="290"/>
      </w:pPr>
      <w:r>
        <w:tab/>
      </w:r>
      <w:r>
        <w:rPr>
          <w:rFonts w:hint="eastAsia"/>
        </w:rPr>
        <w:t>6</w:t>
      </w:r>
      <w:r>
        <w:t>.4.4</w:t>
      </w:r>
      <w:r>
        <w:rPr>
          <w:rFonts w:hint="eastAsia"/>
        </w:rPr>
        <w:t>绝缘屏蔽层</w:t>
      </w:r>
    </w:p>
    <w:p w14:paraId="51C7432C">
      <w:pPr>
        <w:pStyle w:val="288"/>
      </w:pPr>
      <w:r>
        <w:rPr>
          <w:rFonts w:hint="eastAsia"/>
        </w:rPr>
        <w:t>6</w:t>
      </w:r>
      <w:r>
        <w:t>.4.4.1</w:t>
      </w:r>
      <w:r>
        <w:rPr>
          <w:rFonts w:hint="eastAsia"/>
        </w:rPr>
        <w:t>材料</w:t>
      </w:r>
    </w:p>
    <w:p w14:paraId="6468C048">
      <w:pPr>
        <w:pStyle w:val="288"/>
      </w:pPr>
      <w:r>
        <w:rPr>
          <w:rFonts w:hint="eastAsia"/>
        </w:rPr>
        <w:t>绝缘屏蔽层为挤包半导电化合物，应与绝缘层一起挤包形成，材料采用与绝缘层材料相近的半导体化合物，并符合 GB/T 41629 的规定。</w:t>
      </w:r>
    </w:p>
    <w:p w14:paraId="21A56712">
      <w:pPr>
        <w:pStyle w:val="288"/>
      </w:pPr>
      <w:r>
        <w:rPr>
          <w:rFonts w:hint="eastAsia"/>
        </w:rPr>
        <w:t>绝缘屏蔽为交联挤包半导电层，必须采用超光滑可交联型半导电材料，半导电料从生产之日到使用不应超过18个月。</w:t>
      </w:r>
    </w:p>
    <w:p w14:paraId="616FDA01">
      <w:pPr>
        <w:pStyle w:val="288"/>
      </w:pPr>
      <w:r>
        <w:rPr>
          <w:rFonts w:hint="eastAsia"/>
        </w:rPr>
        <w:t>投标时投标方应说明非</w:t>
      </w:r>
      <w:r>
        <w:rPr>
          <w:rFonts w:hint="eastAsia" w:asciiTheme="minorEastAsia" w:hAnsiTheme="minorEastAsia" w:eastAsiaTheme="minorEastAsia"/>
          <w:szCs w:val="24"/>
        </w:rPr>
        <w:t>自主可控</w:t>
      </w:r>
      <w:r>
        <w:rPr>
          <w:rFonts w:hint="eastAsia"/>
        </w:rPr>
        <w:t>屏蔽料原材料来源厂家及型号。</w:t>
      </w:r>
    </w:p>
    <w:p w14:paraId="1B0B489C">
      <w:pPr>
        <w:pStyle w:val="288"/>
      </w:pPr>
      <w:r>
        <w:rPr>
          <w:rFonts w:hint="eastAsia"/>
        </w:rPr>
        <w:t>电缆本体三层共挤工艺完成后必须进行去气处理。</w:t>
      </w:r>
    </w:p>
    <w:p w14:paraId="1AED3FE6">
      <w:pPr>
        <w:pStyle w:val="288"/>
        <w:rPr>
          <w:rFonts w:ascii="Segoe UI" w:hAnsi="Segoe UI" w:cs="Segoe UI"/>
          <w:color w:val="0F1115"/>
          <w:shd w:val="clear" w:color="auto" w:fill="FFFFFF"/>
        </w:rPr>
      </w:pPr>
      <w:r>
        <w:rPr>
          <w:rFonts w:hint="eastAsia"/>
        </w:rPr>
        <w:t>如采用</w:t>
      </w:r>
      <w:r>
        <w:rPr>
          <w:rFonts w:hint="eastAsia" w:asciiTheme="minorEastAsia" w:hAnsiTheme="minorEastAsia" w:eastAsiaTheme="minorEastAsia"/>
          <w:szCs w:val="24"/>
        </w:rPr>
        <w:t>自主可控海缆</w:t>
      </w:r>
      <w:r>
        <w:rPr>
          <w:rFonts w:hint="eastAsia"/>
        </w:rPr>
        <w:t>方案，鼓励采用</w:t>
      </w:r>
      <w:r>
        <w:rPr>
          <w:rFonts w:hint="eastAsia" w:asciiTheme="minorEastAsia" w:hAnsiTheme="minorEastAsia" w:eastAsiaTheme="minorEastAsia"/>
          <w:szCs w:val="24"/>
        </w:rPr>
        <w:t>自主可控</w:t>
      </w:r>
      <w:r>
        <w:rPr>
          <w:rFonts w:hint="eastAsia"/>
        </w:rPr>
        <w:t>屏蔽料。投标方应同步开展</w:t>
      </w:r>
      <w:r>
        <w:rPr>
          <w:rFonts w:hint="eastAsia" w:asciiTheme="minorEastAsia" w:hAnsiTheme="minorEastAsia" w:eastAsiaTheme="minorEastAsia"/>
          <w:szCs w:val="24"/>
        </w:rPr>
        <w:t>自主可控</w:t>
      </w:r>
      <w:r>
        <w:rPr>
          <w:rFonts w:hint="eastAsia"/>
        </w:rPr>
        <w:t>屏蔽料海缆的相关研发、试验、验证等工作，</w:t>
      </w:r>
      <w:r>
        <w:rPr>
          <w:rFonts w:ascii="Segoe UI" w:hAnsi="Segoe UI" w:cs="Segoe UI"/>
          <w:color w:val="0F1115"/>
          <w:shd w:val="clear" w:color="auto" w:fill="FFFFFF"/>
        </w:rPr>
        <w:t>具体方案</w:t>
      </w:r>
      <w:r>
        <w:rPr>
          <w:rFonts w:hint="eastAsia" w:ascii="Segoe UI" w:hAnsi="Segoe UI" w:cs="Segoe UI"/>
          <w:color w:val="0F1115"/>
          <w:shd w:val="clear" w:color="auto" w:fill="FFFFFF"/>
        </w:rPr>
        <w:t>由招标方</w:t>
      </w:r>
      <w:r>
        <w:rPr>
          <w:rFonts w:ascii="Segoe UI" w:hAnsi="Segoe UI" w:cs="Segoe UI"/>
          <w:color w:val="0F1115"/>
          <w:shd w:val="clear" w:color="auto" w:fill="FFFFFF"/>
        </w:rPr>
        <w:t>基于研制进度书面确认。</w:t>
      </w:r>
    </w:p>
    <w:p w14:paraId="1AB90903">
      <w:pPr>
        <w:pStyle w:val="288"/>
      </w:pPr>
      <w:r>
        <w:rPr>
          <w:rFonts w:hint="eastAsia"/>
        </w:rPr>
        <w:t>6</w:t>
      </w:r>
      <w:r>
        <w:t>.4.4.2</w:t>
      </w:r>
      <w:r>
        <w:rPr>
          <w:rFonts w:hint="eastAsia"/>
        </w:rPr>
        <w:t>厚度</w:t>
      </w:r>
    </w:p>
    <w:p w14:paraId="479B833E">
      <w:pPr>
        <w:pStyle w:val="288"/>
      </w:pPr>
      <w:r>
        <w:rPr>
          <w:rFonts w:hint="eastAsia"/>
        </w:rPr>
        <w:t>绝缘屏蔽应为与绝缘层同时挤出的半导电层，其厚度的近似值为</w:t>
      </w:r>
      <w:r>
        <w:t>1.0 mm</w:t>
      </w:r>
      <w:r>
        <w:rPr>
          <w:rFonts w:hint="eastAsia"/>
        </w:rPr>
        <w:t>，其最薄点厚度不应小于</w:t>
      </w:r>
      <w:r>
        <w:t>0.8mm</w:t>
      </w:r>
      <w:r>
        <w:rPr>
          <w:rFonts w:hint="eastAsia"/>
        </w:rPr>
        <w:t>。</w:t>
      </w:r>
    </w:p>
    <w:p w14:paraId="3406C27B">
      <w:pPr>
        <w:pStyle w:val="288"/>
      </w:pPr>
      <w:r>
        <w:rPr>
          <w:rFonts w:hint="eastAsia"/>
        </w:rPr>
        <w:t>绝缘屏蔽层在正常工作电压运行时，任一点的交流工作电场强度不得超过</w:t>
      </w:r>
      <w:r>
        <w:t>6.5kV/mm</w:t>
      </w:r>
      <w:r>
        <w:rPr>
          <w:rFonts w:hint="eastAsia"/>
        </w:rPr>
        <w:t>。</w:t>
      </w:r>
    </w:p>
    <w:p w14:paraId="025FC42D">
      <w:pPr>
        <w:pStyle w:val="288"/>
      </w:pPr>
      <w:r>
        <w:rPr>
          <w:rFonts w:hint="eastAsia"/>
        </w:rPr>
        <w:t>6</w:t>
      </w:r>
      <w:r>
        <w:t>.4.4.3</w:t>
      </w:r>
      <w:r>
        <w:rPr>
          <w:rFonts w:hint="eastAsia"/>
        </w:rPr>
        <w:t>性能</w:t>
      </w:r>
    </w:p>
    <w:p w14:paraId="2EF59D82">
      <w:pPr>
        <w:pStyle w:val="288"/>
      </w:pPr>
      <w:r>
        <w:rPr>
          <w:rFonts w:hint="eastAsia"/>
        </w:rPr>
        <w:t>1、绝缘屏蔽的半导电体积电阻率，在9</w:t>
      </w:r>
      <w:r>
        <w:t>0</w:t>
      </w:r>
      <w:r>
        <w:rPr>
          <w:rFonts w:hint="eastAsia"/>
        </w:rPr>
        <w:t>℃温度范围内测量值应不超过</w:t>
      </w:r>
      <w:r>
        <w:t xml:space="preserve">3.5 </w:t>
      </w:r>
      <w:r>
        <w:rPr/>
        <w:sym w:font="Symbol" w:char="F057"/>
      </w:r>
      <w:r>
        <w:t>·m</w:t>
      </w:r>
      <w:r>
        <w:rPr>
          <w:rFonts w:hint="eastAsia"/>
        </w:rPr>
        <w:t>。</w:t>
      </w:r>
    </w:p>
    <w:p w14:paraId="1FA84FAF">
      <w:pPr>
        <w:pStyle w:val="288"/>
      </w:pPr>
      <w:r>
        <w:rPr>
          <w:rFonts w:hint="eastAsia"/>
        </w:rPr>
        <w:t>2、老化前后的半导电屏蔽的电阻率应不超过</w:t>
      </w:r>
      <w:r>
        <w:t xml:space="preserve">500 </w:t>
      </w:r>
      <w:r>
        <w:rPr/>
        <w:sym w:font="Symbol" w:char="F057"/>
      </w:r>
      <w:r>
        <w:t>·m</w:t>
      </w:r>
      <w:r>
        <w:rPr>
          <w:rFonts w:hint="eastAsia"/>
        </w:rPr>
        <w:t>。</w:t>
      </w:r>
    </w:p>
    <w:p w14:paraId="1705B3AF">
      <w:pPr>
        <w:pStyle w:val="288"/>
      </w:pPr>
      <w:r>
        <w:rPr>
          <w:rFonts w:hint="eastAsia"/>
        </w:rPr>
        <w:t>3、半导电屏蔽层与绝缘层界面微孔和突起试验应按GB/T 41629</w:t>
      </w:r>
      <w:r>
        <w:t>.1</w:t>
      </w:r>
      <w:r>
        <w:rPr>
          <w:rFonts w:hint="eastAsia"/>
        </w:rPr>
        <w:t>附录B规定进行测试，试验结果应符合以下要求：</w:t>
      </w:r>
    </w:p>
    <w:p w14:paraId="50CB0283">
      <w:pPr>
        <w:pStyle w:val="288"/>
      </w:pPr>
      <w:r>
        <w:t>a</w:t>
      </w:r>
      <w:r>
        <w:rPr>
          <w:rFonts w:hint="eastAsia"/>
        </w:rPr>
        <w:t>）半导电屏蔽层与绝缘层界面应无大于0.02mm的微孔；</w:t>
      </w:r>
    </w:p>
    <w:p w14:paraId="172C2F70">
      <w:pPr>
        <w:pStyle w:val="288"/>
      </w:pPr>
      <w:r>
        <w:rPr>
          <w:rFonts w:hint="eastAsia"/>
        </w:rPr>
        <w:t>b）绝缘半导电屏蔽层与绝缘层界面应无大于0.05mm进入绝缘层的突起以及大于0.05mm进人半导电屏蔽层的突起。</w:t>
      </w:r>
    </w:p>
    <w:p w14:paraId="152498FB">
      <w:pPr>
        <w:pStyle w:val="288"/>
      </w:pPr>
      <w:r>
        <w:rPr>
          <w:rFonts w:hint="eastAsia"/>
        </w:rPr>
        <w:t>6</w:t>
      </w:r>
      <w:r>
        <w:t>.4.4.4</w:t>
      </w:r>
      <w:r>
        <w:rPr>
          <w:rFonts w:hint="eastAsia"/>
        </w:rPr>
        <w:t>其他</w:t>
      </w:r>
    </w:p>
    <w:p w14:paraId="380D9EFD">
      <w:pPr>
        <w:pStyle w:val="288"/>
      </w:pPr>
      <w:r>
        <w:rPr>
          <w:rFonts w:hint="eastAsia"/>
        </w:rPr>
        <w:t>半导电层均匀的包覆在绝缘表面，并牢固地粘附在绝缘层上。在绝缘屏蔽的表面以及与绝缘层交界面上应光滑，无尖角、颗粒、烧焦或擦伤的痕迹。其他性能，如抗张强度、断裂伸长率等要求，均应满足</w:t>
      </w:r>
      <w:r>
        <w:t>GB/T 41629</w:t>
      </w:r>
      <w:r>
        <w:rPr>
          <w:rFonts w:hint="eastAsia"/>
        </w:rPr>
        <w:t>的规定。</w:t>
      </w:r>
    </w:p>
    <w:p w14:paraId="7D992686">
      <w:pPr>
        <w:pStyle w:val="290"/>
      </w:pPr>
      <w:r>
        <w:rPr>
          <w:rFonts w:hint="eastAsia"/>
        </w:rPr>
        <w:t>6</w:t>
      </w:r>
      <w:r>
        <w:t>.4.5</w:t>
      </w:r>
      <w:r>
        <w:rPr>
          <w:rFonts w:hint="eastAsia"/>
        </w:rPr>
        <w:t>纵向阻水缓冲层</w:t>
      </w:r>
    </w:p>
    <w:p w14:paraId="7767E1FB">
      <w:pPr>
        <w:pStyle w:val="288"/>
      </w:pPr>
      <w:r>
        <w:rPr>
          <w:rFonts w:hint="eastAsia"/>
        </w:rPr>
        <w:t>在金属护层和绝缘屏蔽之间应绕包半导电阻水膨胀带，以限制电缆损坏时海水沿电缆渗入。绕包要求平整、紧实、无皱褶，以保证金属护层和绝缘屏蔽之间的良好电气连接及纵向阻水。半导电阻水膨胀带应绕包紧密、平整、无擦伤，其体积电阻率应与电缆挤包的绝缘半导电屏蔽的体积电阻率相适应，且原材料体积电阻率（2</w:t>
      </w:r>
      <w:r>
        <w:t>3</w:t>
      </w:r>
      <w:r>
        <w:rPr>
          <w:rFonts w:hint="eastAsia"/>
        </w:rPr>
        <w:t>℃）不大于350</w:t>
      </w:r>
      <w:r>
        <w:rPr>
          <w:rFonts w:hint="eastAsia" w:ascii="宋体" w:hAnsi="宋体"/>
        </w:rPr>
        <w:t>Ω•m</w:t>
      </w:r>
      <w:r>
        <w:rPr>
          <w:rFonts w:hint="eastAsia"/>
        </w:rPr>
        <w:t>。</w:t>
      </w:r>
    </w:p>
    <w:p w14:paraId="67554B66">
      <w:pPr>
        <w:pStyle w:val="288"/>
      </w:pPr>
      <w:r>
        <w:rPr>
          <w:rFonts w:hint="eastAsia"/>
        </w:rPr>
        <w:t>纵向阻水层应使绝缘屏蔽层与金属屏蔽层保持电气上接触；半导电阻水膨胀带应与其相邻的其他材料相容。</w:t>
      </w:r>
    </w:p>
    <w:p w14:paraId="4E3A7394">
      <w:pPr>
        <w:pStyle w:val="288"/>
      </w:pPr>
      <w:r>
        <w:rPr>
          <w:rFonts w:hint="eastAsia"/>
        </w:rPr>
        <w:t>应满足吸收绝缘层与金属护层间的热效应和保持与金属护层电接触等要求，其厚度由投标方决定，投标方</w:t>
      </w:r>
      <w:r>
        <w:t>应采取避免阻水材料在生产过程中吸潮的措施</w:t>
      </w:r>
      <w:r>
        <w:rPr>
          <w:rFonts w:hint="eastAsia"/>
        </w:rPr>
        <w:t>。</w:t>
      </w:r>
    </w:p>
    <w:p w14:paraId="3370C158">
      <w:pPr>
        <w:pStyle w:val="290"/>
      </w:pPr>
      <w:r>
        <w:rPr>
          <w:rFonts w:hint="eastAsia"/>
        </w:rPr>
        <w:t>6</w:t>
      </w:r>
      <w:r>
        <w:t>.4.6</w:t>
      </w:r>
      <w:r>
        <w:rPr>
          <w:rFonts w:hint="eastAsia"/>
        </w:rPr>
        <w:t>金属护层</w:t>
      </w:r>
    </w:p>
    <w:p w14:paraId="07B618E0">
      <w:pPr>
        <w:pStyle w:val="288"/>
      </w:pPr>
      <w:r>
        <w:rPr>
          <w:rFonts w:hint="eastAsia"/>
        </w:rPr>
        <w:t>金属护套采用连续挤包的无缝合金铅套，应能承受一定的径向压力，且变形小，同时亦是电缆径向阻水层，材料满足J</w:t>
      </w:r>
      <w:r>
        <w:t>B/</w:t>
      </w:r>
      <w:r>
        <w:rPr>
          <w:rFonts w:hint="eastAsia"/>
        </w:rPr>
        <w:t xml:space="preserve">T </w:t>
      </w:r>
      <w:r>
        <w:t>5268.2</w:t>
      </w:r>
      <w:r>
        <w:rPr>
          <w:rFonts w:hint="eastAsia"/>
        </w:rPr>
        <w:t>的要求，铅套不能有层状接缝、夹渣及明显的缺陷，并能防止水分渗透。铅套标称厚度应满足</w:t>
      </w:r>
      <w:r>
        <w:t>GB/T 41629.2</w:t>
      </w:r>
      <w:r>
        <w:rPr>
          <w:rFonts w:hint="eastAsia"/>
        </w:rPr>
        <w:t>的要求的4</w:t>
      </w:r>
      <w:r>
        <w:t>.0</w:t>
      </w:r>
      <w:r>
        <w:rPr>
          <w:rFonts w:hint="eastAsia"/>
        </w:rPr>
        <w:t>mm，紧敷于纵向防渗水层上，并应采取措施防止海缆在较高落差</w:t>
      </w:r>
      <w:r>
        <w:t>(</w:t>
      </w:r>
      <w:r>
        <w:rPr>
          <w:rFonts w:hint="eastAsia"/>
        </w:rPr>
        <w:t>林诗岛终端站登陆段电缆垂直落差大约</w:t>
      </w:r>
      <w:r>
        <w:t>40m)</w:t>
      </w:r>
      <w:r>
        <w:rPr>
          <w:rFonts w:hint="eastAsia"/>
        </w:rPr>
        <w:t>倾斜敷设安装及运行中金属护套和缆芯发生相对移动和滑落。性能应符合GB/T 41629与DL/T 2060中较高要求的规定，同时要求金属护套的任意点最小测量厚度不小于标称厚度的</w:t>
      </w:r>
      <w:r>
        <w:t>95%</w:t>
      </w:r>
      <w:r>
        <w:rPr>
          <w:rFonts w:hint="eastAsia"/>
        </w:rPr>
        <w:t>。</w:t>
      </w:r>
    </w:p>
    <w:p w14:paraId="6FE4FCEC">
      <w:pPr>
        <w:pStyle w:val="288"/>
      </w:pPr>
      <w:r>
        <w:rPr>
          <w:rFonts w:hint="eastAsia"/>
        </w:rPr>
        <w:t>在投标时，投标方应给出海缆铅套的成分及杂质最大含量，并声明在制造过程中不会超过该值。明确在制造过程中连续或间断监控铅套的厚度和同心度的方法，说明对压铅机补充铅的程序和压铅故障后的处理程序，并经招标方认可。</w:t>
      </w:r>
    </w:p>
    <w:p w14:paraId="3EC7E8BD">
      <w:pPr>
        <w:pStyle w:val="288"/>
      </w:pPr>
      <w:r>
        <w:rPr>
          <w:rFonts w:hint="eastAsia"/>
        </w:rPr>
        <w:t>海缆金属护套及外铠装层的截面积应满足单相接地故障时短路电流的热稳定要求，</w:t>
      </w:r>
      <w:r>
        <w:rPr>
          <w:rFonts w:hint="eastAsia"/>
          <w:b/>
        </w:rPr>
        <w:t>投标方应提供校核计算书。</w:t>
      </w:r>
    </w:p>
    <w:p w14:paraId="16387002">
      <w:pPr>
        <w:pStyle w:val="290"/>
      </w:pPr>
      <w:r>
        <w:rPr>
          <w:rFonts w:hint="eastAsia"/>
        </w:rPr>
        <w:t>6.4</w:t>
      </w:r>
      <w:r>
        <w:t xml:space="preserve">.7 </w:t>
      </w:r>
      <w:r>
        <w:rPr>
          <w:rFonts w:hint="eastAsia"/>
        </w:rPr>
        <w:t>内</w:t>
      </w:r>
      <w:r>
        <w:t>护套</w:t>
      </w:r>
      <w:r>
        <w:rPr>
          <w:rFonts w:hint="eastAsia"/>
        </w:rPr>
        <w:t>（非金属护层）</w:t>
      </w:r>
    </w:p>
    <w:p w14:paraId="0E2DABEF">
      <w:pPr>
        <w:pStyle w:val="288"/>
      </w:pPr>
      <w:r>
        <w:rPr>
          <w:rFonts w:hint="eastAsia"/>
        </w:rPr>
        <w:t>金属套外应挤包聚合物非金属外护套作为防护层。</w:t>
      </w:r>
    </w:p>
    <w:p w14:paraId="0929B3F0">
      <w:pPr>
        <w:pStyle w:val="288"/>
      </w:pPr>
      <w:r>
        <w:rPr>
          <w:rFonts w:hint="eastAsia"/>
        </w:rPr>
        <w:t>6</w:t>
      </w:r>
      <w:r>
        <w:t>.4.7.1</w:t>
      </w:r>
      <w:r>
        <w:rPr>
          <w:rFonts w:hint="eastAsia"/>
        </w:rPr>
        <w:t>材料</w:t>
      </w:r>
    </w:p>
    <w:p w14:paraId="1FE8B5F0">
      <w:pPr>
        <w:pStyle w:val="288"/>
      </w:pPr>
      <w:r>
        <w:rPr>
          <w:rFonts w:hint="eastAsia"/>
        </w:rPr>
        <w:t>金属铅护套外应挤包一层聚乙烯为基料的半导电护套。</w:t>
      </w:r>
    </w:p>
    <w:p w14:paraId="3D98710F">
      <w:pPr>
        <w:pStyle w:val="288"/>
      </w:pPr>
      <w:r>
        <w:rPr>
          <w:rFonts w:hint="eastAsia"/>
        </w:rPr>
        <w:t>6</w:t>
      </w:r>
      <w:r>
        <w:t>.4.7.2</w:t>
      </w:r>
      <w:r>
        <w:rPr>
          <w:rFonts w:hint="eastAsia"/>
        </w:rPr>
        <w:t>厚度</w:t>
      </w:r>
    </w:p>
    <w:p w14:paraId="1C36211F">
      <w:pPr>
        <w:pStyle w:val="288"/>
      </w:pPr>
      <w:r>
        <w:rPr>
          <w:rFonts w:hint="eastAsia"/>
        </w:rPr>
        <w:t>内护套的厚度应能满足下述要求：</w:t>
      </w:r>
    </w:p>
    <w:p w14:paraId="63A15F7A">
      <w:pPr>
        <w:pStyle w:val="288"/>
      </w:pPr>
      <w:r>
        <w:t xml:space="preserve">(1)  </w:t>
      </w:r>
      <w:r>
        <w:rPr>
          <w:rFonts w:hint="eastAsia"/>
        </w:rPr>
        <w:t>防止有害物质腐蚀金属护层。</w:t>
      </w:r>
    </w:p>
    <w:p w14:paraId="40D8B485">
      <w:pPr>
        <w:pStyle w:val="288"/>
      </w:pPr>
      <w:r>
        <w:t xml:space="preserve">(2)  </w:t>
      </w:r>
      <w:r>
        <w:rPr>
          <w:rFonts w:hint="eastAsia"/>
        </w:rPr>
        <w:t>电缆防水。</w:t>
      </w:r>
    </w:p>
    <w:p w14:paraId="54922D0E">
      <w:pPr>
        <w:pStyle w:val="288"/>
      </w:pPr>
      <w:r>
        <w:t xml:space="preserve">(3)  </w:t>
      </w:r>
      <w:r>
        <w:rPr>
          <w:rFonts w:hint="eastAsia"/>
        </w:rPr>
        <w:t>对外力起缓冲作用以保证电缆芯免受安装和运行时最大机械应力的损害。</w:t>
      </w:r>
    </w:p>
    <w:p w14:paraId="06D74AA8">
      <w:pPr>
        <w:pStyle w:val="288"/>
      </w:pPr>
      <w:r>
        <w:t xml:space="preserve">(4)  </w:t>
      </w:r>
      <w:r>
        <w:rPr>
          <w:rFonts w:hint="eastAsia"/>
        </w:rPr>
        <w:t>确保在正常和故障条件下（短路电流和电容电流）能满足安全运行与电气性能的要求，并满足规范的要求。</w:t>
      </w:r>
    </w:p>
    <w:p w14:paraId="0C57B6F9">
      <w:pPr>
        <w:pStyle w:val="288"/>
      </w:pPr>
      <w:r>
        <w:t xml:space="preserve">(5)  </w:t>
      </w:r>
      <w:r>
        <w:rPr>
          <w:rFonts w:hint="eastAsia"/>
        </w:rPr>
        <w:t>内护套的标称厚度应满足GB/T 41629</w:t>
      </w:r>
      <w:r>
        <w:t>.2</w:t>
      </w:r>
      <w:r>
        <w:rPr>
          <w:rFonts w:hint="eastAsia"/>
        </w:rPr>
        <w:t>的要求的4</w:t>
      </w:r>
      <w:r>
        <w:t>.0</w:t>
      </w:r>
      <w:r>
        <w:rPr>
          <w:rFonts w:hint="eastAsia"/>
        </w:rPr>
        <w:t>mm，标称厚度与最小厚度之差不超过标称厚度的</w:t>
      </w:r>
      <w:r>
        <w:t>10%</w:t>
      </w:r>
      <w:r>
        <w:rPr>
          <w:rFonts w:hint="eastAsia"/>
        </w:rPr>
        <w:t>。</w:t>
      </w:r>
    </w:p>
    <w:p w14:paraId="1C131AD1">
      <w:pPr>
        <w:pStyle w:val="288"/>
      </w:pPr>
      <w:r>
        <w:rPr>
          <w:rFonts w:hint="eastAsia"/>
        </w:rPr>
        <w:t>(6)</w:t>
      </w:r>
      <w:r>
        <w:t xml:space="preserve">  </w:t>
      </w:r>
      <w:r>
        <w:rPr>
          <w:rFonts w:hint="eastAsia"/>
        </w:rPr>
        <w:t>500kV交联聚乙烯绝缘海底电缆用半导电护套料的性能需满足GB/T41629</w:t>
      </w:r>
      <w:r>
        <w:t>.2-20</w:t>
      </w:r>
      <w:r>
        <w:rPr>
          <w:rFonts w:hint="eastAsia"/>
        </w:rPr>
        <w:t>22附录C中各项参数要求。</w:t>
      </w:r>
    </w:p>
    <w:p w14:paraId="23F88BC9">
      <w:pPr>
        <w:pStyle w:val="288"/>
      </w:pPr>
      <w:r>
        <w:rPr>
          <w:rFonts w:hint="eastAsia"/>
        </w:rPr>
        <w:t>如在电缆敷设时或使用寿命期间当铅套的内护套破裂而使铅套、内护套和衬垫等材料接触到高腐蚀环境或海水时，这些材料不应促进和助长腐蚀变形。</w:t>
      </w:r>
    </w:p>
    <w:p w14:paraId="111758EB">
      <w:pPr>
        <w:pStyle w:val="290"/>
      </w:pPr>
      <w:r>
        <w:rPr>
          <w:rFonts w:hint="eastAsia"/>
        </w:rPr>
        <w:t>6</w:t>
      </w:r>
      <w:r>
        <w:t xml:space="preserve">.4.8 </w:t>
      </w:r>
      <w:r>
        <w:rPr>
          <w:rFonts w:hint="eastAsia"/>
        </w:rPr>
        <w:t>成缆填充及复合光缆</w:t>
      </w:r>
    </w:p>
    <w:p w14:paraId="47BADA01">
      <w:pPr>
        <w:pStyle w:val="288"/>
      </w:pPr>
      <w:r>
        <w:rPr>
          <w:rFonts w:hint="eastAsia"/>
        </w:rPr>
        <w:t>三芯电缆成缆时绝缘线芯之间的间隙应使用非吸湿材料填充，电缆外形应保持圆整。光纤单元应放置于绝缘线芯之间的间隙内。成缆后应用合适带子扎紧。同时，成缆填充材料应尽量采用热阻系数低的材料，以帮助提高电缆输送容量。</w:t>
      </w:r>
    </w:p>
    <w:p w14:paraId="664A3FC3">
      <w:pPr>
        <w:pStyle w:val="290"/>
      </w:pPr>
      <w:r>
        <w:rPr>
          <w:rFonts w:hint="eastAsia"/>
        </w:rPr>
        <w:t>6</w:t>
      </w:r>
      <w:r>
        <w:t>.4.9</w:t>
      </w:r>
      <w:r>
        <w:rPr>
          <w:rFonts w:hint="eastAsia"/>
        </w:rPr>
        <w:t>内衬层</w:t>
      </w:r>
    </w:p>
    <w:p w14:paraId="497D0F27">
      <w:pPr>
        <w:pStyle w:val="288"/>
      </w:pPr>
      <w:r>
        <w:rPr>
          <w:rFonts w:hint="eastAsia"/>
        </w:rPr>
        <w:t>铠装层下应有内衬层。内衬层可采用聚丙烯绳绕包层，并在内衬层外面均匀涂敷沥青或其他合适的防腐材料。内衬层的近似厚度不小于</w:t>
      </w:r>
      <w:r>
        <w:t>1.5mm</w:t>
      </w:r>
      <w:r>
        <w:rPr>
          <w:rFonts w:hint="eastAsia"/>
        </w:rPr>
        <w:t>，并符合</w:t>
      </w:r>
      <w:r>
        <w:t>GB/T 41629</w:t>
      </w:r>
      <w:r>
        <w:rPr>
          <w:rFonts w:hint="eastAsia"/>
        </w:rPr>
        <w:t>的规定。</w:t>
      </w:r>
    </w:p>
    <w:p w14:paraId="5DBB39E9">
      <w:pPr>
        <w:pStyle w:val="290"/>
      </w:pPr>
      <w:r>
        <w:rPr>
          <w:rFonts w:hint="eastAsia"/>
        </w:rPr>
        <w:t>6</w:t>
      </w:r>
      <w:r>
        <w:t>.4.10</w:t>
      </w:r>
      <w:r>
        <w:rPr>
          <w:rFonts w:hint="eastAsia"/>
        </w:rPr>
        <w:t>铠装层</w:t>
      </w:r>
    </w:p>
    <w:p w14:paraId="72A98B50">
      <w:pPr>
        <w:pStyle w:val="288"/>
      </w:pPr>
      <w:r>
        <w:rPr>
          <w:rFonts w:hint="eastAsia"/>
        </w:rPr>
        <w:t>海中段海缆护套的铠装层应采用镀锌低碳圆钢丝，应符合</w:t>
      </w:r>
      <w:r>
        <w:t>GB 3082</w:t>
      </w:r>
      <w:r>
        <w:rPr>
          <w:rFonts w:hint="eastAsia"/>
        </w:rPr>
        <w:t>的规定。</w:t>
      </w:r>
      <w:r>
        <w:t>充分考虑铠装强度及机械力要求，并采取相应措施。铠装层单丝标称直径不小于6mm</w:t>
      </w:r>
      <w:r>
        <w:rPr>
          <w:rFonts w:hint="eastAsia"/>
        </w:rPr>
        <w:t>，钢丝直径不包括钢丝上可能有的非金属防蚀层。</w:t>
      </w:r>
    </w:p>
    <w:p w14:paraId="6D527CF0">
      <w:pPr>
        <w:pStyle w:val="288"/>
      </w:pPr>
      <w:r>
        <w:rPr>
          <w:rFonts w:hint="eastAsia"/>
        </w:rPr>
        <w:t>海缆线路两端水平定向钻段</w:t>
      </w:r>
      <w:r>
        <w:t>采用</w:t>
      </w:r>
      <w:r>
        <w:rPr>
          <w:rFonts w:hint="eastAsia"/>
        </w:rPr>
        <w:t>圆铜丝作为铠装时，圆铜丝应符合</w:t>
      </w:r>
      <w:r>
        <w:t>GB/T 41629.2</w:t>
      </w:r>
      <w:r>
        <w:rPr>
          <w:rFonts w:hint="eastAsia"/>
        </w:rPr>
        <w:t>的规定，单层圆铜丝标称直径应不小于</w:t>
      </w:r>
      <w:r>
        <w:t>6mm</w:t>
      </w:r>
      <w:r>
        <w:rPr>
          <w:rFonts w:hint="eastAsia"/>
        </w:rPr>
        <w:t>，直径不包括钢丝上可能有的非金属防蚀层。</w:t>
      </w:r>
      <w:r>
        <w:t>镀锌</w:t>
      </w:r>
      <w:r>
        <w:rPr>
          <w:rFonts w:hint="eastAsia"/>
        </w:rPr>
        <w:t>低碳</w:t>
      </w:r>
      <w:r>
        <w:t>圆钢丝与圆铜丝采用焊接连接，满足强度需要和电气导通，</w:t>
      </w:r>
      <w:r>
        <w:rPr>
          <w:rFonts w:hint="eastAsia"/>
        </w:rPr>
        <w:t>单丝焊接部位强度不小于单丝连续状态的7</w:t>
      </w:r>
      <w:r>
        <w:t>0%</w:t>
      </w:r>
      <w:r>
        <w:rPr>
          <w:rFonts w:hint="eastAsia"/>
        </w:rPr>
        <w:t>，焊接部位铠装整体强度应不小于完全连续单丝铠装部位的90%，同时应保证同一截面焊接点不超过 2 个，不同单丝焊接部位错开距离不小于 400mm，生产时投标方应接受招标方及其代理单位对该环节的重点监造，同时供货时投标方必须</w:t>
      </w:r>
      <w:r>
        <w:t>提供</w:t>
      </w:r>
      <w:r>
        <w:rPr>
          <w:rFonts w:hint="eastAsia"/>
        </w:rPr>
        <w:t>相关证明材料</w:t>
      </w:r>
      <w:r>
        <w:t>。</w:t>
      </w:r>
    </w:p>
    <w:p w14:paraId="108FED37">
      <w:pPr>
        <w:pStyle w:val="288"/>
      </w:pPr>
      <w:r>
        <w:rPr>
          <w:rFonts w:hint="eastAsia"/>
        </w:rPr>
        <w:t>金属铠装敷于填充层及保护层的外侧。在铠装层上使用沥青来提供进一步的防腐蚀保护，以及所有护层的粘合。</w:t>
      </w:r>
    </w:p>
    <w:p w14:paraId="7C8C0B5A">
      <w:pPr>
        <w:pStyle w:val="288"/>
      </w:pPr>
      <w:r>
        <w:rPr>
          <w:rFonts w:hint="eastAsia"/>
        </w:rPr>
        <w:t>铠装层的耐腐蚀寿命应具有不少于海缆全生命周期的合理期限，在此期限内，电缆能被打捞起来进行修理然后再重新敷设。</w:t>
      </w:r>
    </w:p>
    <w:p w14:paraId="239C7AA0">
      <w:pPr>
        <w:pStyle w:val="288"/>
      </w:pPr>
      <w:r>
        <w:rPr>
          <w:rFonts w:hint="eastAsia"/>
        </w:rPr>
        <w:t>考虑本工程海缆铠装层存在铜钢金属连接，</w:t>
      </w:r>
      <w:r>
        <w:t>铜丝与钢丝接触处需考虑防腐措施。</w:t>
      </w:r>
      <w:r>
        <w:rPr>
          <w:rFonts w:hint="eastAsia"/>
        </w:rPr>
        <w:t>投标方应提供详细的防腐方案并附试验报告。</w:t>
      </w:r>
    </w:p>
    <w:p w14:paraId="45191A93">
      <w:pPr>
        <w:pStyle w:val="288"/>
      </w:pPr>
      <w:r>
        <w:rPr>
          <w:rFonts w:hint="eastAsia"/>
        </w:rPr>
        <w:t>本工程海缆铠装应至少满足在安全系数不小于3的前提下，海缆最大牵引力大于37</w:t>
      </w:r>
      <w:r>
        <w:t>0</w:t>
      </w:r>
      <w:r>
        <w:rPr>
          <w:rFonts w:hint="eastAsia"/>
        </w:rPr>
        <w:t>kN的需求。</w:t>
      </w:r>
    </w:p>
    <w:p w14:paraId="6F1D5A0F">
      <w:pPr>
        <w:pStyle w:val="288"/>
      </w:pPr>
      <w:r>
        <w:rPr>
          <w:rFonts w:hint="eastAsia"/>
        </w:rPr>
        <w:t>针对本工程海缆线路两端定向钻登陆段与海中段，根据提供的附图图纸方案及参数，提供海缆在定向钻中敷设工况与海中最大深度敷设工况下的牵引力计算，在满足海缆铠装并结合本技术规范书涉及海缆进行分析，确认海缆是否能满足牵引力要求，若不满足则应提出海缆结构上或定向钻施工方式上可行的解决方案。</w:t>
      </w:r>
    </w:p>
    <w:p w14:paraId="5414D76D">
      <w:pPr>
        <w:pStyle w:val="290"/>
      </w:pPr>
      <w:r>
        <w:rPr>
          <w:rFonts w:hint="eastAsia"/>
        </w:rPr>
        <w:t>6</w:t>
      </w:r>
      <w:r>
        <w:t>.4.11</w:t>
      </w:r>
      <w:r>
        <w:rPr>
          <w:rFonts w:hint="eastAsia"/>
        </w:rPr>
        <w:t>外被层</w:t>
      </w:r>
    </w:p>
    <w:p w14:paraId="3E9952AE">
      <w:pPr>
        <w:pStyle w:val="288"/>
      </w:pPr>
      <w:r>
        <w:rPr>
          <w:rFonts w:hint="eastAsia"/>
        </w:rPr>
        <w:t>防腐金属铠装层外有一层扭绞紧密的浸渍聚丙烯绳，应具有良好的耐磨及</w:t>
      </w:r>
      <w:r>
        <w:t>防腐</w:t>
      </w:r>
      <w:r>
        <w:rPr>
          <w:rFonts w:hint="eastAsia"/>
        </w:rPr>
        <w:t>性能，外护层应牢固包覆，保证海缆在运动和施工过程中不松动、不滑落。外被层上有均匀涂敷的沥青或其他合适的防腐材料作为防腐层。</w:t>
      </w:r>
    </w:p>
    <w:p w14:paraId="1B05AE23">
      <w:pPr>
        <w:pStyle w:val="288"/>
      </w:pPr>
      <w:r>
        <w:rPr>
          <w:rFonts w:hint="eastAsia"/>
        </w:rPr>
        <w:t>外被层外侧应绕包黑黄相间标志带。</w:t>
      </w:r>
    </w:p>
    <w:p w14:paraId="43F62EC9">
      <w:pPr>
        <w:pStyle w:val="288"/>
      </w:pPr>
      <w:r>
        <w:rPr>
          <w:rFonts w:hint="eastAsia"/>
        </w:rPr>
        <w:t>外被层厚度近似厚度为4.0mm，应符合</w:t>
      </w:r>
      <w:r>
        <w:t>GB/T 41629.2</w:t>
      </w:r>
      <w:r>
        <w:rPr>
          <w:rFonts w:hint="eastAsia"/>
        </w:rPr>
        <w:t>的规定。</w:t>
      </w:r>
    </w:p>
    <w:p w14:paraId="566DA617">
      <w:pPr>
        <w:pStyle w:val="290"/>
      </w:pPr>
      <w:r>
        <w:rPr>
          <w:rFonts w:hint="eastAsia"/>
        </w:rPr>
        <w:t>6</w:t>
      </w:r>
      <w:r>
        <w:t>.4.12</w:t>
      </w:r>
      <w:r>
        <w:rPr>
          <w:rFonts w:hint="eastAsia"/>
        </w:rPr>
        <w:t>成品电缆及标志</w:t>
      </w:r>
    </w:p>
    <w:p w14:paraId="4789AEBA">
      <w:pPr>
        <w:pStyle w:val="288"/>
      </w:pPr>
      <w:r>
        <w:rPr>
          <w:rFonts w:hint="eastAsia"/>
        </w:rPr>
        <w:t>成品电缆的两端应妥善用防水密封材料密封，电缆两端头的1000m长度内，成品电缆的外被层表面应每50米长度应有一个标志；成品海缆的其他区段，外护套表面应每100米长度应有一个标志；铜丝铠装与钢丝铠装的分界面处应有标志。以上标志应能明确指示成品电缆中任意一处较整根成品电缆的位置情况。随电缆有制造厂、电缆型号、电压、导体截面、制造年月等标识牌，还应符合</w:t>
      </w:r>
      <w:r>
        <w:t>GB 6995.1</w:t>
      </w:r>
      <w:r>
        <w:rPr>
          <w:rFonts w:hint="eastAsia"/>
        </w:rPr>
        <w:t>和</w:t>
      </w:r>
      <w:r>
        <w:t xml:space="preserve"> GB 6995.3</w:t>
      </w:r>
      <w:r>
        <w:rPr>
          <w:rFonts w:hint="eastAsia"/>
        </w:rPr>
        <w:t>的相应规定。成品电缆内部应有分相标识，标识中黄绿红分别应表示A</w:t>
      </w:r>
      <w:r>
        <w:t>BC</w:t>
      </w:r>
      <w:r>
        <w:rPr>
          <w:rFonts w:hint="eastAsia"/>
        </w:rPr>
        <w:t>相，该标识与能在成品整段海缆任意一处切割后准确识别出三芯海缆内部的相序情况。</w:t>
      </w:r>
    </w:p>
    <w:p w14:paraId="0800DE68">
      <w:pPr>
        <w:pStyle w:val="290"/>
      </w:pPr>
      <w:r>
        <w:rPr>
          <w:rFonts w:hint="eastAsia"/>
        </w:rPr>
        <w:t>6</w:t>
      </w:r>
      <w:r>
        <w:t>.4.13</w:t>
      </w:r>
      <w:r>
        <w:rPr>
          <w:rFonts w:hint="eastAsia"/>
        </w:rPr>
        <w:t>工厂接头标志</w:t>
      </w:r>
    </w:p>
    <w:p w14:paraId="2460DE2D">
      <w:pPr>
        <w:pStyle w:val="288"/>
        <w:rPr>
          <w:sz w:val="24"/>
          <w:szCs w:val="24"/>
        </w:rPr>
      </w:pPr>
      <w:r>
        <w:rPr>
          <w:rFonts w:hint="eastAsia"/>
        </w:rPr>
        <w:t>工厂接头处应有醒目的永久标示，该标示应提示接头所在位置较两侧站点终端头的距离。</w:t>
      </w:r>
    </w:p>
    <w:p w14:paraId="33382623">
      <w:pPr>
        <w:pStyle w:val="286"/>
      </w:pPr>
      <w:bookmarkStart w:id="114" w:name="_Toc162518923"/>
      <w:bookmarkStart w:id="115" w:name="_Toc232443354"/>
      <w:bookmarkStart w:id="116" w:name="_Toc226123947"/>
      <w:r>
        <w:rPr>
          <w:rFonts w:hint="eastAsia"/>
        </w:rPr>
        <w:t>6.5 复合光缆</w:t>
      </w:r>
      <w:bookmarkEnd w:id="114"/>
      <w:bookmarkEnd w:id="115"/>
      <w:bookmarkEnd w:id="116"/>
    </w:p>
    <w:p w14:paraId="0C1BD2A0">
      <w:pPr>
        <w:pStyle w:val="288"/>
      </w:pPr>
      <w:r>
        <w:rPr>
          <w:rFonts w:hint="eastAsia"/>
        </w:rPr>
        <w:t>1、每根海缆要求复合</w:t>
      </w:r>
      <w:r>
        <w:t>3</w:t>
      </w:r>
      <w:r>
        <w:rPr>
          <w:rFonts w:hint="eastAsia"/>
        </w:rPr>
        <w:t>根</w:t>
      </w:r>
      <w:r>
        <w:t>96</w:t>
      </w:r>
      <w:r>
        <w:rPr>
          <w:rFonts w:hint="eastAsia"/>
        </w:rPr>
        <w:t>芯光缆，每根光缆型号为</w:t>
      </w:r>
      <w:r>
        <w:t>96</w:t>
      </w:r>
      <w:r>
        <w:rPr>
          <w:rFonts w:hint="eastAsia"/>
        </w:rPr>
        <w:t>芯</w:t>
      </w:r>
      <w:r>
        <w:t>G.652D</w:t>
      </w:r>
      <w:r>
        <w:rPr>
          <w:rFonts w:hint="eastAsia"/>
        </w:rPr>
        <w:t>单模光纤，光缆主要用于远动、局放系统、电能计量、保信子站、综合数据网、光缆监测、行政电话、视频会议、计算机监控、海缆在线综合监测等系统。</w:t>
      </w:r>
    </w:p>
    <w:p w14:paraId="226C09A9">
      <w:pPr>
        <w:pStyle w:val="288"/>
      </w:pPr>
      <w:r>
        <w:rPr>
          <w:rFonts w:hint="eastAsia"/>
        </w:rPr>
        <w:t>2、光纤单元采用不锈钢管中心束管结构，管外包覆PE保护层。光纤</w:t>
      </w:r>
      <w:r>
        <w:t>单元的要求</w:t>
      </w:r>
      <w:r>
        <w:rPr>
          <w:rFonts w:hint="eastAsia"/>
        </w:rPr>
        <w:t>应符合GB/T 41629的</w:t>
      </w:r>
      <w:r>
        <w:t>规定</w:t>
      </w:r>
      <w:r>
        <w:rPr>
          <w:rFonts w:hint="eastAsia"/>
        </w:rPr>
        <w:t>。</w:t>
      </w:r>
    </w:p>
    <w:p w14:paraId="25BB6174">
      <w:pPr>
        <w:pStyle w:val="288"/>
      </w:pPr>
      <w:r>
        <w:rPr>
          <w:rFonts w:hint="eastAsia"/>
        </w:rPr>
        <w:t>3、光纤的传输性能和结构尺寸应符合</w:t>
      </w:r>
      <w:r>
        <w:t>GB/T 9771</w:t>
      </w:r>
      <w:r>
        <w:rPr>
          <w:rFonts w:hint="eastAsia"/>
        </w:rPr>
        <w:t>和</w:t>
      </w:r>
      <w:r>
        <w:t>GB/T 12357.1</w:t>
      </w:r>
      <w:r>
        <w:rPr>
          <w:rFonts w:hint="eastAsia"/>
        </w:rPr>
        <w:t>的规定。</w:t>
      </w:r>
    </w:p>
    <w:p w14:paraId="20965671">
      <w:pPr>
        <w:pStyle w:val="288"/>
      </w:pPr>
      <w:r>
        <w:rPr>
          <w:rFonts w:hint="eastAsia"/>
        </w:rPr>
        <w:t>4、光纤复合海缆的光纤试验及性能应符合行标</w:t>
      </w:r>
      <w:r>
        <w:t>DL/T 2060</w:t>
      </w:r>
      <w:r>
        <w:rPr>
          <w:rFonts w:hint="eastAsia"/>
        </w:rPr>
        <w:t>与国标G</w:t>
      </w:r>
      <w:r>
        <w:t>B/T</w:t>
      </w:r>
      <w:r>
        <w:rPr>
          <w:rFonts w:hint="eastAsia"/>
        </w:rPr>
        <w:t>41629的规定</w:t>
      </w:r>
    </w:p>
    <w:p w14:paraId="427EE27A">
      <w:pPr>
        <w:pStyle w:val="288"/>
      </w:pPr>
      <w:r>
        <w:rPr>
          <w:rFonts w:hint="eastAsia"/>
        </w:rPr>
        <w:t>5、制造厂提供的每根海缆光纤单元应为一完整制造长度，光纤应无中间接头。</w:t>
      </w:r>
    </w:p>
    <w:p w14:paraId="18C3295B">
      <w:pPr>
        <w:pStyle w:val="288"/>
        <w:rPr>
          <w:sz w:val="24"/>
          <w:szCs w:val="24"/>
        </w:rPr>
      </w:pPr>
      <w:r>
        <w:rPr>
          <w:rFonts w:hint="eastAsia"/>
        </w:rPr>
        <w:t>6、光纤技术参数要求如下表所示：</w:t>
      </w:r>
    </w:p>
    <w:p w14:paraId="12164308">
      <w:pPr>
        <w:spacing w:line="440" w:lineRule="exact"/>
        <w:jc w:val="center"/>
        <w:rPr>
          <w:rFonts w:hAnsi="仿宋_GB2312"/>
          <w:szCs w:val="21"/>
        </w:rPr>
      </w:pPr>
      <w:r>
        <w:rPr>
          <w:rFonts w:hint="eastAsia" w:hAnsi="仿宋_GB2312"/>
          <w:szCs w:val="21"/>
        </w:rPr>
        <w:t>表6</w:t>
      </w:r>
      <w:r>
        <w:rPr>
          <w:rFonts w:hAnsi="仿宋_GB2312"/>
          <w:szCs w:val="21"/>
        </w:rPr>
        <w:t>.5-</w:t>
      </w:r>
      <w:r>
        <w:rPr>
          <w:rFonts w:hint="eastAsia" w:hAnsi="仿宋_GB2312"/>
          <w:szCs w:val="21"/>
        </w:rPr>
        <w:t>1  G.652D单模光纤技术参数要求</w:t>
      </w:r>
    </w:p>
    <w:tbl>
      <w:tblPr>
        <w:tblStyle w:val="85"/>
        <w:tblW w:w="92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31"/>
        <w:gridCol w:w="3655"/>
      </w:tblGrid>
      <w:tr w14:paraId="56D9C1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tblHeader/>
          <w:jc w:val="center"/>
        </w:trPr>
        <w:tc>
          <w:tcPr>
            <w:tcW w:w="5631" w:type="dxa"/>
            <w:tcBorders>
              <w:top w:val="single" w:color="auto" w:sz="4" w:space="0"/>
              <w:left w:val="single" w:color="auto" w:sz="4" w:space="0"/>
              <w:bottom w:val="single" w:color="auto" w:sz="4" w:space="0"/>
              <w:right w:val="single" w:color="auto" w:sz="4" w:space="0"/>
            </w:tcBorders>
            <w:vAlign w:val="center"/>
          </w:tcPr>
          <w:p w14:paraId="7B163B81">
            <w:pPr>
              <w:spacing w:line="460" w:lineRule="atLeast"/>
              <w:jc w:val="center"/>
              <w:rPr>
                <w:szCs w:val="21"/>
              </w:rPr>
            </w:pPr>
            <w:r>
              <w:rPr>
                <w:rFonts w:hAnsi="仿宋_GB2312"/>
                <w:szCs w:val="21"/>
              </w:rPr>
              <w:t>项目</w:t>
            </w:r>
          </w:p>
        </w:tc>
        <w:tc>
          <w:tcPr>
            <w:tcW w:w="3655" w:type="dxa"/>
            <w:tcBorders>
              <w:top w:val="single" w:color="auto" w:sz="4" w:space="0"/>
              <w:left w:val="single" w:color="auto" w:sz="4" w:space="0"/>
              <w:bottom w:val="single" w:color="auto" w:sz="4" w:space="0"/>
              <w:right w:val="single" w:color="auto" w:sz="4" w:space="0"/>
            </w:tcBorders>
            <w:vAlign w:val="center"/>
          </w:tcPr>
          <w:p w14:paraId="1EF5CD82">
            <w:pPr>
              <w:spacing w:line="460" w:lineRule="atLeast"/>
              <w:jc w:val="center"/>
              <w:rPr>
                <w:szCs w:val="21"/>
              </w:rPr>
            </w:pPr>
            <w:r>
              <w:rPr>
                <w:szCs w:val="21"/>
              </w:rPr>
              <w:t>G.652D</w:t>
            </w:r>
          </w:p>
        </w:tc>
      </w:tr>
      <w:tr w14:paraId="31F28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7AE60950">
            <w:pPr>
              <w:spacing w:line="460" w:lineRule="atLeast"/>
              <w:jc w:val="center"/>
              <w:rPr>
                <w:szCs w:val="21"/>
              </w:rPr>
            </w:pPr>
            <w:r>
              <w:rPr>
                <w:rFonts w:hAnsi="仿宋_GB2312"/>
                <w:szCs w:val="21"/>
              </w:rPr>
              <w:t>衰减：</w:t>
            </w:r>
            <w:r>
              <w:rPr>
                <w:szCs w:val="21"/>
              </w:rPr>
              <w:t>1310nm(dB/</w:t>
            </w:r>
            <w:r>
              <w:rPr>
                <w:rFonts w:hint="eastAsia"/>
                <w:szCs w:val="21"/>
              </w:rPr>
              <w:t>k</w:t>
            </w:r>
            <w:r>
              <w:rPr>
                <w:szCs w:val="21"/>
              </w:rPr>
              <w:t>m)</w:t>
            </w:r>
          </w:p>
        </w:tc>
        <w:tc>
          <w:tcPr>
            <w:tcW w:w="3655" w:type="dxa"/>
            <w:tcBorders>
              <w:top w:val="single" w:color="auto" w:sz="4" w:space="0"/>
              <w:left w:val="single" w:color="auto" w:sz="4" w:space="0"/>
              <w:bottom w:val="single" w:color="auto" w:sz="4" w:space="0"/>
              <w:right w:val="single" w:color="auto" w:sz="4" w:space="0"/>
            </w:tcBorders>
            <w:vAlign w:val="center"/>
          </w:tcPr>
          <w:p w14:paraId="66003B5F">
            <w:pPr>
              <w:spacing w:line="460" w:lineRule="atLeast"/>
              <w:jc w:val="center"/>
              <w:rPr>
                <w:szCs w:val="21"/>
              </w:rPr>
            </w:pPr>
            <w:r>
              <w:rPr>
                <w:szCs w:val="21"/>
              </w:rPr>
              <w:t>≤0.36</w:t>
            </w:r>
          </w:p>
        </w:tc>
      </w:tr>
      <w:tr w14:paraId="6D32AE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40659A32">
            <w:pPr>
              <w:spacing w:line="460" w:lineRule="atLeast"/>
              <w:jc w:val="center"/>
              <w:rPr>
                <w:szCs w:val="21"/>
              </w:rPr>
            </w:pPr>
            <w:r>
              <w:rPr>
                <w:rFonts w:hAnsi="仿宋_GB2312"/>
                <w:szCs w:val="21"/>
              </w:rPr>
              <w:t>衰减：</w:t>
            </w:r>
            <w:r>
              <w:rPr>
                <w:szCs w:val="21"/>
              </w:rPr>
              <w:t>13</w:t>
            </w:r>
            <w:r>
              <w:rPr>
                <w:color w:val="000000"/>
                <w:szCs w:val="21"/>
              </w:rPr>
              <w:t>83</w:t>
            </w:r>
            <w:r>
              <w:rPr>
                <w:szCs w:val="21"/>
              </w:rPr>
              <w:t>±3nm(dB/km)</w:t>
            </w:r>
          </w:p>
        </w:tc>
        <w:tc>
          <w:tcPr>
            <w:tcW w:w="3655" w:type="dxa"/>
            <w:tcBorders>
              <w:top w:val="single" w:color="auto" w:sz="4" w:space="0"/>
              <w:left w:val="single" w:color="auto" w:sz="4" w:space="0"/>
              <w:bottom w:val="single" w:color="auto" w:sz="4" w:space="0"/>
              <w:right w:val="single" w:color="auto" w:sz="4" w:space="0"/>
            </w:tcBorders>
            <w:vAlign w:val="center"/>
          </w:tcPr>
          <w:p w14:paraId="14D93E2B">
            <w:pPr>
              <w:spacing w:line="460" w:lineRule="atLeast"/>
              <w:jc w:val="center"/>
              <w:rPr>
                <w:szCs w:val="21"/>
              </w:rPr>
            </w:pPr>
            <w:r>
              <w:rPr>
                <w:szCs w:val="21"/>
              </w:rPr>
              <w:t>≤0.36</w:t>
            </w:r>
          </w:p>
        </w:tc>
      </w:tr>
      <w:tr w14:paraId="53DE14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4C5C09EF">
            <w:pPr>
              <w:spacing w:line="460" w:lineRule="atLeast"/>
              <w:jc w:val="center"/>
              <w:rPr>
                <w:szCs w:val="21"/>
              </w:rPr>
            </w:pPr>
            <w:r>
              <w:rPr>
                <w:rFonts w:hAnsi="仿宋_GB2312"/>
                <w:szCs w:val="21"/>
              </w:rPr>
              <w:t>衰减：</w:t>
            </w:r>
            <w:r>
              <w:rPr>
                <w:szCs w:val="21"/>
              </w:rPr>
              <w:t>1550nm(dB/km)</w:t>
            </w:r>
          </w:p>
        </w:tc>
        <w:tc>
          <w:tcPr>
            <w:tcW w:w="3655" w:type="dxa"/>
            <w:tcBorders>
              <w:top w:val="single" w:color="auto" w:sz="4" w:space="0"/>
              <w:left w:val="single" w:color="auto" w:sz="4" w:space="0"/>
              <w:bottom w:val="single" w:color="auto" w:sz="4" w:space="0"/>
              <w:right w:val="single" w:color="auto" w:sz="4" w:space="0"/>
            </w:tcBorders>
            <w:vAlign w:val="center"/>
          </w:tcPr>
          <w:p w14:paraId="01F5F5A9">
            <w:pPr>
              <w:spacing w:line="460" w:lineRule="atLeast"/>
              <w:jc w:val="center"/>
              <w:rPr>
                <w:szCs w:val="21"/>
              </w:rPr>
            </w:pPr>
            <w:r>
              <w:rPr>
                <w:szCs w:val="21"/>
              </w:rPr>
              <w:t>≤0.22</w:t>
            </w:r>
          </w:p>
        </w:tc>
      </w:tr>
      <w:tr w14:paraId="7D8024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09B5529C">
            <w:pPr>
              <w:spacing w:line="460" w:lineRule="atLeast"/>
              <w:jc w:val="center"/>
              <w:rPr>
                <w:szCs w:val="21"/>
              </w:rPr>
            </w:pPr>
            <w:r>
              <w:rPr>
                <w:rFonts w:hAnsi="仿宋_GB2312"/>
                <w:szCs w:val="21"/>
              </w:rPr>
              <w:t>模场直径：</w:t>
            </w:r>
            <w:r>
              <w:rPr>
                <w:szCs w:val="21"/>
              </w:rPr>
              <w:t>1310nm(μm)</w:t>
            </w:r>
          </w:p>
        </w:tc>
        <w:tc>
          <w:tcPr>
            <w:tcW w:w="3655" w:type="dxa"/>
            <w:tcBorders>
              <w:top w:val="single" w:color="auto" w:sz="4" w:space="0"/>
              <w:left w:val="single" w:color="auto" w:sz="4" w:space="0"/>
              <w:bottom w:val="single" w:color="auto" w:sz="4" w:space="0"/>
              <w:right w:val="single" w:color="auto" w:sz="4" w:space="0"/>
            </w:tcBorders>
            <w:vAlign w:val="center"/>
          </w:tcPr>
          <w:p w14:paraId="0C2EE126">
            <w:pPr>
              <w:spacing w:line="460" w:lineRule="atLeast"/>
              <w:jc w:val="center"/>
              <w:rPr>
                <w:szCs w:val="21"/>
              </w:rPr>
            </w:pPr>
            <w:r>
              <w:rPr>
                <w:rFonts w:hAnsi="仿宋_GB2312"/>
                <w:szCs w:val="21"/>
              </w:rPr>
              <w:t>（</w:t>
            </w:r>
            <w:r>
              <w:rPr>
                <w:szCs w:val="21"/>
              </w:rPr>
              <w:t>8.6</w:t>
            </w:r>
            <w:r>
              <w:rPr>
                <w:rFonts w:hAnsi="仿宋_GB2312"/>
                <w:szCs w:val="21"/>
              </w:rPr>
              <w:t>～</w:t>
            </w:r>
            <w:r>
              <w:rPr>
                <w:szCs w:val="21"/>
              </w:rPr>
              <w:t>9.5</w:t>
            </w:r>
            <w:r>
              <w:rPr>
                <w:rFonts w:hAnsi="仿宋_GB2312"/>
                <w:szCs w:val="21"/>
              </w:rPr>
              <w:t>）</w:t>
            </w:r>
            <w:r>
              <w:rPr>
                <w:szCs w:val="21"/>
              </w:rPr>
              <w:t>±0.6</w:t>
            </w:r>
          </w:p>
        </w:tc>
      </w:tr>
      <w:tr w14:paraId="5EDD7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37FD9256">
            <w:pPr>
              <w:spacing w:line="460" w:lineRule="atLeast"/>
              <w:jc w:val="center"/>
              <w:rPr>
                <w:szCs w:val="21"/>
              </w:rPr>
            </w:pPr>
            <w:r>
              <w:rPr>
                <w:rFonts w:hAnsi="仿宋_GB2312"/>
                <w:szCs w:val="21"/>
              </w:rPr>
              <w:t>缆的截止波长</w:t>
            </w:r>
            <w:r>
              <w:rPr>
                <w:szCs w:val="21"/>
              </w:rPr>
              <w:t>(nm)</w:t>
            </w:r>
          </w:p>
        </w:tc>
        <w:tc>
          <w:tcPr>
            <w:tcW w:w="3655" w:type="dxa"/>
            <w:tcBorders>
              <w:top w:val="single" w:color="auto" w:sz="4" w:space="0"/>
              <w:left w:val="single" w:color="auto" w:sz="4" w:space="0"/>
              <w:bottom w:val="single" w:color="auto" w:sz="4" w:space="0"/>
              <w:right w:val="single" w:color="auto" w:sz="4" w:space="0"/>
            </w:tcBorders>
            <w:vAlign w:val="center"/>
          </w:tcPr>
          <w:p w14:paraId="15E3CA88">
            <w:pPr>
              <w:spacing w:line="460" w:lineRule="atLeast"/>
              <w:jc w:val="center"/>
              <w:rPr>
                <w:szCs w:val="21"/>
              </w:rPr>
            </w:pPr>
            <w:r>
              <w:rPr>
                <w:szCs w:val="21"/>
              </w:rPr>
              <w:t>λcc≤1260</w:t>
            </w:r>
          </w:p>
        </w:tc>
      </w:tr>
      <w:tr w14:paraId="3A69FC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71F86454">
            <w:pPr>
              <w:spacing w:line="320" w:lineRule="atLeast"/>
              <w:jc w:val="center"/>
              <w:rPr>
                <w:szCs w:val="21"/>
              </w:rPr>
            </w:pPr>
            <w:r>
              <w:rPr>
                <w:szCs w:val="21"/>
              </w:rPr>
              <w:t>1285~1339nm</w:t>
            </w:r>
            <w:r>
              <w:rPr>
                <w:rFonts w:hAnsi="仿宋_GB2312"/>
                <w:szCs w:val="21"/>
              </w:rPr>
              <w:t>色散系数</w:t>
            </w:r>
            <w:r>
              <w:rPr>
                <w:szCs w:val="21"/>
              </w:rPr>
              <w:t>(ps/nm.km)</w:t>
            </w:r>
          </w:p>
        </w:tc>
        <w:tc>
          <w:tcPr>
            <w:tcW w:w="3655" w:type="dxa"/>
            <w:tcBorders>
              <w:top w:val="single" w:color="auto" w:sz="4" w:space="0"/>
              <w:left w:val="single" w:color="auto" w:sz="4" w:space="0"/>
              <w:bottom w:val="single" w:color="auto" w:sz="4" w:space="0"/>
              <w:right w:val="single" w:color="auto" w:sz="4" w:space="0"/>
            </w:tcBorders>
            <w:vAlign w:val="center"/>
          </w:tcPr>
          <w:p w14:paraId="612DF056">
            <w:pPr>
              <w:spacing w:line="320" w:lineRule="atLeast"/>
              <w:jc w:val="center"/>
              <w:rPr>
                <w:szCs w:val="21"/>
              </w:rPr>
            </w:pPr>
            <w:r>
              <w:rPr>
                <w:szCs w:val="21"/>
              </w:rPr>
              <w:t>≤3.5</w:t>
            </w:r>
          </w:p>
        </w:tc>
      </w:tr>
      <w:tr w14:paraId="5AF8AF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0F1A74E3">
            <w:pPr>
              <w:spacing w:line="320" w:lineRule="atLeast"/>
              <w:jc w:val="center"/>
              <w:rPr>
                <w:szCs w:val="21"/>
              </w:rPr>
            </w:pPr>
            <w:r>
              <w:rPr>
                <w:szCs w:val="21"/>
              </w:rPr>
              <w:t>1270~1360nm</w:t>
            </w:r>
            <w:r>
              <w:rPr>
                <w:rFonts w:hAnsi="仿宋_GB2312"/>
                <w:szCs w:val="21"/>
              </w:rPr>
              <w:t>色散系数</w:t>
            </w:r>
            <w:r>
              <w:rPr>
                <w:szCs w:val="21"/>
              </w:rPr>
              <w:t>(ps/nm.km)</w:t>
            </w:r>
          </w:p>
        </w:tc>
        <w:tc>
          <w:tcPr>
            <w:tcW w:w="3655" w:type="dxa"/>
            <w:tcBorders>
              <w:top w:val="single" w:color="auto" w:sz="4" w:space="0"/>
              <w:left w:val="single" w:color="auto" w:sz="4" w:space="0"/>
              <w:bottom w:val="single" w:color="auto" w:sz="4" w:space="0"/>
              <w:right w:val="single" w:color="auto" w:sz="4" w:space="0"/>
            </w:tcBorders>
            <w:vAlign w:val="center"/>
          </w:tcPr>
          <w:p w14:paraId="0502E430">
            <w:pPr>
              <w:spacing w:line="320" w:lineRule="atLeast"/>
              <w:jc w:val="center"/>
              <w:rPr>
                <w:szCs w:val="21"/>
              </w:rPr>
            </w:pPr>
            <w:r>
              <w:rPr>
                <w:szCs w:val="21"/>
              </w:rPr>
              <w:t>≤5.3</w:t>
            </w:r>
          </w:p>
        </w:tc>
      </w:tr>
      <w:tr w14:paraId="45E460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1184AA13">
            <w:pPr>
              <w:spacing w:line="460" w:lineRule="atLeast"/>
              <w:jc w:val="center"/>
              <w:rPr>
                <w:szCs w:val="21"/>
              </w:rPr>
            </w:pPr>
            <w:r>
              <w:rPr>
                <w:szCs w:val="21"/>
              </w:rPr>
              <w:t>1550nm</w:t>
            </w:r>
            <w:r>
              <w:rPr>
                <w:rFonts w:hAnsi="仿宋_GB2312"/>
                <w:szCs w:val="21"/>
              </w:rPr>
              <w:t>色散系数</w:t>
            </w:r>
            <w:r>
              <w:rPr>
                <w:szCs w:val="21"/>
              </w:rPr>
              <w:t>(ps/nm.km)</w:t>
            </w:r>
          </w:p>
        </w:tc>
        <w:tc>
          <w:tcPr>
            <w:tcW w:w="3655" w:type="dxa"/>
            <w:tcBorders>
              <w:top w:val="single" w:color="auto" w:sz="4" w:space="0"/>
              <w:left w:val="single" w:color="auto" w:sz="4" w:space="0"/>
              <w:bottom w:val="single" w:color="auto" w:sz="4" w:space="0"/>
              <w:right w:val="single" w:color="auto" w:sz="4" w:space="0"/>
            </w:tcBorders>
            <w:vAlign w:val="center"/>
          </w:tcPr>
          <w:p w14:paraId="297D459D">
            <w:pPr>
              <w:spacing w:line="460" w:lineRule="atLeast"/>
              <w:jc w:val="center"/>
              <w:rPr>
                <w:szCs w:val="21"/>
              </w:rPr>
            </w:pPr>
            <w:r>
              <w:rPr>
                <w:szCs w:val="21"/>
              </w:rPr>
              <w:t>≤18</w:t>
            </w:r>
          </w:p>
        </w:tc>
      </w:tr>
      <w:tr w14:paraId="7747E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65454ED3">
            <w:pPr>
              <w:spacing w:line="460" w:lineRule="atLeast"/>
              <w:jc w:val="center"/>
              <w:rPr>
                <w:szCs w:val="21"/>
              </w:rPr>
            </w:pPr>
            <w:r>
              <w:rPr>
                <w:rFonts w:hAnsi="仿宋_GB2312"/>
                <w:szCs w:val="21"/>
              </w:rPr>
              <w:t>零色散波长</w:t>
            </w:r>
            <w:r>
              <w:rPr>
                <w:szCs w:val="21"/>
              </w:rPr>
              <w:t>(nm)</w:t>
            </w:r>
          </w:p>
        </w:tc>
        <w:tc>
          <w:tcPr>
            <w:tcW w:w="3655" w:type="dxa"/>
            <w:tcBorders>
              <w:top w:val="single" w:color="auto" w:sz="4" w:space="0"/>
              <w:left w:val="single" w:color="auto" w:sz="4" w:space="0"/>
              <w:bottom w:val="single" w:color="auto" w:sz="4" w:space="0"/>
              <w:right w:val="single" w:color="auto" w:sz="4" w:space="0"/>
            </w:tcBorders>
            <w:vAlign w:val="center"/>
          </w:tcPr>
          <w:p w14:paraId="2EEDE3C6">
            <w:pPr>
              <w:spacing w:line="460" w:lineRule="atLeast"/>
              <w:jc w:val="center"/>
              <w:rPr>
                <w:szCs w:val="21"/>
              </w:rPr>
            </w:pPr>
            <w:r>
              <w:rPr>
                <w:szCs w:val="21"/>
              </w:rPr>
              <w:t>1300~1324</w:t>
            </w:r>
          </w:p>
        </w:tc>
      </w:tr>
      <w:tr w14:paraId="57C062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1C1E2CC1">
            <w:pPr>
              <w:spacing w:line="460" w:lineRule="atLeast"/>
              <w:jc w:val="center"/>
              <w:rPr>
                <w:szCs w:val="21"/>
              </w:rPr>
            </w:pPr>
            <w:r>
              <w:rPr>
                <w:rFonts w:hAnsi="仿宋_GB2312"/>
                <w:szCs w:val="21"/>
              </w:rPr>
              <w:t>零色散斜率</w:t>
            </w:r>
            <w:r>
              <w:rPr>
                <w:szCs w:val="21"/>
              </w:rPr>
              <w:t>ps/</w:t>
            </w:r>
            <w:r>
              <w:rPr>
                <w:rFonts w:hAnsi="仿宋_GB2312"/>
                <w:szCs w:val="21"/>
              </w:rPr>
              <w:t>（</w:t>
            </w:r>
            <w:r>
              <w:rPr>
                <w:szCs w:val="21"/>
              </w:rPr>
              <w:t>nm</w:t>
            </w:r>
            <w:r>
              <w:rPr>
                <w:szCs w:val="21"/>
                <w:vertAlign w:val="superscript"/>
              </w:rPr>
              <w:t>2</w:t>
            </w:r>
            <w:r>
              <w:rPr>
                <w:szCs w:val="21"/>
              </w:rPr>
              <w:t>.km</w:t>
            </w:r>
            <w:r>
              <w:rPr>
                <w:rFonts w:hAnsi="仿宋_GB2312"/>
                <w:szCs w:val="21"/>
              </w:rPr>
              <w:t>）</w:t>
            </w:r>
          </w:p>
        </w:tc>
        <w:tc>
          <w:tcPr>
            <w:tcW w:w="3655" w:type="dxa"/>
            <w:tcBorders>
              <w:top w:val="single" w:color="auto" w:sz="4" w:space="0"/>
              <w:left w:val="single" w:color="auto" w:sz="4" w:space="0"/>
              <w:bottom w:val="single" w:color="auto" w:sz="4" w:space="0"/>
              <w:right w:val="single" w:color="auto" w:sz="4" w:space="0"/>
            </w:tcBorders>
            <w:vAlign w:val="center"/>
          </w:tcPr>
          <w:p w14:paraId="4CA7ADB9">
            <w:pPr>
              <w:spacing w:line="460" w:lineRule="atLeast"/>
              <w:jc w:val="center"/>
              <w:rPr>
                <w:szCs w:val="21"/>
              </w:rPr>
            </w:pPr>
            <w:r>
              <w:rPr>
                <w:szCs w:val="21"/>
              </w:rPr>
              <w:t>≤0.092</w:t>
            </w:r>
          </w:p>
        </w:tc>
      </w:tr>
      <w:tr w14:paraId="731723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0A854AFA">
            <w:pPr>
              <w:spacing w:line="320" w:lineRule="atLeast"/>
              <w:jc w:val="center"/>
              <w:rPr>
                <w:szCs w:val="21"/>
              </w:rPr>
            </w:pPr>
            <w:r>
              <w:rPr>
                <w:rFonts w:hAnsi="仿宋_GB2312"/>
                <w:szCs w:val="21"/>
              </w:rPr>
              <w:t>单根光纤偏振模色散</w:t>
            </w:r>
            <w:r>
              <w:rPr>
                <w:szCs w:val="21"/>
              </w:rPr>
              <w:t>PMD</w:t>
            </w:r>
            <w:r>
              <w:rPr>
                <w:szCs w:val="21"/>
                <w:vertAlign w:val="subscript"/>
              </w:rPr>
              <w:t>Q</w:t>
            </w:r>
            <w:r>
              <w:rPr>
                <w:rFonts w:hAnsi="仿宋_GB2312"/>
                <w:szCs w:val="21"/>
              </w:rPr>
              <w:t>值</w:t>
            </w:r>
            <w:r>
              <w:rPr>
                <w:szCs w:val="21"/>
              </w:rPr>
              <w:t xml:space="preserve"> (ps/(km)</w:t>
            </w:r>
            <w:r>
              <w:rPr>
                <w:szCs w:val="21"/>
                <w:vertAlign w:val="superscript"/>
              </w:rPr>
              <w:t>1/2</w:t>
            </w:r>
            <w:r>
              <w:rPr>
                <w:szCs w:val="21"/>
              </w:rPr>
              <w:t>)</w:t>
            </w:r>
          </w:p>
          <w:p w14:paraId="369A0E9F">
            <w:pPr>
              <w:spacing w:line="320" w:lineRule="atLeast"/>
              <w:jc w:val="center"/>
              <w:rPr>
                <w:szCs w:val="21"/>
              </w:rPr>
            </w:pPr>
            <w:r>
              <w:rPr>
                <w:rFonts w:hAnsi="仿宋_GB2312"/>
                <w:szCs w:val="21"/>
              </w:rPr>
              <w:t>光缆</w:t>
            </w:r>
            <w:r>
              <w:rPr>
                <w:szCs w:val="21"/>
              </w:rPr>
              <w:t>20</w:t>
            </w:r>
            <w:r>
              <w:rPr>
                <w:rFonts w:hAnsi="仿宋_GB2312"/>
                <w:szCs w:val="21"/>
              </w:rPr>
              <w:t>段，概率</w:t>
            </w:r>
            <w:r>
              <w:rPr>
                <w:szCs w:val="21"/>
              </w:rPr>
              <w:t>Q=0.01%</w:t>
            </w:r>
          </w:p>
        </w:tc>
        <w:tc>
          <w:tcPr>
            <w:tcW w:w="3655" w:type="dxa"/>
            <w:tcBorders>
              <w:top w:val="single" w:color="auto" w:sz="4" w:space="0"/>
              <w:left w:val="single" w:color="auto" w:sz="4" w:space="0"/>
              <w:bottom w:val="single" w:color="auto" w:sz="4" w:space="0"/>
              <w:right w:val="single" w:color="auto" w:sz="4" w:space="0"/>
            </w:tcBorders>
            <w:vAlign w:val="center"/>
          </w:tcPr>
          <w:p w14:paraId="4F2FAD46">
            <w:pPr>
              <w:spacing w:line="320" w:lineRule="atLeast"/>
              <w:jc w:val="center"/>
              <w:rPr>
                <w:szCs w:val="21"/>
              </w:rPr>
            </w:pPr>
            <w:r>
              <w:rPr>
                <w:szCs w:val="21"/>
              </w:rPr>
              <w:t>≤0.2</w:t>
            </w:r>
          </w:p>
        </w:tc>
      </w:tr>
      <w:tr w14:paraId="770E21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59AC8F5E">
            <w:pPr>
              <w:spacing w:line="460" w:lineRule="atLeast"/>
              <w:jc w:val="center"/>
              <w:rPr>
                <w:szCs w:val="21"/>
              </w:rPr>
            </w:pPr>
            <w:r>
              <w:rPr>
                <w:rFonts w:hAnsi="仿宋_GB2312"/>
                <w:szCs w:val="21"/>
              </w:rPr>
              <w:t>包层直径</w:t>
            </w:r>
            <w:r>
              <w:rPr>
                <w:szCs w:val="21"/>
              </w:rPr>
              <w:t>(μm)</w:t>
            </w:r>
          </w:p>
        </w:tc>
        <w:tc>
          <w:tcPr>
            <w:tcW w:w="3655" w:type="dxa"/>
            <w:tcBorders>
              <w:top w:val="single" w:color="auto" w:sz="4" w:space="0"/>
              <w:left w:val="single" w:color="auto" w:sz="4" w:space="0"/>
              <w:bottom w:val="single" w:color="auto" w:sz="4" w:space="0"/>
              <w:right w:val="single" w:color="auto" w:sz="4" w:space="0"/>
            </w:tcBorders>
            <w:vAlign w:val="center"/>
          </w:tcPr>
          <w:p w14:paraId="4C050142">
            <w:pPr>
              <w:spacing w:line="460" w:lineRule="atLeast"/>
              <w:jc w:val="center"/>
              <w:rPr>
                <w:szCs w:val="21"/>
              </w:rPr>
            </w:pPr>
            <w:r>
              <w:rPr>
                <w:szCs w:val="21"/>
              </w:rPr>
              <w:t>125±1.0</w:t>
            </w:r>
          </w:p>
        </w:tc>
      </w:tr>
      <w:tr w14:paraId="339C2B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7421AA58">
            <w:pPr>
              <w:spacing w:line="460" w:lineRule="atLeast"/>
              <w:jc w:val="center"/>
              <w:rPr>
                <w:szCs w:val="21"/>
              </w:rPr>
            </w:pPr>
            <w:r>
              <w:rPr>
                <w:rFonts w:hAnsi="仿宋_GB2312"/>
                <w:szCs w:val="21"/>
              </w:rPr>
              <w:t>芯</w:t>
            </w:r>
            <w:r>
              <w:rPr>
                <w:szCs w:val="21"/>
              </w:rPr>
              <w:t>/</w:t>
            </w:r>
            <w:r>
              <w:rPr>
                <w:rFonts w:hAnsi="仿宋_GB2312"/>
                <w:szCs w:val="21"/>
              </w:rPr>
              <w:t>包层同心度误差</w:t>
            </w:r>
            <w:r>
              <w:rPr>
                <w:szCs w:val="21"/>
              </w:rPr>
              <w:t>(μm)</w:t>
            </w:r>
          </w:p>
        </w:tc>
        <w:tc>
          <w:tcPr>
            <w:tcW w:w="3655" w:type="dxa"/>
            <w:tcBorders>
              <w:top w:val="single" w:color="auto" w:sz="4" w:space="0"/>
              <w:left w:val="single" w:color="auto" w:sz="4" w:space="0"/>
              <w:bottom w:val="single" w:color="auto" w:sz="4" w:space="0"/>
              <w:right w:val="single" w:color="auto" w:sz="4" w:space="0"/>
            </w:tcBorders>
            <w:vAlign w:val="center"/>
          </w:tcPr>
          <w:p w14:paraId="4A90E489">
            <w:pPr>
              <w:spacing w:line="460" w:lineRule="atLeast"/>
              <w:jc w:val="center"/>
              <w:rPr>
                <w:szCs w:val="21"/>
              </w:rPr>
            </w:pPr>
            <w:r>
              <w:rPr>
                <w:szCs w:val="21"/>
              </w:rPr>
              <w:t>≤0.6</w:t>
            </w:r>
          </w:p>
        </w:tc>
      </w:tr>
      <w:tr w14:paraId="1A8CEB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0934C532">
            <w:pPr>
              <w:spacing w:line="460" w:lineRule="atLeast"/>
              <w:jc w:val="center"/>
              <w:rPr>
                <w:szCs w:val="21"/>
              </w:rPr>
            </w:pPr>
            <w:r>
              <w:rPr>
                <w:rFonts w:hAnsi="仿宋_GB2312"/>
                <w:szCs w:val="21"/>
              </w:rPr>
              <w:t>包层不圆度（</w:t>
            </w:r>
            <w:r>
              <w:rPr>
                <w:szCs w:val="21"/>
              </w:rPr>
              <w:t>%</w:t>
            </w:r>
            <w:r>
              <w:rPr>
                <w:rFonts w:hAnsi="仿宋_GB2312"/>
                <w:szCs w:val="21"/>
              </w:rPr>
              <w:t>）</w:t>
            </w:r>
          </w:p>
        </w:tc>
        <w:tc>
          <w:tcPr>
            <w:tcW w:w="3655" w:type="dxa"/>
            <w:tcBorders>
              <w:top w:val="single" w:color="auto" w:sz="4" w:space="0"/>
              <w:left w:val="single" w:color="auto" w:sz="4" w:space="0"/>
              <w:bottom w:val="single" w:color="auto" w:sz="4" w:space="0"/>
              <w:right w:val="single" w:color="auto" w:sz="4" w:space="0"/>
            </w:tcBorders>
            <w:vAlign w:val="center"/>
          </w:tcPr>
          <w:p w14:paraId="487DBB72">
            <w:pPr>
              <w:spacing w:line="460" w:lineRule="atLeast"/>
              <w:jc w:val="center"/>
              <w:rPr>
                <w:szCs w:val="21"/>
              </w:rPr>
            </w:pPr>
            <w:r>
              <w:rPr>
                <w:szCs w:val="21"/>
              </w:rPr>
              <w:t>≤1.0</w:t>
            </w:r>
          </w:p>
        </w:tc>
      </w:tr>
      <w:tr w14:paraId="727F6F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2B39BE23">
            <w:pPr>
              <w:spacing w:line="460" w:lineRule="atLeast"/>
              <w:jc w:val="center"/>
              <w:rPr>
                <w:szCs w:val="21"/>
              </w:rPr>
            </w:pPr>
            <w:r>
              <w:rPr>
                <w:rFonts w:hAnsi="仿宋_GB2312"/>
                <w:szCs w:val="21"/>
              </w:rPr>
              <w:t>涂覆层直径（未着色）</w:t>
            </w:r>
            <w:r>
              <w:rPr>
                <w:szCs w:val="21"/>
              </w:rPr>
              <w:t>(μm)</w:t>
            </w:r>
          </w:p>
        </w:tc>
        <w:tc>
          <w:tcPr>
            <w:tcW w:w="3655" w:type="dxa"/>
            <w:tcBorders>
              <w:top w:val="single" w:color="auto" w:sz="4" w:space="0"/>
              <w:left w:val="single" w:color="auto" w:sz="4" w:space="0"/>
              <w:bottom w:val="single" w:color="auto" w:sz="4" w:space="0"/>
              <w:right w:val="single" w:color="auto" w:sz="4" w:space="0"/>
            </w:tcBorders>
            <w:vAlign w:val="center"/>
          </w:tcPr>
          <w:p w14:paraId="61401556">
            <w:pPr>
              <w:spacing w:line="460" w:lineRule="atLeast"/>
              <w:jc w:val="center"/>
              <w:rPr>
                <w:szCs w:val="21"/>
              </w:rPr>
            </w:pPr>
            <w:r>
              <w:rPr>
                <w:szCs w:val="21"/>
              </w:rPr>
              <w:t>245±10</w:t>
            </w:r>
          </w:p>
        </w:tc>
      </w:tr>
      <w:tr w14:paraId="0B76A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1DD87FD1">
            <w:pPr>
              <w:spacing w:line="460" w:lineRule="atLeast"/>
              <w:jc w:val="center"/>
              <w:rPr>
                <w:szCs w:val="21"/>
              </w:rPr>
            </w:pPr>
            <w:r>
              <w:rPr>
                <w:rFonts w:hAnsi="仿宋_GB2312"/>
                <w:szCs w:val="21"/>
              </w:rPr>
              <w:t>涂覆层直径（着色）</w:t>
            </w:r>
            <w:r>
              <w:rPr>
                <w:szCs w:val="21"/>
              </w:rPr>
              <w:t>(μm)</w:t>
            </w:r>
          </w:p>
        </w:tc>
        <w:tc>
          <w:tcPr>
            <w:tcW w:w="3655" w:type="dxa"/>
            <w:tcBorders>
              <w:top w:val="single" w:color="auto" w:sz="4" w:space="0"/>
              <w:left w:val="single" w:color="auto" w:sz="4" w:space="0"/>
              <w:bottom w:val="single" w:color="auto" w:sz="4" w:space="0"/>
              <w:right w:val="single" w:color="auto" w:sz="4" w:space="0"/>
            </w:tcBorders>
            <w:vAlign w:val="center"/>
          </w:tcPr>
          <w:p w14:paraId="15AC3B96">
            <w:pPr>
              <w:spacing w:line="460" w:lineRule="atLeast"/>
              <w:jc w:val="center"/>
              <w:rPr>
                <w:szCs w:val="21"/>
              </w:rPr>
            </w:pPr>
            <w:r>
              <w:rPr>
                <w:szCs w:val="21"/>
              </w:rPr>
              <w:t>245±15</w:t>
            </w:r>
          </w:p>
        </w:tc>
      </w:tr>
      <w:tr w14:paraId="1F5A1A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621734C1">
            <w:pPr>
              <w:spacing w:line="460" w:lineRule="atLeast"/>
              <w:jc w:val="center"/>
              <w:rPr>
                <w:szCs w:val="21"/>
              </w:rPr>
            </w:pPr>
            <w:r>
              <w:rPr>
                <w:rFonts w:hAnsi="仿宋_GB2312"/>
                <w:szCs w:val="21"/>
              </w:rPr>
              <w:t>涂层</w:t>
            </w:r>
            <w:r>
              <w:rPr>
                <w:szCs w:val="21"/>
              </w:rPr>
              <w:t>/</w:t>
            </w:r>
            <w:r>
              <w:rPr>
                <w:rFonts w:hAnsi="仿宋_GB2312"/>
                <w:szCs w:val="21"/>
              </w:rPr>
              <w:t>包层同心度误差</w:t>
            </w:r>
            <w:r>
              <w:rPr>
                <w:szCs w:val="21"/>
              </w:rPr>
              <w:t>(μm)</w:t>
            </w:r>
          </w:p>
        </w:tc>
        <w:tc>
          <w:tcPr>
            <w:tcW w:w="3655" w:type="dxa"/>
            <w:tcBorders>
              <w:top w:val="single" w:color="auto" w:sz="4" w:space="0"/>
              <w:left w:val="single" w:color="auto" w:sz="4" w:space="0"/>
              <w:bottom w:val="single" w:color="auto" w:sz="4" w:space="0"/>
              <w:right w:val="single" w:color="auto" w:sz="4" w:space="0"/>
            </w:tcBorders>
            <w:vAlign w:val="center"/>
          </w:tcPr>
          <w:p w14:paraId="2F4FB185">
            <w:pPr>
              <w:spacing w:line="460" w:lineRule="atLeast"/>
              <w:jc w:val="center"/>
              <w:rPr>
                <w:szCs w:val="21"/>
              </w:rPr>
            </w:pPr>
            <w:r>
              <w:rPr>
                <w:szCs w:val="21"/>
              </w:rPr>
              <w:t>≤12.5</w:t>
            </w:r>
          </w:p>
        </w:tc>
      </w:tr>
      <w:tr w14:paraId="03B433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5EADE868">
            <w:pPr>
              <w:spacing w:line="360" w:lineRule="atLeast"/>
              <w:jc w:val="center"/>
              <w:rPr>
                <w:szCs w:val="21"/>
              </w:rPr>
            </w:pPr>
            <w:r>
              <w:rPr>
                <w:rFonts w:hAnsi="仿宋_GB2312"/>
                <w:szCs w:val="21"/>
              </w:rPr>
              <w:t>筛选应力（</w:t>
            </w:r>
            <w:r>
              <w:rPr>
                <w:szCs w:val="21"/>
              </w:rPr>
              <w:t>GPa</w:t>
            </w:r>
            <w:r>
              <w:rPr>
                <w:rFonts w:hAnsi="仿宋_GB2312"/>
                <w:szCs w:val="21"/>
              </w:rPr>
              <w:t>）</w:t>
            </w:r>
          </w:p>
        </w:tc>
        <w:tc>
          <w:tcPr>
            <w:tcW w:w="3655" w:type="dxa"/>
            <w:tcBorders>
              <w:top w:val="single" w:color="auto" w:sz="4" w:space="0"/>
              <w:left w:val="single" w:color="auto" w:sz="4" w:space="0"/>
              <w:bottom w:val="single" w:color="auto" w:sz="4" w:space="0"/>
              <w:right w:val="single" w:color="auto" w:sz="4" w:space="0"/>
            </w:tcBorders>
            <w:vAlign w:val="center"/>
          </w:tcPr>
          <w:p w14:paraId="50B9D1D8">
            <w:pPr>
              <w:spacing w:line="360" w:lineRule="atLeast"/>
              <w:jc w:val="center"/>
              <w:rPr>
                <w:szCs w:val="21"/>
              </w:rPr>
            </w:pPr>
            <w:r>
              <w:rPr>
                <w:szCs w:val="21"/>
              </w:rPr>
              <w:t>≥0.69</w:t>
            </w:r>
            <w:r>
              <w:rPr>
                <w:rFonts w:hAnsi="仿宋_GB2312"/>
                <w:szCs w:val="21"/>
              </w:rPr>
              <w:t>（相当于应变</w:t>
            </w:r>
            <w:r>
              <w:rPr>
                <w:szCs w:val="21"/>
              </w:rPr>
              <w:t>1.0%</w:t>
            </w:r>
            <w:r>
              <w:rPr>
                <w:rFonts w:hAnsi="仿宋_GB2312"/>
                <w:szCs w:val="21"/>
              </w:rPr>
              <w:t>）</w:t>
            </w:r>
          </w:p>
        </w:tc>
      </w:tr>
      <w:tr w14:paraId="7C1AA3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331BE172">
            <w:pPr>
              <w:spacing w:line="460" w:lineRule="atLeast"/>
              <w:jc w:val="center"/>
              <w:rPr>
                <w:szCs w:val="21"/>
              </w:rPr>
            </w:pPr>
            <w:r>
              <w:rPr>
                <w:rFonts w:hAnsi="仿宋_GB2312"/>
                <w:szCs w:val="21"/>
              </w:rPr>
              <w:t>光纤翘曲半径</w:t>
            </w:r>
            <w:r>
              <w:rPr>
                <w:szCs w:val="21"/>
              </w:rPr>
              <w:t>(M)</w:t>
            </w:r>
          </w:p>
        </w:tc>
        <w:tc>
          <w:tcPr>
            <w:tcW w:w="3655" w:type="dxa"/>
            <w:tcBorders>
              <w:top w:val="single" w:color="auto" w:sz="4" w:space="0"/>
              <w:left w:val="single" w:color="auto" w:sz="4" w:space="0"/>
              <w:bottom w:val="single" w:color="auto" w:sz="4" w:space="0"/>
              <w:right w:val="single" w:color="auto" w:sz="4" w:space="0"/>
            </w:tcBorders>
            <w:vAlign w:val="center"/>
          </w:tcPr>
          <w:p w14:paraId="4FA4B0AC">
            <w:pPr>
              <w:spacing w:line="460" w:lineRule="atLeast"/>
              <w:jc w:val="center"/>
              <w:rPr>
                <w:szCs w:val="21"/>
              </w:rPr>
            </w:pPr>
            <w:r>
              <w:rPr>
                <w:szCs w:val="21"/>
              </w:rPr>
              <w:t>≥4 m</w:t>
            </w:r>
          </w:p>
        </w:tc>
      </w:tr>
      <w:tr w14:paraId="2EC4B9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8" w:hRule="atLeast"/>
          <w:jc w:val="center"/>
        </w:trPr>
        <w:tc>
          <w:tcPr>
            <w:tcW w:w="5631" w:type="dxa"/>
            <w:tcBorders>
              <w:top w:val="single" w:color="auto" w:sz="4" w:space="0"/>
              <w:left w:val="single" w:color="auto" w:sz="4" w:space="0"/>
              <w:right w:val="single" w:color="auto" w:sz="4" w:space="0"/>
            </w:tcBorders>
            <w:vAlign w:val="center"/>
          </w:tcPr>
          <w:p w14:paraId="25053076">
            <w:pPr>
              <w:spacing w:line="320" w:lineRule="atLeast"/>
              <w:jc w:val="center"/>
              <w:rPr>
                <w:szCs w:val="21"/>
              </w:rPr>
            </w:pPr>
            <w:r>
              <w:rPr>
                <w:rFonts w:hAnsi="仿宋_GB2312"/>
                <w:szCs w:val="21"/>
              </w:rPr>
              <w:t>宏弯衰减：</w:t>
            </w:r>
            <w:r>
              <w:rPr>
                <w:szCs w:val="21"/>
              </w:rPr>
              <w:t>30mm</w:t>
            </w:r>
            <w:r>
              <w:rPr>
                <w:rFonts w:hAnsi="仿宋_GB2312"/>
                <w:szCs w:val="21"/>
              </w:rPr>
              <w:t>半径、</w:t>
            </w:r>
            <w:r>
              <w:rPr>
                <w:szCs w:val="21"/>
              </w:rPr>
              <w:t>100</w:t>
            </w:r>
            <w:r>
              <w:rPr>
                <w:rFonts w:hAnsi="仿宋_GB2312"/>
                <w:szCs w:val="21"/>
              </w:rPr>
              <w:t>圈</w:t>
            </w:r>
            <w:r>
              <w:rPr>
                <w:szCs w:val="21"/>
              </w:rPr>
              <w:t>(dB)</w:t>
            </w:r>
          </w:p>
        </w:tc>
        <w:tc>
          <w:tcPr>
            <w:tcW w:w="3655" w:type="dxa"/>
            <w:tcBorders>
              <w:top w:val="single" w:color="auto" w:sz="4" w:space="0"/>
              <w:left w:val="single" w:color="auto" w:sz="4" w:space="0"/>
              <w:right w:val="single" w:color="auto" w:sz="4" w:space="0"/>
            </w:tcBorders>
            <w:vAlign w:val="center"/>
          </w:tcPr>
          <w:p w14:paraId="5320DCD5">
            <w:pPr>
              <w:spacing w:line="320" w:lineRule="atLeast"/>
              <w:jc w:val="center"/>
              <w:rPr>
                <w:szCs w:val="21"/>
              </w:rPr>
            </w:pPr>
            <w:r>
              <w:rPr>
                <w:szCs w:val="21"/>
              </w:rPr>
              <w:t>1625nm≤0.1</w:t>
            </w:r>
          </w:p>
        </w:tc>
      </w:tr>
      <w:tr w14:paraId="09B738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631" w:type="dxa"/>
            <w:tcBorders>
              <w:top w:val="single" w:color="auto" w:sz="4" w:space="0"/>
              <w:left w:val="single" w:color="auto" w:sz="4" w:space="0"/>
              <w:bottom w:val="single" w:color="auto" w:sz="4" w:space="0"/>
              <w:right w:val="single" w:color="auto" w:sz="4" w:space="0"/>
            </w:tcBorders>
            <w:vAlign w:val="center"/>
          </w:tcPr>
          <w:p w14:paraId="4C0E94A9">
            <w:pPr>
              <w:spacing w:line="460" w:lineRule="atLeast"/>
              <w:jc w:val="center"/>
              <w:rPr>
                <w:szCs w:val="21"/>
              </w:rPr>
            </w:pPr>
            <w:r>
              <w:rPr>
                <w:rFonts w:hAnsi="仿宋_GB2312"/>
                <w:szCs w:val="21"/>
              </w:rPr>
              <w:t>动态疲劳参数（</w:t>
            </w:r>
            <w:r>
              <w:rPr>
                <w:szCs w:val="21"/>
              </w:rPr>
              <w:t>N</w:t>
            </w:r>
            <w:r>
              <w:rPr>
                <w:szCs w:val="21"/>
                <w:vertAlign w:val="subscript"/>
              </w:rPr>
              <w:t>d</w:t>
            </w:r>
            <w:r>
              <w:rPr>
                <w:rFonts w:hAnsi="仿宋_GB2312"/>
                <w:szCs w:val="21"/>
              </w:rPr>
              <w:t>）</w:t>
            </w:r>
          </w:p>
        </w:tc>
        <w:tc>
          <w:tcPr>
            <w:tcW w:w="3655" w:type="dxa"/>
            <w:tcBorders>
              <w:top w:val="single" w:color="auto" w:sz="4" w:space="0"/>
              <w:left w:val="single" w:color="auto" w:sz="4" w:space="0"/>
              <w:bottom w:val="single" w:color="auto" w:sz="4" w:space="0"/>
              <w:right w:val="single" w:color="auto" w:sz="4" w:space="0"/>
            </w:tcBorders>
            <w:vAlign w:val="center"/>
          </w:tcPr>
          <w:p w14:paraId="6669F3B4">
            <w:pPr>
              <w:spacing w:line="460" w:lineRule="atLeast"/>
              <w:jc w:val="center"/>
              <w:rPr>
                <w:b/>
                <w:szCs w:val="21"/>
              </w:rPr>
            </w:pPr>
            <w:r>
              <w:rPr>
                <w:b/>
                <w:szCs w:val="21"/>
              </w:rPr>
              <w:t>≥</w:t>
            </w:r>
            <w:r>
              <w:rPr>
                <w:szCs w:val="21"/>
              </w:rPr>
              <w:t>18</w:t>
            </w:r>
          </w:p>
        </w:tc>
      </w:tr>
    </w:tbl>
    <w:p w14:paraId="54F3E760">
      <w:pPr>
        <w:spacing w:line="400" w:lineRule="exact"/>
        <w:jc w:val="center"/>
        <w:rPr>
          <w:rFonts w:ascii="仿宋_GB2312" w:hAnsi="仿宋_GB2312"/>
          <w:sz w:val="24"/>
        </w:rPr>
      </w:pPr>
    </w:p>
    <w:p w14:paraId="2C002877">
      <w:pPr>
        <w:pStyle w:val="288"/>
      </w:pPr>
      <w:r>
        <w:rPr>
          <w:rFonts w:hint="eastAsia"/>
        </w:rPr>
        <w:t>7、光纤识别</w:t>
      </w:r>
    </w:p>
    <w:p w14:paraId="1D1D27DD">
      <w:pPr>
        <w:pStyle w:val="288"/>
      </w:pPr>
      <w:r>
        <w:rPr>
          <w:rFonts w:hint="eastAsia"/>
        </w:rPr>
        <w:t>海缆中的所有光纤必须有国标要求的色谱标志，用于识别的标志应鲜明，在安装或运行中可能遇到的温度下，不褪色（用丙酮或酒精擦拭也应如此），不迁染到相邻的其它光缆元件上，光缆着色后不应透明。光纤采用全色谱标志，颜色应符合GB/T 6995.2要求。光纤着色应优先采用UV处理法。在光纤光缆使用寿命内，光纤不褪色、涂覆层不粉化。</w:t>
      </w:r>
    </w:p>
    <w:p w14:paraId="028EF978">
      <w:pPr>
        <w:pStyle w:val="288"/>
      </w:pPr>
      <w:r>
        <w:rPr>
          <w:rFonts w:hint="eastAsia"/>
        </w:rPr>
        <w:t>8、光纤接头损耗</w:t>
      </w:r>
    </w:p>
    <w:p w14:paraId="42051C34">
      <w:pPr>
        <w:pStyle w:val="288"/>
      </w:pPr>
      <w:r>
        <w:rPr>
          <w:rFonts w:hint="eastAsia"/>
        </w:rPr>
        <w:t>所供光纤单元的任意两根光纤在现场条件下应满足：</w:t>
      </w:r>
    </w:p>
    <w:p w14:paraId="5917C5CB">
      <w:pPr>
        <w:pStyle w:val="288"/>
      </w:pPr>
      <w:r>
        <w:rPr>
          <w:rFonts w:hint="eastAsia"/>
        </w:rPr>
        <w:t>G.652D光纤1310nm和1550nm波长的熔接损耗：</w:t>
      </w:r>
    </w:p>
    <w:p w14:paraId="000BD17F">
      <w:pPr>
        <w:pStyle w:val="288"/>
      </w:pPr>
      <w:r>
        <w:rPr>
          <w:rFonts w:hint="eastAsia"/>
        </w:rPr>
        <w:t>双向平均值≤0.05dB</w:t>
      </w:r>
    </w:p>
    <w:p w14:paraId="607092F5">
      <w:pPr>
        <w:pStyle w:val="288"/>
      </w:pPr>
      <w:r>
        <w:rPr>
          <w:rFonts w:hint="eastAsia"/>
        </w:rPr>
        <w:t>最大值≤0.12dB。</w:t>
      </w:r>
    </w:p>
    <w:p w14:paraId="59C2A615">
      <w:pPr>
        <w:pStyle w:val="288"/>
      </w:pPr>
      <w:r>
        <w:rPr>
          <w:rFonts w:hint="eastAsia"/>
        </w:rPr>
        <w:t>9、光纤单元水密性</w:t>
      </w:r>
    </w:p>
    <w:p w14:paraId="1B6A5C62">
      <w:pPr>
        <w:pStyle w:val="288"/>
      </w:pPr>
      <w:r>
        <w:rPr>
          <w:rFonts w:hint="eastAsia"/>
        </w:rPr>
        <w:t>光纤单元水密性应符合</w:t>
      </w:r>
      <w:r>
        <w:t>GB/T 18480</w:t>
      </w:r>
      <w:r>
        <w:rPr>
          <w:rFonts w:hint="eastAsia"/>
        </w:rPr>
        <w:t>的规定。在</w:t>
      </w:r>
      <w:r>
        <w:t>2MPa</w:t>
      </w:r>
      <w:r>
        <w:rPr>
          <w:rFonts w:hint="eastAsia"/>
        </w:rPr>
        <w:t>水压下持续</w:t>
      </w:r>
      <w:r>
        <w:t>336h</w:t>
      </w:r>
      <w:r>
        <w:rPr>
          <w:rFonts w:hint="eastAsia"/>
        </w:rPr>
        <w:t>，缆芯纵向渗水长度应不大于</w:t>
      </w:r>
      <w:r>
        <w:t>200m</w:t>
      </w:r>
      <w:r>
        <w:rPr>
          <w:rFonts w:hint="eastAsia"/>
        </w:rPr>
        <w:t>。</w:t>
      </w:r>
    </w:p>
    <w:p w14:paraId="5A66CC87">
      <w:pPr>
        <w:pStyle w:val="288"/>
      </w:pPr>
      <w:r>
        <w:rPr>
          <w:rFonts w:hint="eastAsia"/>
        </w:rPr>
        <w:t>投标方应提供各种水深条件下纵向海水侵入距离，并提供海缆故障时，需要切断的光缆参考长度，以保证海水和气体入侵不会对海缆、光纤造成长期影响。</w:t>
      </w:r>
    </w:p>
    <w:p w14:paraId="34C14856">
      <w:pPr>
        <w:pStyle w:val="288"/>
      </w:pPr>
      <w:r>
        <w:rPr>
          <w:rFonts w:hint="eastAsia"/>
        </w:rPr>
        <w:t>10、氢元素影响</w:t>
      </w:r>
    </w:p>
    <w:p w14:paraId="7600D74B">
      <w:pPr>
        <w:pStyle w:val="288"/>
      </w:pPr>
      <w:r>
        <w:rPr>
          <w:rFonts w:hint="eastAsia"/>
        </w:rPr>
        <w:t>海缆与海缆工厂接头设计应阻止氢元素对海缆侵入，投标方应详细说明海缆防氢损能力。</w:t>
      </w:r>
    </w:p>
    <w:p w14:paraId="19504019">
      <w:pPr>
        <w:pStyle w:val="288"/>
      </w:pPr>
      <w:r>
        <w:rPr>
          <w:rFonts w:hint="eastAsia"/>
        </w:rPr>
        <w:t>11、盘绕及张力弯曲试验</w:t>
      </w:r>
    </w:p>
    <w:p w14:paraId="36B7CFA1">
      <w:pPr>
        <w:pStyle w:val="288"/>
      </w:pPr>
      <w:r>
        <w:rPr>
          <w:rFonts w:hint="eastAsia"/>
        </w:rPr>
        <w:t>光单元应进行卷绕和张力弯曲试验，试验后的光纤衰减变化的绝对值应不大于 0.03dB。海缆在敷设和运行中承受拉伸、弯曲，应要求光纤具有足够的余长，且在额定拉力下光纤应变不超过 0.2%，避免光纤断裂或损耗增大使用寿命。</w:t>
      </w:r>
    </w:p>
    <w:p w14:paraId="44A53771">
      <w:pPr>
        <w:pStyle w:val="288"/>
        <w:ind w:firstLineChars="0"/>
      </w:pPr>
      <w:r>
        <w:rPr>
          <w:rFonts w:hint="eastAsia"/>
        </w:rPr>
        <w:t>光缆部分应保证有与海缆相同的使用寿命。</w:t>
      </w:r>
    </w:p>
    <w:p w14:paraId="114CCFBB">
      <w:pPr>
        <w:pStyle w:val="288"/>
      </w:pPr>
      <w:r>
        <w:rPr>
          <w:rFonts w:hint="eastAsia"/>
        </w:rPr>
        <w:t>12、环境影响、储存及运输的要求</w:t>
      </w:r>
    </w:p>
    <w:p w14:paraId="4AC9FF11">
      <w:pPr>
        <w:pStyle w:val="288"/>
      </w:pPr>
      <w:r>
        <w:rPr>
          <w:rFonts w:hint="eastAsia"/>
        </w:rPr>
        <w:t>在-20℃-+40℃范围内，环境温度不应对光纤特性发生影响。投标方应提供光纤单元在高（+70℃）低（-30℃）温范围内衰减的变化。光纤单元应进行温度循环试验，循环次数为2次，单模光纤的附加衰减应不大于0</w:t>
      </w:r>
      <w:r>
        <w:t>.</w:t>
      </w:r>
      <w:r>
        <w:rPr>
          <w:rFonts w:hint="eastAsia"/>
        </w:rPr>
        <w:t>1</w:t>
      </w:r>
      <w:r>
        <w:t>d</w:t>
      </w:r>
      <w:r>
        <w:rPr>
          <w:rFonts w:hint="eastAsia"/>
        </w:rPr>
        <w:t>B/</w:t>
      </w:r>
      <w:r>
        <w:t>km</w:t>
      </w:r>
      <w:r>
        <w:rPr>
          <w:rFonts w:hint="eastAsia"/>
        </w:rPr>
        <w:t>。试验结束应无残余附加衰耗。如果其它外部因素（如海缆布放）可能导致光纤特性变化，投标方应进行明确说明，并指出其对系统设计的影响。</w:t>
      </w:r>
    </w:p>
    <w:p w14:paraId="424B099D">
      <w:pPr>
        <w:pStyle w:val="288"/>
      </w:pPr>
      <w:r>
        <w:rPr>
          <w:rFonts w:hint="eastAsia"/>
        </w:rPr>
        <w:t>1</w:t>
      </w:r>
      <w:r>
        <w:t>3</w:t>
      </w:r>
      <w:r>
        <w:rPr>
          <w:rFonts w:hint="eastAsia"/>
        </w:rPr>
        <w:t>、海缆施工过程中的施工监测要求</w:t>
      </w:r>
    </w:p>
    <w:p w14:paraId="53BCAF17">
      <w:pPr>
        <w:pStyle w:val="288"/>
      </w:pPr>
      <w:bookmarkStart w:id="117" w:name="_Toc162518924"/>
      <w:bookmarkStart w:id="118" w:name="_Toc226123948"/>
      <w:r>
        <w:rPr>
          <w:rFonts w:hint="eastAsia"/>
        </w:rPr>
        <w:t>在海缆出厂前提供完整的</w:t>
      </w:r>
      <w:r>
        <w:t>OTDR</w:t>
      </w:r>
      <w:r>
        <w:rPr>
          <w:rFonts w:hint="eastAsia"/>
        </w:rPr>
        <w:t>测试报告。海缆施工过程中使用</w:t>
      </w:r>
      <w:r>
        <w:t>2</w:t>
      </w:r>
      <w:r>
        <w:rPr>
          <w:rFonts w:hint="eastAsia"/>
        </w:rPr>
        <w:t>芯海缆内置光纤用于</w:t>
      </w:r>
      <w:r>
        <w:t>BOTDR</w:t>
      </w:r>
      <w:r>
        <w:rPr>
          <w:rFonts w:hint="eastAsia"/>
        </w:rPr>
        <w:t>监测，末端必须预装反射堵头。</w:t>
      </w:r>
    </w:p>
    <w:p w14:paraId="0895E425">
      <w:pPr>
        <w:pStyle w:val="286"/>
      </w:pPr>
      <w:bookmarkStart w:id="119" w:name="_Toc232443355"/>
      <w:r>
        <w:rPr>
          <w:rFonts w:hint="eastAsia"/>
        </w:rPr>
        <w:t>6.6 电缆附件</w:t>
      </w:r>
      <w:bookmarkEnd w:id="117"/>
      <w:bookmarkEnd w:id="118"/>
      <w:bookmarkEnd w:id="119"/>
    </w:p>
    <w:p w14:paraId="795E0A4C">
      <w:pPr>
        <w:pStyle w:val="288"/>
      </w:pPr>
      <w:r>
        <w:rPr>
          <w:rFonts w:hint="eastAsia"/>
        </w:rPr>
        <w:t>500kV海底电缆附件主要包括工厂接头、海缆G</w:t>
      </w:r>
      <w:r>
        <w:t>IS</w:t>
      </w:r>
      <w:r>
        <w:rPr>
          <w:rFonts w:hint="eastAsia"/>
        </w:rPr>
        <w:t>终端、直接接地箱与电缆锚固装置等。电缆附件参照</w:t>
      </w:r>
      <w:r>
        <w:t>GB/T 41629.3</w:t>
      </w:r>
      <w:r>
        <w:rPr>
          <w:rFonts w:hint="eastAsia"/>
        </w:rPr>
        <w:t>要求，其电气和防水性能应优于电缆本体。附件结构金具</w:t>
      </w:r>
      <w:r>
        <w:t xml:space="preserve"> ( </w:t>
      </w:r>
      <w:r>
        <w:rPr>
          <w:rFonts w:hint="eastAsia"/>
        </w:rPr>
        <w:t>金属壳体、法兰、套管、包围支架等</w:t>
      </w:r>
      <w:r>
        <w:t>)</w:t>
      </w:r>
      <w:r>
        <w:rPr>
          <w:rFonts w:hint="eastAsia"/>
        </w:rPr>
        <w:t>应采用非磁性金属材料。</w:t>
      </w:r>
    </w:p>
    <w:p w14:paraId="27BE01EB">
      <w:pPr>
        <w:pStyle w:val="288"/>
      </w:pPr>
      <w:r>
        <w:rPr>
          <w:rFonts w:hint="eastAsia"/>
        </w:rPr>
        <w:t>本工程海缆不接受采用硬接头方案。</w:t>
      </w:r>
    </w:p>
    <w:p w14:paraId="3F5C5509">
      <w:pPr>
        <w:pStyle w:val="288"/>
      </w:pPr>
      <w:r>
        <w:rPr>
          <w:rFonts w:hint="eastAsia"/>
        </w:rPr>
        <w:t>500kV海缆和配套附件需提供配套型式试验报告。500kV海底电缆附件优先选用有运行经验的产品并提供相关证明材料。</w:t>
      </w:r>
    </w:p>
    <w:p w14:paraId="54370ABE">
      <w:pPr>
        <w:pStyle w:val="290"/>
      </w:pPr>
      <w:r>
        <w:rPr>
          <w:rFonts w:hint="eastAsia"/>
        </w:rPr>
        <w:t>6</w:t>
      </w:r>
      <w:r>
        <w:t>.6.1</w:t>
      </w:r>
      <w:r>
        <w:rPr>
          <w:rFonts w:hint="eastAsia"/>
        </w:rPr>
        <w:t>工厂接头</w:t>
      </w:r>
    </w:p>
    <w:p w14:paraId="5EA3F802">
      <w:pPr>
        <w:pStyle w:val="288"/>
      </w:pPr>
      <w:r>
        <w:rPr>
          <w:rFonts w:hint="eastAsia" w:hAnsi="仿宋_GB2312"/>
        </w:rPr>
        <w:t>若采用自主可控绝缘料，每相设置不多于</w:t>
      </w:r>
      <w:r>
        <w:rPr>
          <w:rFonts w:hint="eastAsia" w:hAnsi="仿宋_GB2312"/>
          <w:lang w:val="en-US" w:eastAsia="zh-CN"/>
        </w:rPr>
        <w:t>2</w:t>
      </w:r>
      <w:r>
        <w:rPr>
          <w:rFonts w:hint="eastAsia" w:hAnsi="仿宋_GB2312"/>
        </w:rPr>
        <w:t>个</w:t>
      </w:r>
      <w:r>
        <w:rPr>
          <w:rFonts w:hAnsi="仿宋_GB2312"/>
        </w:rPr>
        <w:t>工厂接头</w:t>
      </w:r>
      <w:r>
        <w:rPr>
          <w:rFonts w:hint="eastAsia" w:hAnsi="仿宋_GB2312"/>
        </w:rPr>
        <w:t>；如同步实现</w:t>
      </w:r>
      <w:r>
        <w:rPr>
          <w:rFonts w:hint="eastAsia" w:asciiTheme="minorEastAsia" w:hAnsiTheme="minorEastAsia" w:eastAsiaTheme="minorEastAsia"/>
          <w:szCs w:val="24"/>
        </w:rPr>
        <w:t>自主可控</w:t>
      </w:r>
      <w:r>
        <w:rPr>
          <w:rFonts w:hint="eastAsia" w:hAnsi="仿宋_GB2312"/>
        </w:rPr>
        <w:t>屏蔽料应用，</w:t>
      </w:r>
      <w:r>
        <w:rPr>
          <w:rFonts w:hint="eastAsia"/>
          <w:lang w:val="en-US" w:eastAsia="zh-CN"/>
        </w:rPr>
        <w:t>应</w:t>
      </w:r>
      <w:r>
        <w:rPr>
          <w:rFonts w:hint="eastAsia"/>
        </w:rPr>
        <w:t>满足</w:t>
      </w:r>
      <w:r>
        <w:rPr>
          <w:rFonts w:hint="eastAsia" w:cs="Times New Roman" w:asciiTheme="minorEastAsia" w:hAnsiTheme="minorEastAsia" w:eastAsiaTheme="minorEastAsia"/>
          <w:szCs w:val="24"/>
        </w:rPr>
        <w:t>本技术规范书</w:t>
      </w:r>
      <w:r>
        <w:rPr>
          <w:rFonts w:hint="eastAsia" w:cs="Times New Roman" w:asciiTheme="minorEastAsia" w:hAnsiTheme="minorEastAsia" w:eastAsiaTheme="minorEastAsia"/>
          <w:szCs w:val="24"/>
          <w:lang w:eastAsia="zh-CN"/>
        </w:rPr>
        <w:t>第</w:t>
      </w:r>
      <w:r>
        <w:rPr>
          <w:rFonts w:hint="eastAsia" w:cs="Times New Roman" w:asciiTheme="minorEastAsia" w:hAnsiTheme="minorEastAsia" w:eastAsiaTheme="minorEastAsia"/>
          <w:szCs w:val="24"/>
        </w:rPr>
        <w:t>1.2</w:t>
      </w:r>
      <w:r>
        <w:rPr>
          <w:rFonts w:cs="Times New Roman" w:asciiTheme="minorEastAsia" w:hAnsiTheme="minorEastAsia" w:eastAsiaTheme="minorEastAsia"/>
          <w:szCs w:val="24"/>
        </w:rPr>
        <w:t xml:space="preserve"> </w:t>
      </w:r>
      <w:r>
        <w:rPr>
          <w:rFonts w:hint="eastAsia" w:cs="Times New Roman" w:asciiTheme="minorEastAsia" w:hAnsiTheme="minorEastAsia" w:eastAsiaTheme="minorEastAsia"/>
          <w:szCs w:val="24"/>
          <w:lang w:eastAsia="zh-CN"/>
        </w:rPr>
        <w:t>条款</w:t>
      </w:r>
      <w:r>
        <w:rPr>
          <w:rFonts w:hint="eastAsia" w:cs="Times New Roman" w:asciiTheme="minorEastAsia" w:hAnsiTheme="minorEastAsia" w:eastAsiaTheme="minorEastAsia"/>
          <w:szCs w:val="24"/>
          <w:lang w:val="en-US" w:eastAsia="zh-CN"/>
        </w:rPr>
        <w:t>关于</w:t>
      </w:r>
      <w:r>
        <w:rPr>
          <w:rFonts w:hint="eastAsia"/>
        </w:rPr>
        <w:t>工厂接头的</w:t>
      </w:r>
      <w:r>
        <w:rPr>
          <w:rFonts w:hint="eastAsia"/>
          <w:lang w:val="en-US" w:eastAsia="zh-CN"/>
        </w:rPr>
        <w:t>要求</w:t>
      </w:r>
      <w:r>
        <w:rPr>
          <w:rFonts w:hint="eastAsia" w:hAnsi="仿宋_GB2312"/>
        </w:rPr>
        <w:t>。</w:t>
      </w:r>
      <w:r>
        <w:rPr>
          <w:rFonts w:hint="eastAsia"/>
        </w:rPr>
        <w:t>若采用非</w:t>
      </w:r>
      <w:r>
        <w:rPr>
          <w:rFonts w:hint="eastAsia" w:asciiTheme="minorEastAsia" w:hAnsiTheme="minorEastAsia" w:eastAsiaTheme="minorEastAsia"/>
          <w:szCs w:val="24"/>
        </w:rPr>
        <w:t>自主可控</w:t>
      </w:r>
      <w:r>
        <w:rPr>
          <w:rFonts w:hint="eastAsia" w:hAnsi="仿宋_GB2312"/>
        </w:rPr>
        <w:t>绝缘料，每相</w:t>
      </w:r>
      <w:r>
        <w:rPr>
          <w:rFonts w:hint="eastAsia"/>
        </w:rPr>
        <w:t>设置不多于1个工厂接头。</w:t>
      </w:r>
    </w:p>
    <w:p w14:paraId="536E4E86">
      <w:pPr>
        <w:pStyle w:val="288"/>
      </w:pPr>
      <w:r>
        <w:rPr>
          <w:rFonts w:hint="eastAsia" w:hAnsi="仿宋_GB2312"/>
        </w:rPr>
        <w:t>投标方正式制缆前，工厂接头在海缆中具体位置</w:t>
      </w:r>
      <w:r>
        <w:rPr>
          <w:rFonts w:hint="eastAsia"/>
        </w:rPr>
        <w:t>与提供方案应通过设联会讨论明确。同时海缆工厂接头应满足下列要求：接头的性能及试验要求应符合</w:t>
      </w:r>
      <w:r>
        <w:t>GB/T 41629.3</w:t>
      </w:r>
      <w:r>
        <w:rPr>
          <w:rFonts w:hint="eastAsia"/>
        </w:rPr>
        <w:t>的要求，工厂应为挤塑模塑型或包带模塑型，导体之间的焊接抗拉强度应不小于</w:t>
      </w:r>
      <w:r>
        <w:t>180MPa</w:t>
      </w:r>
      <w:r>
        <w:rPr>
          <w:rFonts w:hint="eastAsia"/>
        </w:rPr>
        <w:t>，绝缘应采用与电缆本体相同的交联聚乙烯绝缘料，工厂接头恢复后铅套外径应不超过电缆本体铅套外径的</w:t>
      </w:r>
      <w:r>
        <w:t>15%</w:t>
      </w:r>
      <w:r>
        <w:rPr>
          <w:rFonts w:hint="eastAsia"/>
        </w:rPr>
        <w:t>；工厂接头电气性能应符合</w:t>
      </w:r>
      <w:r>
        <w:t>GB/T 41629.3</w:t>
      </w:r>
      <w:r>
        <w:rPr>
          <w:rFonts w:hint="eastAsia"/>
        </w:rPr>
        <w:t>第8章规定的试验要求；工厂接头恢复处绝缘的微孔杂质要求应符合</w:t>
      </w:r>
      <w:r>
        <w:t>GB/T 41629.3</w:t>
      </w:r>
      <w:r>
        <w:rPr>
          <w:rFonts w:hint="eastAsia"/>
        </w:rPr>
        <w:t>中8.</w:t>
      </w:r>
      <w:r>
        <w:t>5</w:t>
      </w:r>
      <w:r>
        <w:rPr>
          <w:rFonts w:hint="eastAsia"/>
        </w:rPr>
        <w:t>.3规定的要求。</w:t>
      </w:r>
    </w:p>
    <w:p w14:paraId="49C756CD">
      <w:pPr>
        <w:pStyle w:val="288"/>
      </w:pPr>
      <w:r>
        <w:rPr>
          <w:rFonts w:hint="eastAsia"/>
        </w:rPr>
        <w:t>1、投标方应提供技术说明和试验报告。</w:t>
      </w:r>
    </w:p>
    <w:p w14:paraId="7F59D46E">
      <w:pPr>
        <w:pStyle w:val="288"/>
      </w:pPr>
      <w:r>
        <w:rPr>
          <w:rFonts w:hint="eastAsia"/>
        </w:rPr>
        <w:t>2、海缆工厂接头必须能长期浸水运行。</w:t>
      </w:r>
    </w:p>
    <w:p w14:paraId="3437779F">
      <w:pPr>
        <w:pStyle w:val="288"/>
      </w:pPr>
      <w:r>
        <w:rPr>
          <w:rFonts w:hint="eastAsia"/>
        </w:rPr>
        <w:t>3、工厂接头应与电缆的载流量和短路容量相匹配。</w:t>
      </w:r>
    </w:p>
    <w:p w14:paraId="4EF4EBBF">
      <w:pPr>
        <w:pStyle w:val="288"/>
      </w:pPr>
      <w:r>
        <w:rPr>
          <w:rFonts w:hint="eastAsia"/>
        </w:rPr>
        <w:t>4、每相电缆工厂接头的数量以少为优。</w:t>
      </w:r>
    </w:p>
    <w:p w14:paraId="2504E830">
      <w:pPr>
        <w:pStyle w:val="288"/>
      </w:pPr>
      <w:r>
        <w:rPr>
          <w:rFonts w:hint="eastAsia"/>
        </w:rPr>
        <w:t>5、工厂</w:t>
      </w:r>
      <w:r>
        <w:t>接头</w:t>
      </w:r>
      <w:r>
        <w:rPr>
          <w:rFonts w:hint="eastAsia"/>
        </w:rPr>
        <w:t>部位在成品海缆的非金属护套及外被层处</w:t>
      </w:r>
      <w:r>
        <w:t>应有明显</w:t>
      </w:r>
      <w:r>
        <w:rPr>
          <w:rFonts w:hint="eastAsia"/>
        </w:rPr>
        <w:t>高亮</w:t>
      </w:r>
      <w:r>
        <w:t>的外部标志</w:t>
      </w:r>
      <w:r>
        <w:rPr>
          <w:rFonts w:hint="eastAsia"/>
        </w:rPr>
        <w:t>，能够被明显的辨识</w:t>
      </w:r>
      <w:r>
        <w:t>。</w:t>
      </w:r>
    </w:p>
    <w:p w14:paraId="484C3F32">
      <w:pPr>
        <w:pStyle w:val="288"/>
      </w:pPr>
      <w:r>
        <w:rPr>
          <w:rFonts w:hint="eastAsia"/>
        </w:rPr>
        <w:t>6、海缆工厂接头接头处需提供内外半导电、绝缘尺寸、绝缘偏心度、绝缘内部杂质无损检测报告(每根海缆三相分别提供)。</w:t>
      </w:r>
    </w:p>
    <w:p w14:paraId="30213F20">
      <w:pPr>
        <w:pStyle w:val="290"/>
      </w:pPr>
      <w:r>
        <w:rPr>
          <w:rFonts w:hint="eastAsia"/>
        </w:rPr>
        <w:t>6.6.2</w:t>
      </w:r>
      <w:r>
        <w:t xml:space="preserve"> GIS</w:t>
      </w:r>
      <w:r>
        <w:rPr>
          <w:rFonts w:hint="eastAsia"/>
        </w:rPr>
        <w:t>电缆终端</w:t>
      </w:r>
    </w:p>
    <w:p w14:paraId="067F7FED">
      <w:pPr>
        <w:pStyle w:val="288"/>
      </w:pPr>
      <w:r>
        <w:rPr>
          <w:rFonts w:hint="eastAsia"/>
        </w:rPr>
        <w:t>投标方负责海缆终端头的供货，运输及现场安装工作。海底电缆终端头应由具备相应资格的人员进行制作，并严格遵守制作工艺规程，所用材料应符合相关标准或技术协议要求，并应符合现行国家标准《电气装置安装工程 电缆线路施工及验收规范》GB 50168 的规定。G</w:t>
      </w:r>
      <w:r>
        <w:t>IS</w:t>
      </w:r>
      <w:r>
        <w:rPr>
          <w:rFonts w:hint="eastAsia"/>
        </w:rPr>
        <w:t>电缆终端需满足本工程海缆系统运行工况要求。</w:t>
      </w:r>
    </w:p>
    <w:p w14:paraId="645B5DA5">
      <w:pPr>
        <w:pStyle w:val="288"/>
        <w:ind w:firstLine="422"/>
      </w:pPr>
      <w:r>
        <w:rPr>
          <w:rFonts w:hint="eastAsia"/>
          <w:b/>
        </w:rPr>
        <w:t>投入的</w:t>
      </w:r>
      <w:r>
        <w:rPr>
          <w:b/>
        </w:rPr>
        <w:t>GIS</w:t>
      </w:r>
      <w:r>
        <w:rPr>
          <w:rFonts w:hint="eastAsia"/>
          <w:b/>
        </w:rPr>
        <w:t>电缆终端产品必须有应用工程案例且具备十年及以上的运行经验。</w:t>
      </w:r>
      <w:r>
        <w:rPr>
          <w:rFonts w:hint="eastAsia"/>
        </w:rPr>
        <w:t>若需另外与其他厂商采购，应报招标方审核同意。</w:t>
      </w:r>
    </w:p>
    <w:p w14:paraId="202465C6">
      <w:pPr>
        <w:pStyle w:val="288"/>
      </w:pPr>
      <w:r>
        <w:rPr>
          <w:rFonts w:hint="eastAsia"/>
        </w:rPr>
        <w:t>6.6.2.</w:t>
      </w:r>
      <w:r>
        <w:t xml:space="preserve">1 </w:t>
      </w:r>
      <w:r>
        <w:rPr>
          <w:rFonts w:hint="eastAsia"/>
        </w:rPr>
        <w:t>安装条件</w:t>
      </w:r>
    </w:p>
    <w:p w14:paraId="2F6126CF">
      <w:pPr>
        <w:pStyle w:val="288"/>
      </w:pPr>
      <w:r>
        <w:rPr>
          <w:rFonts w:hint="eastAsia"/>
        </w:rPr>
        <w:t>1、</w:t>
      </w:r>
      <w:r>
        <w:t>与GIS、GIL或变压器终端连接。</w:t>
      </w:r>
    </w:p>
    <w:p w14:paraId="3D1AB0C9">
      <w:pPr>
        <w:pStyle w:val="288"/>
      </w:pPr>
      <w:r>
        <w:rPr>
          <w:rFonts w:hint="eastAsia"/>
        </w:rPr>
        <w:t>2、</w:t>
      </w:r>
      <w:r>
        <w:t>安装在SF6气体绝缘筒内。</w:t>
      </w:r>
    </w:p>
    <w:p w14:paraId="43FCE3D7">
      <w:pPr>
        <w:pStyle w:val="288"/>
      </w:pPr>
      <w:r>
        <w:t>3</w:t>
      </w:r>
      <w:r>
        <w:rPr>
          <w:rFonts w:hint="eastAsia"/>
        </w:rPr>
        <w:t xml:space="preserve">、 </w:t>
      </w:r>
      <w:r>
        <w:t>GIS终端外绝缘的SF6气体在20℃的设计工作压力（表压）：最大为0.75MPa，最小为0.30MPa。</w:t>
      </w:r>
    </w:p>
    <w:p w14:paraId="57BD7A42">
      <w:pPr>
        <w:pStyle w:val="288"/>
      </w:pPr>
      <w:r>
        <w:t>4</w:t>
      </w:r>
      <w:r>
        <w:rPr>
          <w:rFonts w:hint="eastAsia"/>
        </w:rPr>
        <w:t>、</w:t>
      </w:r>
      <w:r>
        <w:t>与电缆截面相适应。</w:t>
      </w:r>
    </w:p>
    <w:p w14:paraId="1B0816F0">
      <w:pPr>
        <w:pStyle w:val="288"/>
      </w:pPr>
      <w:r>
        <w:t>5</w:t>
      </w:r>
      <w:r>
        <w:rPr>
          <w:rFonts w:hint="eastAsia"/>
        </w:rPr>
        <w:t>、</w:t>
      </w:r>
      <w:r>
        <w:t>出线杆与电缆铜导体必须采用压接方法进行连接。GIS终端连接金具表面应镀银。</w:t>
      </w:r>
    </w:p>
    <w:p w14:paraId="2064AA50">
      <w:pPr>
        <w:pStyle w:val="288"/>
      </w:pPr>
      <w:r>
        <w:t>6</w:t>
      </w:r>
      <w:r>
        <w:rPr>
          <w:rFonts w:hint="eastAsia"/>
        </w:rPr>
        <w:t>、</w:t>
      </w:r>
      <w:r>
        <w:t>GIS终端顶部应密封良好，保证绝缘填充剂在长期运行下不发生泄漏，同时保证GIS终端应能长期承受一定压力的SF6气体。</w:t>
      </w:r>
    </w:p>
    <w:p w14:paraId="50E69095">
      <w:pPr>
        <w:pStyle w:val="288"/>
      </w:pPr>
      <w:r>
        <w:t>7</w:t>
      </w:r>
      <w:bookmarkStart w:id="120" w:name="OLE_LINK2"/>
      <w:r>
        <w:rPr>
          <w:rFonts w:hint="eastAsia"/>
        </w:rPr>
        <w:t>、</w:t>
      </w:r>
      <w:r>
        <w:t>GIS终端与GIS的安装连接尺寸配合要求应符合IEC 62271-209的规定</w:t>
      </w:r>
      <w:bookmarkEnd w:id="120"/>
      <w:r>
        <w:t>。</w:t>
      </w:r>
    </w:p>
    <w:p w14:paraId="384595F2">
      <w:pPr>
        <w:pStyle w:val="288"/>
      </w:pPr>
      <w:r>
        <w:t>8</w:t>
      </w:r>
      <w:r>
        <w:rPr>
          <w:rFonts w:hint="eastAsia"/>
        </w:rPr>
        <w:t>、</w:t>
      </w:r>
      <w:r>
        <w:t>电缆终端的型式，由设计联络会确定。</w:t>
      </w:r>
    </w:p>
    <w:p w14:paraId="60963B61">
      <w:pPr>
        <w:pStyle w:val="288"/>
      </w:pPr>
      <w:r>
        <w:rPr>
          <w:rFonts w:hint="eastAsia"/>
        </w:rPr>
        <w:t>9、</w:t>
      </w:r>
      <w:r>
        <w:t>GIS终端与金属护套应采用封铅实现可靠电气连接和终端尾部防水，不得单独采用钢箍、恒力弹簧或环氧等方式固定。</w:t>
      </w:r>
    </w:p>
    <w:p w14:paraId="7E70E99A">
      <w:pPr>
        <w:pStyle w:val="288"/>
      </w:pPr>
      <w:r>
        <w:rPr>
          <w:rFonts w:hint="eastAsia"/>
        </w:rPr>
        <w:t>10、</w:t>
      </w:r>
      <w:r>
        <w:t>终端尾管应有外绝缘，绝缘耐压水平与电缆非金属外护套一致。</w:t>
      </w:r>
    </w:p>
    <w:p w14:paraId="4CBEB254">
      <w:pPr>
        <w:pStyle w:val="288"/>
      </w:pPr>
      <w:r>
        <w:t>1</w:t>
      </w:r>
      <w:r>
        <w:rPr>
          <w:rFonts w:hint="eastAsia"/>
        </w:rPr>
        <w:t>1、</w:t>
      </w:r>
      <w:r>
        <w:t>电缆GIS终端应有效配备护层过电压限制器。</w:t>
      </w:r>
    </w:p>
    <w:p w14:paraId="4ACC243F">
      <w:pPr>
        <w:pStyle w:val="288"/>
      </w:pPr>
      <w:r>
        <w:rPr>
          <w:rFonts w:hint="eastAsia"/>
        </w:rPr>
        <w:t>12、电缆终端头应在规定的标准制作环境下制作。</w:t>
      </w:r>
    </w:p>
    <w:p w14:paraId="149755AA">
      <w:pPr>
        <w:pStyle w:val="288"/>
      </w:pPr>
      <w:r>
        <w:rPr>
          <w:rFonts w:hint="eastAsia"/>
        </w:rPr>
        <w:t>13、吊装海底电缆终端头应使用承重能力充足的绳索，并采取措施避免对终端造成损伤。</w:t>
      </w:r>
    </w:p>
    <w:p w14:paraId="0CBE06E5">
      <w:pPr>
        <w:pStyle w:val="288"/>
      </w:pPr>
      <w:r>
        <w:rPr>
          <w:rFonts w:hint="eastAsia"/>
        </w:rPr>
        <w:t>14、 海底电缆终端头的接地应良好可靠，符合设计要求。</w:t>
      </w:r>
    </w:p>
    <w:p w14:paraId="711B3224">
      <w:pPr>
        <w:pStyle w:val="288"/>
      </w:pPr>
      <w:r>
        <w:rPr>
          <w:rFonts w:hint="eastAsia"/>
        </w:rPr>
        <w:t>6.6.2.2</w:t>
      </w:r>
      <w:r>
        <w:t xml:space="preserve"> </w:t>
      </w:r>
      <w:r>
        <w:rPr>
          <w:rFonts w:hint="eastAsia"/>
        </w:rPr>
        <w:t>导体链接杆和导体连接管</w:t>
      </w:r>
    </w:p>
    <w:p w14:paraId="3B5F7CB3">
      <w:pPr>
        <w:pStyle w:val="288"/>
      </w:pPr>
      <w:r>
        <w:t>1</w:t>
      </w:r>
      <w:r>
        <w:rPr>
          <w:rFonts w:hint="eastAsia"/>
        </w:rPr>
        <w:t>、</w:t>
      </w:r>
      <w:r>
        <w:t>导体连接杆和导体连接管应采用GB/T 4423规定的T2及以上铜材制造，压接型导体连接管的铜含量不应低于99.90%，并经退火处理。</w:t>
      </w:r>
    </w:p>
    <w:p w14:paraId="593FAEFA">
      <w:pPr>
        <w:pStyle w:val="288"/>
      </w:pPr>
      <w:r>
        <w:t>2</w:t>
      </w:r>
      <w:r>
        <w:rPr>
          <w:rFonts w:hint="eastAsia"/>
        </w:rPr>
        <w:t>、</w:t>
      </w:r>
      <w:r>
        <w:t>终端的接线端子应采用导电性良好的铜和铜合金制造，其尺寸应符合 IEC/TR62271-301:2009 或用户要求</w:t>
      </w:r>
    </w:p>
    <w:p w14:paraId="7B287F63">
      <w:pPr>
        <w:pStyle w:val="288"/>
      </w:pPr>
      <w:r>
        <w:t>3</w:t>
      </w:r>
      <w:r>
        <w:rPr>
          <w:rFonts w:hint="eastAsia"/>
        </w:rPr>
        <w:t>、</w:t>
      </w:r>
      <w:r>
        <w:t>导体连接杆和导体连接管表面应光滑、清洁，应无损伤、毛刺和凹凸斑痕及其它影响电气接触和机械强度的缺陷。铸造成型的接线端子其接触面及连接孔不得有气孔、砂眼和夹渣等缺陷。</w:t>
      </w:r>
    </w:p>
    <w:p w14:paraId="5BABFF9C">
      <w:pPr>
        <w:pStyle w:val="288"/>
      </w:pPr>
      <w:r>
        <w:t>4</w:t>
      </w:r>
      <w:r>
        <w:rPr>
          <w:rFonts w:hint="eastAsia"/>
        </w:rPr>
        <w:t>、</w:t>
      </w:r>
      <w:r>
        <w:t>导体连接杆和导体连接管的压接连接件性能应符合GB/T 22078.3规定的试验要求。</w:t>
      </w:r>
    </w:p>
    <w:p w14:paraId="7079ED3E">
      <w:pPr>
        <w:pStyle w:val="288"/>
      </w:pPr>
      <w:r>
        <w:rPr>
          <w:rFonts w:hint="eastAsia"/>
        </w:rPr>
        <w:t>6.6.2.3</w:t>
      </w:r>
      <w:r>
        <w:t xml:space="preserve"> </w:t>
      </w:r>
      <w:r>
        <w:rPr>
          <w:rFonts w:hint="eastAsia"/>
        </w:rPr>
        <w:t>金具和密封圈及半导电橡胶带</w:t>
      </w:r>
    </w:p>
    <w:p w14:paraId="108F611B">
      <w:pPr>
        <w:pStyle w:val="288"/>
      </w:pPr>
      <w:r>
        <w:t>1</w:t>
      </w:r>
      <w:r>
        <w:rPr>
          <w:rFonts w:hint="eastAsia"/>
        </w:rPr>
        <w:t>、</w:t>
      </w:r>
      <w:r>
        <w:t>附件金具（金属壳体、法兰、套管、包围支架等）应采用非磁性金属材料。GIS电缆终端法兰等受力件应选用铜法兰和不锈钢法兰，不应选用铝制法兰。</w:t>
      </w:r>
    </w:p>
    <w:p w14:paraId="678D0CC4">
      <w:pPr>
        <w:pStyle w:val="288"/>
      </w:pPr>
      <w:r>
        <w:t>2</w:t>
      </w:r>
      <w:r>
        <w:rPr>
          <w:rFonts w:hint="eastAsia"/>
        </w:rPr>
        <w:t>、</w:t>
      </w:r>
      <w:r>
        <w:t>所有密封金具应有良好的组装密封性和配合性，不应有组装后泄漏的缺陷，如划伤、凹痕等。密封性能应满足GB/T 22078.3的规定。</w:t>
      </w:r>
    </w:p>
    <w:p w14:paraId="292FB1BE">
      <w:pPr>
        <w:pStyle w:val="288"/>
      </w:pPr>
      <w:r>
        <w:t>3</w:t>
      </w:r>
      <w:r>
        <w:rPr>
          <w:rFonts w:hint="eastAsia"/>
        </w:rPr>
        <w:t>、</w:t>
      </w:r>
      <w:r>
        <w:t>附件用密封圈应与其周围绝缘介质相容，并能在额定负荷下长期使用。</w:t>
      </w:r>
    </w:p>
    <w:p w14:paraId="25C28723">
      <w:pPr>
        <w:pStyle w:val="288"/>
      </w:pPr>
      <w:r>
        <w:rPr>
          <w:rFonts w:hint="eastAsia"/>
        </w:rPr>
        <w:t>6.6.2.4</w:t>
      </w:r>
      <w:r>
        <w:t xml:space="preserve"> </w:t>
      </w:r>
      <w:r>
        <w:rPr>
          <w:rFonts w:hint="eastAsia"/>
        </w:rPr>
        <w:t>橡胶应力锥和橡胶绝缘件</w:t>
      </w:r>
    </w:p>
    <w:p w14:paraId="32C71DA3">
      <w:pPr>
        <w:pStyle w:val="288"/>
      </w:pPr>
      <w:r>
        <w:t>1</w:t>
      </w:r>
      <w:r>
        <w:rPr>
          <w:rFonts w:hint="eastAsia"/>
        </w:rPr>
        <w:t>、</w:t>
      </w:r>
      <w:r>
        <w:t>橡胶应力锥和橡胶绝缘件的绝缘料和半导电料推荐采用符合GB/T 22078.3附录A的材料。</w:t>
      </w:r>
    </w:p>
    <w:p w14:paraId="1BC8BA7A">
      <w:pPr>
        <w:pStyle w:val="288"/>
      </w:pPr>
      <w:r>
        <w:rPr>
          <w:rFonts w:hint="eastAsia"/>
        </w:rPr>
        <w:t>2、</w:t>
      </w:r>
      <w:r>
        <w:t>橡胶应力锥和橡胶绝缘件应无气泡、焦烧物和其他有害杂质，其内外表面应光滑，应无伤痕、裂痕和突起物。绝缘与半导体屏蔽的界面应结合良好，应无裂纹和剥离现象。半导电屏蔽应无杂质。</w:t>
      </w:r>
    </w:p>
    <w:p w14:paraId="7EA6A000">
      <w:pPr>
        <w:pStyle w:val="288"/>
      </w:pPr>
      <w:r>
        <w:rPr>
          <w:rFonts w:hint="eastAsia"/>
        </w:rPr>
        <w:t>6.6.2.5</w:t>
      </w:r>
      <w:r>
        <w:t xml:space="preserve"> 环氧预制件和环氧套管</w:t>
      </w:r>
    </w:p>
    <w:p w14:paraId="59551D5B">
      <w:pPr>
        <w:pStyle w:val="288"/>
      </w:pPr>
      <w:r>
        <w:t>1</w:t>
      </w:r>
      <w:r>
        <w:rPr>
          <w:rFonts w:hint="eastAsia"/>
        </w:rPr>
        <w:t>、</w:t>
      </w:r>
      <w:r>
        <w:t>环氧树脂混合料推荐采用符合GB/T 22078.3附录B的材料。</w:t>
      </w:r>
    </w:p>
    <w:p w14:paraId="3154018E">
      <w:pPr>
        <w:pStyle w:val="288"/>
      </w:pPr>
      <w:r>
        <w:t>2</w:t>
      </w:r>
      <w:r>
        <w:rPr>
          <w:rFonts w:hint="eastAsia"/>
        </w:rPr>
        <w:t>、</w:t>
      </w:r>
      <w:r>
        <w:t>环氧预制件和环氧套管应无杂质、气孔。内外表面应光滑无缺陷，表面不应留有注模缝，绝缘件与预埋金属件应结合良好，无裂纹、变形等异常现象，每批产品色泽应一致，投标方应提供环氧套管的相关出厂试验报告，如属外购产品，应在投标文件中注明生产厂家。</w:t>
      </w:r>
    </w:p>
    <w:p w14:paraId="7ECC61B9">
      <w:pPr>
        <w:pStyle w:val="288"/>
      </w:pPr>
      <w:r>
        <w:t>3</w:t>
      </w:r>
      <w:r>
        <w:rPr>
          <w:rFonts w:hint="eastAsia"/>
        </w:rPr>
        <w:t>、</w:t>
      </w:r>
      <w:r>
        <w:t>环氧套管的密封性能应符合GB/T 22078.3规定的要求。每批产品色泽应一致，厂家应提供环氧套管的相关出厂试验报告。如属外购产品，应在投标文件中注明生产厂家并提供上述报告。</w:t>
      </w:r>
    </w:p>
    <w:p w14:paraId="01CDFECE">
      <w:pPr>
        <w:pStyle w:val="288"/>
      </w:pPr>
      <w:r>
        <w:rPr>
          <w:rFonts w:hint="eastAsia"/>
        </w:rPr>
        <w:t>6.6.2.6</w:t>
      </w:r>
      <w:r>
        <w:t xml:space="preserve"> </w:t>
      </w:r>
      <w:r>
        <w:rPr>
          <w:rFonts w:hint="eastAsia"/>
        </w:rPr>
        <w:t>护层过电压限制器</w:t>
      </w:r>
    </w:p>
    <w:p w14:paraId="56B4DD68">
      <w:pPr>
        <w:pStyle w:val="288"/>
      </w:pPr>
      <w:r>
        <w:t>1</w:t>
      </w:r>
      <w:r>
        <w:rPr>
          <w:rFonts w:hint="eastAsia"/>
        </w:rPr>
        <w:t>、</w:t>
      </w:r>
      <w:r>
        <w:t>限制器材料：无间隙氧化锌阀片。</w:t>
      </w:r>
    </w:p>
    <w:p w14:paraId="739EBDF1">
      <w:pPr>
        <w:pStyle w:val="288"/>
      </w:pPr>
      <w:r>
        <w:t>2</w:t>
      </w:r>
      <w:r>
        <w:rPr>
          <w:rFonts w:hint="eastAsia"/>
        </w:rPr>
        <w:t>、</w:t>
      </w:r>
      <w:r>
        <w:t>限制器方波容量：不小于800A。</w:t>
      </w:r>
    </w:p>
    <w:p w14:paraId="2BE9AB42">
      <w:pPr>
        <w:pStyle w:val="288"/>
      </w:pPr>
      <w:r>
        <w:t>3</w:t>
      </w:r>
      <w:r>
        <w:rPr>
          <w:rFonts w:hint="eastAsia"/>
        </w:rPr>
        <w:t>、</w:t>
      </w:r>
      <w:r>
        <w:t>限制器通过8/20us、10kA冲击电流时的残压不大于5kV。</w:t>
      </w:r>
    </w:p>
    <w:p w14:paraId="3E5BBB40">
      <w:pPr>
        <w:pStyle w:val="288"/>
      </w:pPr>
      <w:r>
        <w:t>4</w:t>
      </w:r>
      <w:r>
        <w:rPr>
          <w:rFonts w:hint="eastAsia"/>
        </w:rPr>
        <w:t>、</w:t>
      </w:r>
      <w:r>
        <w:t>限制器在3kV工频电压下能承受5s而不损坏。</w:t>
      </w:r>
    </w:p>
    <w:p w14:paraId="602B4989">
      <w:pPr>
        <w:pStyle w:val="288"/>
      </w:pPr>
      <w:r>
        <w:t>5</w:t>
      </w:r>
      <w:r>
        <w:rPr>
          <w:rFonts w:hint="eastAsia"/>
        </w:rPr>
        <w:t>、</w:t>
      </w:r>
      <w:r>
        <w:t>限制器应能通过最大冲击电流累计20次而不损坏。</w:t>
      </w:r>
    </w:p>
    <w:p w14:paraId="77B0EAF4">
      <w:pPr>
        <w:pStyle w:val="288"/>
      </w:pPr>
      <w:r>
        <w:rPr>
          <w:rFonts w:hint="eastAsia"/>
        </w:rPr>
        <w:t>6.6.2.7</w:t>
      </w:r>
      <w:r>
        <w:t xml:space="preserve"> </w:t>
      </w:r>
      <w:r>
        <w:rPr>
          <w:rFonts w:hint="eastAsia"/>
        </w:rPr>
        <w:t>附件例行试验</w:t>
      </w:r>
    </w:p>
    <w:p w14:paraId="593278D7">
      <w:pPr>
        <w:pStyle w:val="288"/>
      </w:pPr>
      <w:r>
        <w:rPr>
          <w:rFonts w:hint="eastAsia"/>
        </w:rPr>
        <w:t>附件的例行试验包括以下项目</w:t>
      </w:r>
    </w:p>
    <w:p w14:paraId="0052C705">
      <w:pPr>
        <w:pStyle w:val="288"/>
      </w:pPr>
      <w:r>
        <w:rPr>
          <w:rFonts w:hint="eastAsia"/>
        </w:rPr>
        <w:t xml:space="preserve">1）密封金具、瓷套和环氧套管的密封试验； </w:t>
      </w:r>
    </w:p>
    <w:p w14:paraId="02A9C869">
      <w:pPr>
        <w:pStyle w:val="288"/>
      </w:pPr>
      <w:r>
        <w:rPr>
          <w:rFonts w:hint="eastAsia"/>
        </w:rPr>
        <w:t>对密封金具、瓷套和环氧套管的压力泄露和真空漏增试验，试验装置应将密封金具、瓷套或环氧套管两端密封。制造方可根据适用条件任选压力泄露试验或真空漏增试验。</w:t>
      </w:r>
    </w:p>
    <w:p w14:paraId="467A2376">
      <w:pPr>
        <w:pStyle w:val="288"/>
      </w:pPr>
      <w:r>
        <w:rPr>
          <w:rFonts w:hint="eastAsia"/>
        </w:rPr>
        <w:t>a）压力泄露试验</w:t>
      </w:r>
    </w:p>
    <w:p w14:paraId="56AF3A60">
      <w:pPr>
        <w:pStyle w:val="288"/>
      </w:pPr>
      <w:r>
        <w:rPr>
          <w:rFonts w:hint="eastAsia"/>
        </w:rPr>
        <w:t>室温下对试件加以（0.20±0.01）MPa表压气压，保持1h。任选浸水检验或密封面上涂肥皂水检验，应无气体逸出迹象。试验装置应有防爆安全措施。亦可施加相同水压，保持1h，在密封面上涂白垩粉，应无水渗出迹象。</w:t>
      </w:r>
    </w:p>
    <w:p w14:paraId="1B5F4A98">
      <w:pPr>
        <w:pStyle w:val="288"/>
      </w:pPr>
      <w:r>
        <w:t>b</w:t>
      </w:r>
      <w:r>
        <w:rPr>
          <w:rFonts w:hint="eastAsia"/>
        </w:rPr>
        <w:t>）真空漏增试验</w:t>
      </w:r>
    </w:p>
    <w:p w14:paraId="31BD7B44">
      <w:pPr>
        <w:pStyle w:val="288"/>
      </w:pPr>
      <w:r>
        <w:rPr>
          <w:rFonts w:hint="eastAsia"/>
        </w:rPr>
        <w:t>在室温下，将试件抽真空至残压约67Pa，然后关闭试件与真空泵间的阀门，经0.5h压力漏增应不超过67Pa。</w:t>
      </w:r>
    </w:p>
    <w:p w14:paraId="4D2EB592">
      <w:pPr>
        <w:pStyle w:val="288"/>
      </w:pPr>
      <w:r>
        <w:rPr>
          <w:rFonts w:hint="eastAsia"/>
        </w:rPr>
        <w:t>2）预制附件的部件主绝缘电气试验：</w:t>
      </w:r>
    </w:p>
    <w:p w14:paraId="13F88206">
      <w:pPr>
        <w:pStyle w:val="288"/>
      </w:pPr>
      <w:r>
        <w:rPr>
          <w:rFonts w:hint="eastAsia"/>
        </w:rPr>
        <w:t xml:space="preserve">a）橡胶应力锥和整体预制橡胶绝缘件局部放电试验； </w:t>
      </w:r>
    </w:p>
    <w:p w14:paraId="3FA0EDCE">
      <w:pPr>
        <w:pStyle w:val="288"/>
      </w:pPr>
      <w:r>
        <w:rPr>
          <w:rFonts w:hint="eastAsia"/>
        </w:rPr>
        <w:t xml:space="preserve">橡胶应力锥和整体预制橡胶绝缘件的局部放电试验应符合GB/T </w:t>
      </w:r>
      <w:r>
        <w:t>41629</w:t>
      </w:r>
      <w:r>
        <w:rPr>
          <w:rFonts w:hint="eastAsia"/>
        </w:rPr>
        <w:t>.1中的要求。</w:t>
      </w:r>
    </w:p>
    <w:p w14:paraId="1BCFD892">
      <w:pPr>
        <w:pStyle w:val="288"/>
      </w:pPr>
      <w:r>
        <w:rPr>
          <w:rFonts w:hint="eastAsia"/>
        </w:rPr>
        <w:t xml:space="preserve">b）橡胶应力锥和整体预制橡胶绝缘件电压试验； </w:t>
      </w:r>
    </w:p>
    <w:p w14:paraId="0FB41FA0">
      <w:pPr>
        <w:pStyle w:val="288"/>
      </w:pPr>
      <w:r>
        <w:rPr>
          <w:rFonts w:hint="eastAsia"/>
        </w:rPr>
        <w:t xml:space="preserve">橡胶应力锥和整体预制橡胶绝缘件的电压试验应符合GB/T </w:t>
      </w:r>
      <w:r>
        <w:t>41629</w:t>
      </w:r>
      <w:r>
        <w:rPr>
          <w:rFonts w:hint="eastAsia"/>
        </w:rPr>
        <w:t>.1中的要求。</w:t>
      </w:r>
    </w:p>
    <w:p w14:paraId="0C2DF4A6">
      <w:pPr>
        <w:pStyle w:val="288"/>
      </w:pPr>
      <w:r>
        <w:rPr>
          <w:rFonts w:hint="eastAsia"/>
        </w:rPr>
        <w:t>6.6.2.8</w:t>
      </w:r>
      <w:r>
        <w:t xml:space="preserve"> </w:t>
      </w:r>
      <w:r>
        <w:rPr>
          <w:rFonts w:hint="eastAsia"/>
        </w:rPr>
        <w:t>附件抽样试验</w:t>
      </w:r>
    </w:p>
    <w:p w14:paraId="5A0F4EA2">
      <w:pPr>
        <w:pStyle w:val="288"/>
        <w:ind w:firstLine="0" w:firstLineChars="0"/>
      </w:pPr>
      <w:r>
        <w:tab/>
      </w:r>
      <w:r>
        <w:rPr>
          <w:rFonts w:hint="eastAsia"/>
        </w:rPr>
        <w:t>环氧绝缘件的冷热循环试验。抽样选取电缆附件，做3次冷热循环试验，冷热温差不小于80℃，后使用X光探伤。</w:t>
      </w:r>
    </w:p>
    <w:p w14:paraId="18487DE3">
      <w:pPr>
        <w:pStyle w:val="290"/>
      </w:pPr>
      <w:r>
        <w:rPr>
          <w:rFonts w:hint="eastAsia"/>
        </w:rPr>
        <w:t>6</w:t>
      </w:r>
      <w:r>
        <w:t>.6.3</w:t>
      </w:r>
      <w:r>
        <w:rPr>
          <w:rFonts w:hint="eastAsia"/>
        </w:rPr>
        <w:t>锚固装置</w:t>
      </w:r>
    </w:p>
    <w:p w14:paraId="3012298F">
      <w:pPr>
        <w:pStyle w:val="288"/>
      </w:pPr>
      <w:r>
        <w:rPr>
          <w:rFonts w:hint="eastAsia"/>
        </w:rPr>
        <w:t>投标方配套提供海缆锚固装置，锚固装置及其附属件应具备防腐蚀性能，以确保在运行期间不被所处敷设环境的腐蚀损坏。</w:t>
      </w:r>
    </w:p>
    <w:p w14:paraId="43D1205A">
      <w:pPr>
        <w:pStyle w:val="288"/>
      </w:pPr>
      <w:r>
        <w:rPr>
          <w:rFonts w:hint="eastAsia"/>
        </w:rPr>
        <w:t>锚固装置应能在海洋环境中长时间使用，其安装后的整体结构、基础连接抗拔等受力及抗拉强度应不低于海缆铠装整体破断拉力的要求，投标方应提供相关拉力试验参数或抗拉强度计算书等文件。</w:t>
      </w:r>
    </w:p>
    <w:p w14:paraId="48D2E886">
      <w:pPr>
        <w:pStyle w:val="288"/>
      </w:pPr>
      <w:r>
        <w:rPr>
          <w:rFonts w:hint="eastAsia"/>
        </w:rPr>
        <w:t>锚固装置应设置不少于2处良好的铠装接地电流引出接线装置，应注明其额定电流通流数值。</w:t>
      </w:r>
    </w:p>
    <w:p w14:paraId="5E2F2FA0">
      <w:pPr>
        <w:pStyle w:val="288"/>
      </w:pPr>
      <w:r>
        <w:rPr>
          <w:rFonts w:hint="eastAsia"/>
        </w:rPr>
        <w:t>投标方应随投标书提供其推荐的锚固装置结构图。同时协助海缆施工方进行海缆锚固装置的安装，提供相应技术服务。</w:t>
      </w:r>
    </w:p>
    <w:p w14:paraId="5342E9E3">
      <w:pPr>
        <w:pStyle w:val="290"/>
      </w:pPr>
      <w:r>
        <w:rPr>
          <w:rFonts w:hint="eastAsia"/>
        </w:rPr>
        <w:t>6</w:t>
      </w:r>
      <w:r>
        <w:t>.6.4</w:t>
      </w:r>
      <w:r>
        <w:rPr>
          <w:rFonts w:hint="eastAsia"/>
        </w:rPr>
        <w:t>定向钻钢管尾端中心夹具</w:t>
      </w:r>
    </w:p>
    <w:p w14:paraId="49137E5C">
      <w:pPr>
        <w:pStyle w:val="288"/>
      </w:pPr>
      <w:r>
        <w:rPr>
          <w:rFonts w:hint="eastAsia"/>
        </w:rPr>
        <w:t>海缆保护装置，应用于定向钻下端口时，其内外径尺寸依据海缆直径和定向钻管内外径设定，采用高强度、耐海水腐蚀材料。主要用于定向钻海底出口将海缆、海管固定在定向钻中心位置，防止海缆与管壁的因海浪冲击摩擦碰撞、以及海缆敷设处被海浪冲刷而形成海缆悬空受力，充分保护海缆。</w:t>
      </w:r>
    </w:p>
    <w:p w14:paraId="0BE3618C">
      <w:pPr>
        <w:pStyle w:val="288"/>
      </w:pPr>
      <w:r>
        <w:rPr>
          <w:rFonts w:hint="eastAsia"/>
        </w:rPr>
        <w:t>6.6.</w:t>
      </w:r>
      <w:r>
        <w:t xml:space="preserve">4.1 </w:t>
      </w:r>
      <w:r>
        <w:rPr>
          <w:rFonts w:hint="eastAsia"/>
        </w:rPr>
        <w:t xml:space="preserve"> 定向钻钢管尾端中心夹具主要技术要求</w:t>
      </w:r>
    </w:p>
    <w:p w14:paraId="2D21EE55">
      <w:pPr>
        <w:pStyle w:val="288"/>
      </w:pPr>
      <w:r>
        <w:rPr>
          <w:rFonts w:hint="eastAsia" w:ascii="楷体_GB2312" w:hAnsi="楷体_GB2312"/>
        </w:rPr>
        <w:t>定向钻末端下应配置连接紧固装置，使其海缆保护装置相匹配连接，以便于将海缆保护装置安装固定至传统钢结构定向钻钢管上；另外，海缆保护装置未端应配置紧固装置将海缆抱紧在海缆保护装置内，避免海缆保护装置内壁与海缆间发生摩擦失效，保证海缆的使用寿命。所有连接、紧固等永久留存的辅助装置，其产品海洋环境使用寿命也不得低于海缆全生命周期年限。对定向钻钢管</w:t>
      </w:r>
      <w:r>
        <w:rPr>
          <w:rFonts w:hint="eastAsia"/>
        </w:rPr>
        <w:t>中心夹具，其技术要求应满足以下要求，若采用其他连接紧固装置，投标方需提交详细的说明文件。</w:t>
      </w:r>
      <w:r>
        <w:rPr>
          <w:rFonts w:hint="eastAsia" w:ascii="楷体_GB2312" w:hAnsi="楷体_GB2312"/>
        </w:rPr>
        <w:t>定向钻钢管</w:t>
      </w:r>
      <w:r>
        <w:rPr>
          <w:rFonts w:hint="eastAsia"/>
        </w:rPr>
        <w:t>中心夹具技术要求：</w:t>
      </w:r>
    </w:p>
    <w:p w14:paraId="09C10EBF">
      <w:pPr>
        <w:pStyle w:val="288"/>
      </w:pPr>
      <w:r>
        <w:rPr>
          <w:rFonts w:hint="eastAsia"/>
        </w:rPr>
        <w:t>1、整体采用哈夫式结构，能够采用对卡的方式抱紧电缆。</w:t>
      </w:r>
    </w:p>
    <w:p w14:paraId="4E5F5D06">
      <w:pPr>
        <w:pStyle w:val="288"/>
      </w:pPr>
      <w:r>
        <w:rPr>
          <w:rFonts w:hint="eastAsia" w:ascii="楷体_GB2312" w:hAnsi="楷体_GB2312"/>
        </w:rPr>
        <w:t>2、定向钻钢</w:t>
      </w:r>
      <w:r>
        <w:rPr>
          <w:rFonts w:hint="eastAsia"/>
        </w:rPr>
        <w:t>管中心夹具与电缆间抗拉脱力不小于3t。</w:t>
      </w:r>
    </w:p>
    <w:p w14:paraId="3B808C64">
      <w:pPr>
        <w:pStyle w:val="288"/>
      </w:pPr>
      <w:r>
        <w:rPr>
          <w:rFonts w:hint="eastAsia"/>
        </w:rPr>
        <w:t>3、锥形头部结构设计，便于进入</w:t>
      </w:r>
      <w:r>
        <w:rPr>
          <w:rFonts w:hint="eastAsia" w:ascii="楷体_GB2312" w:hAnsi="楷体_GB2312"/>
        </w:rPr>
        <w:t>定向钻钢管</w:t>
      </w:r>
      <w:r>
        <w:rPr>
          <w:rFonts w:hint="eastAsia"/>
        </w:rPr>
        <w:t>。</w:t>
      </w:r>
    </w:p>
    <w:p w14:paraId="4D96B0AB">
      <w:pPr>
        <w:pStyle w:val="288"/>
      </w:pPr>
      <w:r>
        <w:rPr>
          <w:rFonts w:hint="eastAsia"/>
        </w:rPr>
        <w:t>4、锥形橡胶圈设计使</w:t>
      </w:r>
      <w:r>
        <w:rPr>
          <w:rFonts w:hint="eastAsia" w:ascii="楷体_GB2312" w:hAnsi="楷体_GB2312"/>
        </w:rPr>
        <w:t>定向钻钢管</w:t>
      </w:r>
      <w:r>
        <w:rPr>
          <w:rFonts w:hint="eastAsia"/>
        </w:rPr>
        <w:t>中心夹具与护管之间弹性接触。并具有密封性，定向钻钢管内与海中不会发生相互渗水情况。定向钻钢管采用材料为</w:t>
      </w:r>
      <w:r>
        <w:t>Q355B</w:t>
      </w:r>
      <w:r>
        <w:rPr>
          <w:rFonts w:hint="eastAsia"/>
        </w:rPr>
        <w:t>，广东侧钢管外径为6</w:t>
      </w:r>
      <w:r>
        <w:t>30</w:t>
      </w:r>
      <w:r>
        <w:rPr>
          <w:rFonts w:hint="eastAsia"/>
        </w:rPr>
        <w:t>mm，钢管壁厚为1</w:t>
      </w:r>
      <w:r>
        <w:t>2</w:t>
      </w:r>
      <w:r>
        <w:rPr>
          <w:rFonts w:hint="eastAsia"/>
        </w:rPr>
        <w:t>mm，内径为6</w:t>
      </w:r>
      <w:r>
        <w:t>06</w:t>
      </w:r>
      <w:r>
        <w:rPr>
          <w:rFonts w:hint="eastAsia"/>
        </w:rPr>
        <w:t>mm；海南侧钢管外径为6</w:t>
      </w:r>
      <w:r>
        <w:t>30</w:t>
      </w:r>
      <w:r>
        <w:rPr>
          <w:rFonts w:hint="eastAsia"/>
        </w:rPr>
        <w:t>mm，钢管壁厚为1</w:t>
      </w:r>
      <w:r>
        <w:t>4</w:t>
      </w:r>
      <w:r>
        <w:rPr>
          <w:rFonts w:hint="eastAsia"/>
        </w:rPr>
        <w:t>mm，内径为6</w:t>
      </w:r>
      <w:r>
        <w:t>02</w:t>
      </w:r>
      <w:r>
        <w:rPr>
          <w:rFonts w:hint="eastAsia"/>
        </w:rPr>
        <w:t>mm。</w:t>
      </w:r>
    </w:p>
    <w:p w14:paraId="29046FE2">
      <w:pPr>
        <w:pStyle w:val="288"/>
      </w:pPr>
      <w:r>
        <w:rPr>
          <w:rFonts w:hint="eastAsia"/>
        </w:rPr>
        <w:t>5、中心夹具主体材料及附属装置应采用3</w:t>
      </w:r>
      <w:r>
        <w:t>16L</w:t>
      </w:r>
      <w:r>
        <w:rPr>
          <w:rFonts w:hint="eastAsia"/>
        </w:rPr>
        <w:t>无磁</w:t>
      </w:r>
      <w:r>
        <w:t>不锈钢</w:t>
      </w:r>
      <w:r>
        <w:rPr>
          <w:rFonts w:hint="eastAsia"/>
        </w:rPr>
        <w:t>及以上等级的强度、耐腐蚀级别和抗疲劳性能的材料。</w:t>
      </w:r>
    </w:p>
    <w:p w14:paraId="2A44E9D3">
      <w:pPr>
        <w:pStyle w:val="288"/>
      </w:pPr>
      <w:r>
        <w:rPr>
          <w:rFonts w:hint="eastAsia"/>
        </w:rPr>
        <w:t>6.6.4</w:t>
      </w:r>
      <w:r>
        <w:t>.</w:t>
      </w:r>
      <w:r>
        <w:rPr>
          <w:rFonts w:hint="eastAsia"/>
        </w:rPr>
        <w:t>2  安装要求</w:t>
      </w:r>
    </w:p>
    <w:p w14:paraId="30CB0A63">
      <w:pPr>
        <w:pStyle w:val="288"/>
      </w:pPr>
      <w:r>
        <w:rPr>
          <w:rFonts w:hint="eastAsia"/>
        </w:rPr>
        <w:t>定向钻钢管尾端中心夹具应结构简单，安装方便，装配安装过程应能全部在船上完成，安装完毕后，</w:t>
      </w:r>
      <w:r>
        <w:rPr>
          <w:rFonts w:hint="eastAsia" w:ascii="楷体_GB2312" w:hAnsi="楷体_GB2312"/>
        </w:rPr>
        <w:t>定向钻钢管</w:t>
      </w:r>
      <w:r>
        <w:rPr>
          <w:rFonts w:hint="eastAsia"/>
        </w:rPr>
        <w:t>连接紧固装置能够抱紧电缆，然后随电缆牵引至护管下端口安装位置，即完成定位，整个过程无需潜水员水下操作。</w:t>
      </w:r>
    </w:p>
    <w:p w14:paraId="785A3D6C">
      <w:pPr>
        <w:pStyle w:val="288"/>
      </w:pPr>
      <w:r>
        <w:rPr>
          <w:rFonts w:hint="eastAsia"/>
        </w:rPr>
        <w:t>投标方应协助施工单位完成</w:t>
      </w:r>
      <w:r>
        <w:rPr>
          <w:rFonts w:hint="eastAsia" w:ascii="楷体_GB2312" w:hAnsi="楷体_GB2312"/>
        </w:rPr>
        <w:t>定向钻钢管</w:t>
      </w:r>
      <w:r>
        <w:rPr>
          <w:rFonts w:hint="eastAsia"/>
        </w:rPr>
        <w:t>连接紧固装置及海缆保护装置的现场安装，提供相应技术服务。</w:t>
      </w:r>
    </w:p>
    <w:p w14:paraId="38F340AF">
      <w:pPr>
        <w:pStyle w:val="290"/>
      </w:pPr>
      <w:r>
        <w:rPr>
          <w:rFonts w:hint="eastAsia"/>
        </w:rPr>
        <w:t>6</w:t>
      </w:r>
      <w:r>
        <w:t>.6.</w:t>
      </w:r>
      <w:r>
        <w:rPr>
          <w:rFonts w:hint="eastAsia"/>
        </w:rPr>
        <w:t>5海缆弯曲限制器</w:t>
      </w:r>
    </w:p>
    <w:p w14:paraId="67055B81">
      <w:pPr>
        <w:pStyle w:val="288"/>
      </w:pPr>
      <w:r>
        <w:rPr>
          <w:rFonts w:hint="eastAsia"/>
        </w:rPr>
        <w:t>海缆弯曲限制器的尺寸依据海缆直径设定，最小弯曲半径需满足海缆最小弯曲半径的要求，防止海缆过度弯曲。海缆保护装置采用具有高硬度、高强度、耐海水腐蚀特性的材料，具备一定的柔韧性，可适应海洋环境，可长期有效对海缆进行保护。海缆保护装置根据要求可任意增减长度，弯曲</w:t>
      </w:r>
      <w:r>
        <w:t>限制器</w:t>
      </w:r>
      <w:r>
        <w:rPr>
          <w:rFonts w:hint="eastAsia"/>
        </w:rPr>
        <w:t>长度暂按</w:t>
      </w:r>
      <w:r>
        <w:t>20m</w:t>
      </w:r>
      <w:r>
        <w:rPr>
          <w:rFonts w:hint="eastAsia"/>
        </w:rPr>
        <w:t>，并满足海缆最小弯曲半径的要求。</w:t>
      </w:r>
    </w:p>
    <w:p w14:paraId="53944D36">
      <w:pPr>
        <w:pStyle w:val="288"/>
      </w:pPr>
      <w:r>
        <w:rPr>
          <w:rFonts w:hint="eastAsia"/>
        </w:rPr>
        <w:t>6.6.5</w:t>
      </w:r>
      <w:r>
        <w:t>.</w:t>
      </w:r>
      <w:r>
        <w:rPr>
          <w:rFonts w:hint="eastAsia"/>
        </w:rPr>
        <w:t>1  弯曲限制器主要技术要求</w:t>
      </w:r>
    </w:p>
    <w:p w14:paraId="7B62F94A">
      <w:pPr>
        <w:pStyle w:val="288"/>
      </w:pPr>
      <w:r>
        <w:rPr>
          <w:rFonts w:hint="eastAsia" w:ascii="楷体_GB2312" w:hAnsi="楷体_GB2312"/>
        </w:rPr>
        <w:t>1、</w:t>
      </w:r>
      <w:r>
        <w:rPr>
          <w:rFonts w:ascii="楷体_GB2312" w:hAnsi="楷体_GB2312"/>
        </w:rPr>
        <w:t>采用整体式或者模块化设计，便于装卸和运输</w:t>
      </w:r>
      <w:r>
        <w:rPr>
          <w:rFonts w:hint="eastAsia" w:ascii="楷体_GB2312" w:hAnsi="楷体_GB2312"/>
        </w:rPr>
        <w:t>，且可根据需求增减长度。</w:t>
      </w:r>
    </w:p>
    <w:p w14:paraId="1F028292">
      <w:pPr>
        <w:pStyle w:val="288"/>
      </w:pPr>
      <w:r>
        <w:rPr>
          <w:rFonts w:hint="eastAsia"/>
        </w:rPr>
        <w:t>2、散热性能好，不存在局部过热等问题，不影响海缆的性能及载流量。</w:t>
      </w:r>
    </w:p>
    <w:p w14:paraId="3E57EA17">
      <w:pPr>
        <w:pStyle w:val="288"/>
      </w:pPr>
      <w:r>
        <w:rPr>
          <w:rFonts w:hint="eastAsia"/>
        </w:rPr>
        <w:t>3、材料采用高性能聚氨酯，需提供材料性能检验报告，具有优异抗变形能力、抗腐蚀能力、高耐磨特性。所采用材料使用期的允许温度范围大，可在﹢8</w:t>
      </w:r>
      <w:r>
        <w:t>0</w:t>
      </w:r>
      <w:r>
        <w:rPr>
          <w:rFonts w:hint="eastAsia"/>
        </w:rPr>
        <w:t>℃和-</w:t>
      </w:r>
      <w:r>
        <w:t>20</w:t>
      </w:r>
      <w:r>
        <w:rPr>
          <w:rFonts w:hint="eastAsia"/>
        </w:rPr>
        <w:t>℃环境下使用。</w:t>
      </w:r>
    </w:p>
    <w:p w14:paraId="4DBC4008">
      <w:pPr>
        <w:pStyle w:val="288"/>
      </w:pPr>
      <w:r>
        <w:rPr>
          <w:rFonts w:hint="eastAsia"/>
        </w:rPr>
        <w:t>4、材料抗拉强度不小于40MPa，断裂伸长率不低于20%。</w:t>
      </w:r>
    </w:p>
    <w:p w14:paraId="49F15E47">
      <w:pPr>
        <w:pStyle w:val="288"/>
      </w:pPr>
      <w:r>
        <w:rPr>
          <w:rFonts w:hint="eastAsia"/>
        </w:rPr>
        <w:t>5、材料要求在水下对海缆无附加重量。</w:t>
      </w:r>
    </w:p>
    <w:p w14:paraId="4BBAAECC">
      <w:pPr>
        <w:pStyle w:val="288"/>
      </w:pPr>
      <w:r>
        <w:rPr>
          <w:rFonts w:hint="eastAsia"/>
        </w:rPr>
        <w:t>6、应能承受8t侧向压力。考虑海缆运行期可能遭受的冲击荷载，海缆弯曲保护装置外壳允许的侧向冲击荷载应不低于80kg砝码80cm高度自由落体的冲击力。</w:t>
      </w:r>
    </w:p>
    <w:p w14:paraId="53D09C41">
      <w:pPr>
        <w:pStyle w:val="288"/>
      </w:pPr>
      <w:r>
        <w:rPr>
          <w:rFonts w:hint="eastAsia"/>
        </w:rPr>
        <w:t>7、弯曲半径满足海缆最小弯曲半径要求。</w:t>
      </w:r>
    </w:p>
    <w:p w14:paraId="050742C8">
      <w:pPr>
        <w:pStyle w:val="288"/>
      </w:pPr>
      <w:r>
        <w:rPr>
          <w:rFonts w:hint="eastAsia"/>
        </w:rPr>
        <w:t>8、耐腐蚀试验不低于国标720小时的试验，产品性能不下降。</w:t>
      </w:r>
    </w:p>
    <w:p w14:paraId="0299ABFB">
      <w:pPr>
        <w:pStyle w:val="288"/>
      </w:pPr>
      <w:r>
        <w:rPr>
          <w:rFonts w:hint="eastAsia"/>
        </w:rPr>
        <w:t>9、弯曲</w:t>
      </w:r>
      <w:r>
        <w:t>限制器紧固件采用</w:t>
      </w:r>
      <w:r>
        <w:rPr>
          <w:rFonts w:hint="eastAsia"/>
        </w:rPr>
        <w:t>3</w:t>
      </w:r>
      <w:r>
        <w:t>16L不锈钢</w:t>
      </w:r>
      <w:r>
        <w:rPr>
          <w:rFonts w:hint="eastAsia"/>
        </w:rPr>
        <w:t>及以上等级。</w:t>
      </w:r>
    </w:p>
    <w:p w14:paraId="5C676DEF">
      <w:pPr>
        <w:pStyle w:val="288"/>
      </w:pPr>
      <w:r>
        <w:rPr>
          <w:rFonts w:hint="eastAsia"/>
        </w:rPr>
        <w:t>10、应具有海洋环境中不低于4</w:t>
      </w:r>
      <w:r>
        <w:t>0</w:t>
      </w:r>
      <w:r>
        <w:rPr>
          <w:rFonts w:hint="eastAsia"/>
        </w:rPr>
        <w:t>年的使用年限。</w:t>
      </w:r>
    </w:p>
    <w:p w14:paraId="06F15B0C">
      <w:pPr>
        <w:pStyle w:val="288"/>
      </w:pPr>
      <w:r>
        <w:rPr>
          <w:rFonts w:hint="eastAsia"/>
        </w:rPr>
        <w:t>6.6.5</w:t>
      </w:r>
      <w:r>
        <w:t>.</w:t>
      </w:r>
      <w:r>
        <w:rPr>
          <w:rFonts w:hint="eastAsia"/>
        </w:rPr>
        <w:t>2  安装要求</w:t>
      </w:r>
    </w:p>
    <w:p w14:paraId="743E9115">
      <w:pPr>
        <w:pStyle w:val="288"/>
      </w:pPr>
      <w:r>
        <w:rPr>
          <w:rFonts w:hint="eastAsia"/>
        </w:rPr>
        <w:t>弯曲限制器应结构简单，安装方便，装配安装过程应能全部在船上完成，整个过程无需潜水员水下操作。投标方应协助施工单位完成海缆弯曲限制器的现场安装，提供相应技术服务。</w:t>
      </w:r>
    </w:p>
    <w:p w14:paraId="1F50B589">
      <w:pPr>
        <w:pStyle w:val="290"/>
      </w:pPr>
      <w:r>
        <w:rPr>
          <w:rFonts w:hint="eastAsia"/>
        </w:rPr>
        <w:t>6</w:t>
      </w:r>
      <w:r>
        <w:t xml:space="preserve">.6.6 </w:t>
      </w:r>
      <w:r>
        <w:rPr>
          <w:rFonts w:hint="eastAsia"/>
        </w:rPr>
        <w:t>海缆单相固定夹</w:t>
      </w:r>
    </w:p>
    <w:p w14:paraId="7651199D">
      <w:pPr>
        <w:pStyle w:val="288"/>
      </w:pPr>
      <w:r>
        <w:t>海缆单相夹具的性能应与海缆登陆并剥离铠装后的单相海缆尺寸相匹配，能够有效固定海缆在电缆沟中的敷设位置。夹具材料应采用</w:t>
      </w:r>
      <w:r>
        <w:rPr>
          <w:rFonts w:hint="eastAsia"/>
        </w:rPr>
        <w:t>3</w:t>
      </w:r>
      <w:r>
        <w:t>16L无磁不锈钢，</w:t>
      </w:r>
      <w:r>
        <w:rPr>
          <w:rFonts w:hint="eastAsia"/>
        </w:rPr>
        <w:t>材料本体</w:t>
      </w:r>
      <w:r>
        <w:t>防氯离子锈</w:t>
      </w:r>
      <w:r>
        <w:rPr>
          <w:rFonts w:hint="eastAsia"/>
        </w:rPr>
        <w:t>，</w:t>
      </w:r>
      <w:r>
        <w:t>且其结构设计应确保在使用过程中不会围绕海缆形成闭合的电气回路，以避免因电磁感应导致夹具发热。</w:t>
      </w:r>
    </w:p>
    <w:p w14:paraId="20509BDD">
      <w:pPr>
        <w:pStyle w:val="288"/>
      </w:pPr>
      <w:r>
        <w:t>夹具与海缆外护层接触面应平滑、无尖锐棱角，并宜设置缓冲衬垫，以防止机械损伤。夹具的机械强度应能承受短路工况下海缆产生的电动力作用，且长期运行中不应出现松动或腐蚀。</w:t>
      </w:r>
    </w:p>
    <w:p w14:paraId="4F7842A1">
      <w:pPr>
        <w:pStyle w:val="290"/>
      </w:pPr>
      <w:r>
        <w:rPr>
          <w:rFonts w:hint="eastAsia"/>
        </w:rPr>
        <w:t>6</w:t>
      </w:r>
      <w:r>
        <w:t xml:space="preserve">.6.7 </w:t>
      </w:r>
      <w:r>
        <w:rPr>
          <w:rFonts w:hint="eastAsia"/>
        </w:rPr>
        <w:t>光纤接续盒</w:t>
      </w:r>
    </w:p>
    <w:p w14:paraId="53A0F00E">
      <w:pPr>
        <w:pStyle w:val="288"/>
      </w:pPr>
      <w:r>
        <w:rPr>
          <w:rFonts w:hint="eastAsia"/>
        </w:rPr>
        <w:t>投标方应保证</w:t>
      </w:r>
      <w:r>
        <w:t>光缆接续盒</w:t>
      </w:r>
      <w:r>
        <w:rPr>
          <w:rFonts w:hint="eastAsia"/>
        </w:rPr>
        <w:t>40</w:t>
      </w:r>
      <w:r>
        <w:t>年</w:t>
      </w:r>
      <w:r>
        <w:rPr>
          <w:rFonts w:hint="eastAsia"/>
        </w:rPr>
        <w:t>使用寿命</w:t>
      </w:r>
      <w:r>
        <w:t>，</w:t>
      </w:r>
      <w:r>
        <w:rPr>
          <w:rFonts w:hint="eastAsia"/>
        </w:rPr>
        <w:t>如发生需维修或需更换的的故障，应及时响应并予以免费维修更换。</w:t>
      </w:r>
      <w:r>
        <w:t>光缆接续盒应具备防潮、防水、密封、抗日晒、抗污染腐蚀、耐受温度循环及耐腐蚀的能力，保护光纤接头免受环境影响，安装和使用中，光纤接头和盘留光纤应无明显附加衰减（小于0.03db），需通过拉伸、压扁、冲击、弯曲、扭转等试验，确保外壳体和连接部件的机械强度。</w:t>
      </w:r>
    </w:p>
    <w:p w14:paraId="6026338F">
      <w:pPr>
        <w:pStyle w:val="290"/>
      </w:pPr>
      <w:r>
        <w:rPr>
          <w:rFonts w:hint="eastAsia"/>
        </w:rPr>
        <w:t>6</w:t>
      </w:r>
      <w:r>
        <w:t>.6.8</w:t>
      </w:r>
      <w:r>
        <w:rPr>
          <w:rFonts w:hint="eastAsia"/>
        </w:rPr>
        <w:t>直接接地箱</w:t>
      </w:r>
    </w:p>
    <w:p w14:paraId="3494D30F">
      <w:pPr>
        <w:pStyle w:val="288"/>
      </w:pPr>
      <w:r>
        <w:t>本工程接地箱</w:t>
      </w:r>
      <w:r>
        <w:rPr>
          <w:rFonts w:hint="eastAsia"/>
        </w:rPr>
        <w:t>为三相接地箱，</w:t>
      </w:r>
      <w:r>
        <w:t>箱体的绝缘水平应不低于电缆非金属外护层的绝缘水平。建议采用316L无磁不锈钢材料，厚度不小于2mm，以保证箱体有足够的机械性能。箱体在水深大于1m的地下浸泡168h 应不会进水。箱外壳的防水性能和防腐蚀性能应满足DL2630-2023 标准、DL508标准与南方电网公司《数字输电线路装备技术导则》要求。密封圈材料建议采用丁氰橡胶，密封圈应能在额定负荷下长期使用。</w:t>
      </w:r>
    </w:p>
    <w:p w14:paraId="4C71C5AF">
      <w:pPr>
        <w:pStyle w:val="290"/>
      </w:pPr>
    </w:p>
    <w:p w14:paraId="43B99F3E">
      <w:pPr>
        <w:pStyle w:val="340"/>
        <w:keepLines/>
        <w:tabs>
          <w:tab w:val="left" w:pos="576"/>
          <w:tab w:val="left" w:pos="1276"/>
        </w:tabs>
        <w:autoSpaceDE/>
        <w:autoSpaceDN/>
        <w:snapToGrid w:val="0"/>
        <w:spacing w:line="360" w:lineRule="auto"/>
        <w:outlineLvl w:val="1"/>
        <w:rPr>
          <w:rFonts w:hAnsi="黑体"/>
        </w:rPr>
      </w:pPr>
      <w:bookmarkStart w:id="121" w:name="_Toc226123949"/>
      <w:bookmarkStart w:id="122" w:name="_Toc32598"/>
      <w:bookmarkStart w:id="123" w:name="_Toc10624"/>
      <w:bookmarkStart w:id="124" w:name="_Toc232443356"/>
      <w:bookmarkStart w:id="125" w:name="_Toc52271818"/>
      <w:r>
        <w:rPr>
          <w:rFonts w:hint="eastAsia" w:hAnsi="黑体"/>
          <w:bCs/>
          <w:kern w:val="2"/>
          <w:sz w:val="21"/>
          <w:szCs w:val="21"/>
        </w:rPr>
        <w:t>6</w:t>
      </w:r>
      <w:r>
        <w:rPr>
          <w:rFonts w:hAnsi="黑体"/>
          <w:bCs/>
          <w:kern w:val="2"/>
          <w:sz w:val="21"/>
          <w:szCs w:val="21"/>
        </w:rPr>
        <w:t xml:space="preserve">.7 </w:t>
      </w:r>
      <w:r>
        <w:rPr>
          <w:rFonts w:hint="eastAsia" w:hAnsi="黑体"/>
          <w:bCs/>
          <w:kern w:val="2"/>
          <w:sz w:val="21"/>
          <w:szCs w:val="21"/>
        </w:rPr>
        <w:t>技术特性参数表</w:t>
      </w:r>
      <w:bookmarkEnd w:id="121"/>
      <w:bookmarkEnd w:id="122"/>
      <w:bookmarkEnd w:id="123"/>
      <w:bookmarkEnd w:id="124"/>
      <w:bookmarkEnd w:id="125"/>
    </w:p>
    <w:p w14:paraId="431EF11A">
      <w:pPr>
        <w:pStyle w:val="152"/>
        <w:adjustRightInd w:val="0"/>
        <w:snapToGrid w:val="0"/>
        <w:spacing w:line="360" w:lineRule="auto"/>
      </w:pPr>
      <w:r>
        <w:t>投标方应认真逐项填写技术参数表中投标方响应值，不能空格，也不能以“响应”两字代替，不允许改动项目单位要求值。</w:t>
      </w:r>
      <w:r>
        <w:rPr>
          <w:rFonts w:hint="eastAsia" w:eastAsia="宋体"/>
          <w:szCs w:val="21"/>
        </w:rPr>
        <w:t>如有差异，请填写投标方技术偏差表。每一项参数均为关键参数，不响应或者部分响应的，视为不满足技术要求，作为废标处理。</w:t>
      </w:r>
    </w:p>
    <w:p w14:paraId="15145BA6">
      <w:pPr>
        <w:pStyle w:val="152"/>
        <w:adjustRightInd w:val="0"/>
        <w:snapToGrid w:val="0"/>
        <w:spacing w:line="360" w:lineRule="auto"/>
        <w:rPr>
          <w:rFonts w:eastAsia="宋体"/>
          <w:szCs w:val="21"/>
        </w:rPr>
      </w:pPr>
      <w:r>
        <w:t>注：</w:t>
      </w:r>
      <w:r>
        <w:rPr>
          <w:rFonts w:eastAsia="宋体"/>
          <w:szCs w:val="21"/>
        </w:rPr>
        <w:t>需按照以下类型参数填写方式准确填写：</w:t>
      </w:r>
    </w:p>
    <w:p w14:paraId="490CA3AE">
      <w:pPr>
        <w:pStyle w:val="152"/>
        <w:numPr>
          <w:ilvl w:val="0"/>
          <w:numId w:val="8"/>
        </w:numPr>
        <w:adjustRightInd w:val="0"/>
        <w:snapToGrid w:val="0"/>
        <w:spacing w:line="360" w:lineRule="auto"/>
        <w:ind w:firstLineChars="0"/>
        <w:rPr>
          <w:rFonts w:eastAsia="宋体"/>
          <w:szCs w:val="21"/>
        </w:rPr>
      </w:pPr>
      <w:r>
        <w:rPr>
          <w:rFonts w:eastAsia="宋体"/>
          <w:szCs w:val="21"/>
        </w:rPr>
        <w:t>针对标准值特性“单一”，项目单位无需填写，投标方必须完全响应，如有偏差逐项填写在“3.1投标方技术偏差”部分；</w:t>
      </w:r>
    </w:p>
    <w:p w14:paraId="04F022C8">
      <w:pPr>
        <w:pStyle w:val="152"/>
        <w:numPr>
          <w:ilvl w:val="0"/>
          <w:numId w:val="8"/>
        </w:numPr>
        <w:adjustRightInd w:val="0"/>
        <w:snapToGrid w:val="0"/>
        <w:spacing w:line="360" w:lineRule="auto"/>
        <w:ind w:firstLineChars="0"/>
        <w:rPr>
          <w:rFonts w:eastAsia="宋体"/>
          <w:szCs w:val="21"/>
        </w:rPr>
      </w:pPr>
      <w:r>
        <w:rPr>
          <w:rFonts w:eastAsia="宋体"/>
          <w:szCs w:val="21"/>
        </w:rPr>
        <w:t>针对标准值特性“可选”，项目单位可选定参数，投标方必须完全响应，如有偏差逐项填写在“3.1投标方技术偏差”部分；</w:t>
      </w:r>
    </w:p>
    <w:p w14:paraId="0B72FA99">
      <w:pPr>
        <w:pStyle w:val="152"/>
        <w:numPr>
          <w:ilvl w:val="0"/>
          <w:numId w:val="8"/>
        </w:numPr>
        <w:adjustRightInd w:val="0"/>
        <w:snapToGrid w:val="0"/>
        <w:spacing w:line="360" w:lineRule="auto"/>
        <w:ind w:firstLineChars="0"/>
        <w:rPr>
          <w:rFonts w:eastAsia="宋体"/>
          <w:szCs w:val="21"/>
        </w:rPr>
      </w:pPr>
      <w:r>
        <w:rPr>
          <w:rFonts w:eastAsia="宋体"/>
          <w:szCs w:val="21"/>
        </w:rPr>
        <w:t>针对标准值特性“投标方响应”，有标准参数值要求，投标方需根据自身实际情况，提供限制要求范围内的响应值，同时需将此部分逐项填写在“3.1投标方技术偏差”部分；</w:t>
      </w:r>
    </w:p>
    <w:p w14:paraId="55046BF0">
      <w:pPr>
        <w:pStyle w:val="152"/>
        <w:numPr>
          <w:ilvl w:val="0"/>
          <w:numId w:val="8"/>
        </w:numPr>
        <w:adjustRightInd w:val="0"/>
        <w:snapToGrid w:val="0"/>
        <w:spacing w:line="360" w:lineRule="auto"/>
        <w:ind w:firstLineChars="0"/>
        <w:rPr>
          <w:rFonts w:eastAsia="宋体"/>
          <w:szCs w:val="21"/>
        </w:rPr>
      </w:pPr>
      <w:r>
        <w:rPr>
          <w:rFonts w:eastAsia="宋体"/>
          <w:szCs w:val="21"/>
        </w:rPr>
        <w:t>针对标准值特性“投标方提供”，无标准参数值要求，投标方根据实际情况填写投标响应值；</w:t>
      </w:r>
    </w:p>
    <w:p w14:paraId="25ADC469">
      <w:pPr>
        <w:pStyle w:val="152"/>
        <w:numPr>
          <w:ilvl w:val="0"/>
          <w:numId w:val="8"/>
        </w:numPr>
        <w:adjustRightInd w:val="0"/>
        <w:snapToGrid w:val="0"/>
        <w:spacing w:line="360" w:lineRule="auto"/>
        <w:ind w:firstLineChars="0"/>
        <w:rPr>
          <w:rFonts w:eastAsia="宋体"/>
          <w:szCs w:val="21"/>
        </w:rPr>
      </w:pPr>
      <w:r>
        <w:rPr>
          <w:rFonts w:hint="eastAsia" w:eastAsia="宋体"/>
          <w:szCs w:val="21"/>
        </w:rPr>
        <w:t>项目单位要求值的</w:t>
      </w:r>
      <w:r>
        <w:rPr>
          <w:rFonts w:eastAsia="宋体"/>
          <w:szCs w:val="21"/>
        </w:rPr>
        <w:t>数据填入格式</w:t>
      </w:r>
      <w:r>
        <w:rPr>
          <w:rFonts w:hint="eastAsia" w:eastAsia="宋体"/>
          <w:szCs w:val="21"/>
        </w:rPr>
        <w:t>：</w:t>
      </w:r>
    </w:p>
    <w:p w14:paraId="1654AB0B">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a</w:t>
      </w:r>
      <w:r>
        <w:rPr>
          <w:rFonts w:hint="eastAsia" w:ascii="宋体" w:hAnsi="宋体" w:eastAsia="宋体"/>
          <w:szCs w:val="21"/>
        </w:rPr>
        <w:t>）标准</w:t>
      </w:r>
      <w:r>
        <w:rPr>
          <w:rFonts w:ascii="宋体" w:hAnsi="宋体" w:eastAsia="宋体"/>
          <w:szCs w:val="21"/>
        </w:rPr>
        <w:t>参数值要求值仅为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的字符应为“文本型”；</w:t>
      </w:r>
    </w:p>
    <w:p w14:paraId="49326FA1">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b</w:t>
      </w:r>
      <w:r>
        <w:rPr>
          <w:rFonts w:hint="eastAsia" w:ascii="宋体" w:hAnsi="宋体" w:eastAsia="宋体"/>
          <w:szCs w:val="21"/>
        </w:rPr>
        <w:t>）需要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p>
    <w:p w14:paraId="2EF15AE4">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c</w:t>
      </w:r>
      <w:r>
        <w:rPr>
          <w:rFonts w:hint="eastAsia" w:ascii="宋体" w:hAnsi="宋体" w:eastAsia="宋体"/>
          <w:szCs w:val="21"/>
        </w:rPr>
        <w:t>）项目单位</w:t>
      </w:r>
      <w:r>
        <w:rPr>
          <w:rFonts w:ascii="宋体" w:hAnsi="宋体" w:eastAsia="宋体"/>
          <w:szCs w:val="21"/>
        </w:rPr>
        <w:t>录入时应采用</w:t>
      </w:r>
      <w:r>
        <w:rPr>
          <w:rFonts w:hint="eastAsia" w:ascii="宋体" w:hAnsi="宋体" w:eastAsia="宋体"/>
          <w:szCs w:val="21"/>
        </w:rPr>
        <w:t>“中文半角”输入</w:t>
      </w:r>
      <w:r>
        <w:rPr>
          <w:rFonts w:ascii="宋体" w:hAnsi="宋体" w:eastAsia="宋体"/>
          <w:szCs w:val="21"/>
        </w:rPr>
        <w:t>法</w:t>
      </w:r>
      <w:r>
        <w:rPr>
          <w:rFonts w:hint="eastAsia" w:ascii="宋体" w:hAnsi="宋体" w:eastAsia="宋体"/>
          <w:szCs w:val="21"/>
        </w:rPr>
        <w:t>；</w:t>
      </w:r>
    </w:p>
    <w:p w14:paraId="7C38A9C7">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d</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14:paraId="24D6260A">
      <w:pPr>
        <w:pStyle w:val="152"/>
        <w:numPr>
          <w:ilvl w:val="0"/>
          <w:numId w:val="8"/>
        </w:numPr>
        <w:adjustRightInd w:val="0"/>
        <w:snapToGrid w:val="0"/>
        <w:spacing w:line="360" w:lineRule="auto"/>
        <w:ind w:firstLineChars="0"/>
        <w:rPr>
          <w:rFonts w:eastAsia="宋体"/>
          <w:szCs w:val="21"/>
        </w:rPr>
      </w:pPr>
      <w:r>
        <w:rPr>
          <w:rFonts w:hint="eastAsia" w:eastAsia="宋体"/>
          <w:szCs w:val="21"/>
        </w:rPr>
        <w:t>投标方响应</w:t>
      </w:r>
      <w:r>
        <w:rPr>
          <w:rFonts w:eastAsia="宋体"/>
          <w:szCs w:val="21"/>
        </w:rPr>
        <w:t>值</w:t>
      </w:r>
      <w:r>
        <w:rPr>
          <w:rFonts w:hint="eastAsia" w:eastAsia="宋体"/>
          <w:szCs w:val="21"/>
        </w:rPr>
        <w:t>的</w:t>
      </w:r>
      <w:r>
        <w:rPr>
          <w:rFonts w:eastAsia="宋体"/>
          <w:szCs w:val="21"/>
        </w:rPr>
        <w:t>数据填入格式</w:t>
      </w:r>
      <w:r>
        <w:rPr>
          <w:rFonts w:hint="eastAsia" w:eastAsia="宋体"/>
          <w:szCs w:val="21"/>
        </w:rPr>
        <w:t>：</w:t>
      </w:r>
    </w:p>
    <w:p w14:paraId="467E1317">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a</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和</w:t>
      </w:r>
      <w:r>
        <w:rPr>
          <w:rFonts w:ascii="宋体" w:hAnsi="宋体" w:eastAsia="宋体"/>
          <w:szCs w:val="21"/>
        </w:rPr>
        <w:t>项目单位要求值仅为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“投标方响应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“投标方响应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的字符应为“文本型”；</w:t>
      </w:r>
    </w:p>
    <w:p w14:paraId="6DAF41CE">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b</w:t>
      </w:r>
      <w:r>
        <w:rPr>
          <w:rFonts w:hint="eastAsia" w:ascii="宋体" w:hAnsi="宋体" w:eastAsia="宋体"/>
          <w:szCs w:val="21"/>
        </w:rPr>
        <w:t>）需要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p>
    <w:p w14:paraId="777C5D9D">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c</w:t>
      </w:r>
      <w:r>
        <w:rPr>
          <w:rFonts w:hint="eastAsia" w:ascii="宋体" w:hAnsi="宋体" w:eastAsia="宋体"/>
          <w:szCs w:val="21"/>
        </w:rPr>
        <w:t>）</w:t>
      </w:r>
      <w:r>
        <w:rPr>
          <w:rFonts w:ascii="宋体" w:hAnsi="宋体" w:eastAsia="宋体"/>
          <w:szCs w:val="21"/>
        </w:rPr>
        <w:t>投标方录入时应采用</w:t>
      </w:r>
      <w:r>
        <w:rPr>
          <w:rFonts w:hint="eastAsia" w:ascii="宋体" w:hAnsi="宋体" w:eastAsia="宋体"/>
          <w:szCs w:val="21"/>
        </w:rPr>
        <w:t>“中文半角”输入</w:t>
      </w:r>
      <w:r>
        <w:rPr>
          <w:rFonts w:ascii="宋体" w:hAnsi="宋体" w:eastAsia="宋体"/>
          <w:szCs w:val="21"/>
        </w:rPr>
        <w:t>法</w:t>
      </w:r>
      <w:r>
        <w:rPr>
          <w:rFonts w:hint="eastAsia" w:ascii="宋体" w:hAnsi="宋体" w:eastAsia="宋体"/>
          <w:szCs w:val="21"/>
        </w:rPr>
        <w:t>；</w:t>
      </w:r>
    </w:p>
    <w:p w14:paraId="792051E2">
      <w:pPr>
        <w:pStyle w:val="152"/>
        <w:adjustRightInd w:val="0"/>
        <w:snapToGrid w:val="0"/>
        <w:spacing w:line="360" w:lineRule="auto"/>
        <w:ind w:left="780" w:firstLine="0" w:firstLineChars="0"/>
        <w:rPr>
          <w:rFonts w:ascii="宋体" w:hAnsi="宋体" w:eastAsia="宋体"/>
          <w:szCs w:val="21"/>
        </w:rPr>
      </w:pPr>
      <w:r>
        <w:rPr>
          <w:rFonts w:ascii="宋体" w:hAnsi="宋体" w:eastAsia="宋体"/>
          <w:szCs w:val="21"/>
        </w:rPr>
        <w:t>d</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14:paraId="67F2430F">
      <w:pPr>
        <w:pStyle w:val="152"/>
        <w:numPr>
          <w:ilvl w:val="0"/>
          <w:numId w:val="8"/>
        </w:numPr>
        <w:adjustRightInd w:val="0"/>
        <w:snapToGrid w:val="0"/>
        <w:spacing w:line="360" w:lineRule="auto"/>
        <w:ind w:firstLineChars="0"/>
        <w:rPr>
          <w:rFonts w:eastAsia="宋体"/>
          <w:szCs w:val="21"/>
        </w:rPr>
      </w:pPr>
      <w:r>
        <w:rPr>
          <w:rFonts w:eastAsia="宋体"/>
          <w:szCs w:val="21"/>
        </w:rPr>
        <w:t>若</w:t>
      </w:r>
      <w:r>
        <w:rPr>
          <w:rFonts w:hint="eastAsia" w:eastAsia="宋体"/>
          <w:szCs w:val="21"/>
        </w:rPr>
        <w:t>投标方响应</w:t>
      </w:r>
      <w:r>
        <w:rPr>
          <w:rFonts w:eastAsia="宋体"/>
          <w:szCs w:val="21"/>
        </w:rPr>
        <w:t>值</w:t>
      </w:r>
      <w:r>
        <w:rPr>
          <w:rFonts w:hint="eastAsia" w:eastAsia="宋体"/>
          <w:szCs w:val="21"/>
        </w:rPr>
        <w:t>存在偏差</w:t>
      </w:r>
      <w:r>
        <w:rPr>
          <w:rFonts w:eastAsia="宋体"/>
          <w:szCs w:val="21"/>
        </w:rPr>
        <w:t>，</w:t>
      </w:r>
      <w:r>
        <w:rPr>
          <w:rFonts w:hint="eastAsia" w:eastAsia="宋体"/>
          <w:szCs w:val="21"/>
        </w:rPr>
        <w:t>请</w:t>
      </w:r>
      <w:r>
        <w:rPr>
          <w:rFonts w:eastAsia="宋体"/>
          <w:szCs w:val="21"/>
        </w:rPr>
        <w:t>填写</w:t>
      </w:r>
      <w:r>
        <w:rPr>
          <w:rFonts w:hint="eastAsia" w:eastAsia="宋体"/>
          <w:szCs w:val="21"/>
        </w:rPr>
        <w:t>“</w:t>
      </w:r>
      <w:r>
        <w:rPr>
          <w:rFonts w:eastAsia="宋体"/>
          <w:szCs w:val="21"/>
        </w:rPr>
        <w:t>偏差说明</w:t>
      </w:r>
      <w:r>
        <w:rPr>
          <w:rFonts w:hint="eastAsia" w:eastAsia="宋体"/>
          <w:szCs w:val="21"/>
        </w:rPr>
        <w:t>”。</w:t>
      </w:r>
    </w:p>
    <w:p w14:paraId="54038F4F">
      <w:pPr>
        <w:pStyle w:val="152"/>
        <w:numPr>
          <w:ilvl w:val="0"/>
          <w:numId w:val="8"/>
        </w:numPr>
        <w:adjustRightInd w:val="0"/>
        <w:snapToGrid w:val="0"/>
        <w:spacing w:line="360" w:lineRule="auto"/>
        <w:ind w:firstLineChars="0"/>
        <w:rPr>
          <w:rFonts w:eastAsia="宋体"/>
          <w:szCs w:val="21"/>
        </w:rPr>
      </w:pPr>
      <w:r>
        <w:rPr>
          <w:rFonts w:hint="eastAsia" w:eastAsia="宋体"/>
          <w:szCs w:val="21"/>
        </w:rPr>
        <w:t>本章节技术特性参数表中要求的证明材料若暂时无法出具可暂不提供，但投标方需对参数表中填写值的真实性与可行性负责。中标后具备条件时应及时提供相关证明材料，同时招标方将依据技术特性表中“投标方响应值”对投标方提供的海缆进行验证校核并执行相关合同条款。</w:t>
      </w:r>
    </w:p>
    <w:p w14:paraId="279DA304">
      <w:pPr>
        <w:pStyle w:val="152"/>
        <w:adjustRightInd w:val="0"/>
        <w:snapToGrid w:val="0"/>
        <w:spacing w:line="360" w:lineRule="auto"/>
        <w:ind w:firstLineChars="0"/>
        <w:rPr>
          <w:rFonts w:eastAsia="宋体"/>
          <w:szCs w:val="21"/>
        </w:rPr>
        <w:sectPr>
          <w:pgSz w:w="11906" w:h="16838"/>
          <w:pgMar w:top="1134" w:right="1418" w:bottom="1418" w:left="1418" w:header="851" w:footer="992" w:gutter="0"/>
          <w:cols w:space="720" w:num="1"/>
          <w:docGrid w:type="lines" w:linePitch="312" w:charSpace="0"/>
        </w:sectPr>
      </w:pPr>
    </w:p>
    <w:p w14:paraId="658397B5">
      <w:pPr>
        <w:jc w:val="center"/>
        <w:rPr>
          <w:szCs w:val="21"/>
        </w:rPr>
      </w:pPr>
      <w:r>
        <w:tab/>
      </w:r>
      <w:r>
        <w:rPr>
          <w:szCs w:val="21"/>
        </w:rPr>
        <w:t>表</w:t>
      </w:r>
      <w:r>
        <w:rPr>
          <w:rFonts w:hint="eastAsia"/>
          <w:szCs w:val="21"/>
        </w:rPr>
        <w:t>6</w:t>
      </w:r>
      <w:r>
        <w:rPr>
          <w:szCs w:val="21"/>
        </w:rPr>
        <w:t>.7-1   500kV</w:t>
      </w:r>
      <w:r>
        <w:rPr>
          <w:rFonts w:hint="eastAsia"/>
          <w:szCs w:val="21"/>
        </w:rPr>
        <w:t>海底电缆</w:t>
      </w:r>
      <w:r>
        <w:rPr>
          <w:szCs w:val="21"/>
        </w:rPr>
        <w:t>技术特性参数表（投标方填写）</w:t>
      </w:r>
    </w:p>
    <w:tbl>
      <w:tblPr>
        <w:tblStyle w:val="85"/>
        <w:tblW w:w="14649" w:type="dxa"/>
        <w:tblInd w:w="-147" w:type="dxa"/>
        <w:tblLayout w:type="fixed"/>
        <w:tblCellMar>
          <w:top w:w="0" w:type="dxa"/>
          <w:left w:w="108" w:type="dxa"/>
          <w:bottom w:w="0" w:type="dxa"/>
          <w:right w:w="108" w:type="dxa"/>
        </w:tblCellMar>
      </w:tblPr>
      <w:tblGrid>
        <w:gridCol w:w="1135"/>
        <w:gridCol w:w="2551"/>
        <w:gridCol w:w="2410"/>
        <w:gridCol w:w="1417"/>
        <w:gridCol w:w="1843"/>
        <w:gridCol w:w="1559"/>
        <w:gridCol w:w="1134"/>
        <w:gridCol w:w="1233"/>
        <w:gridCol w:w="1367"/>
      </w:tblGrid>
      <w:tr w14:paraId="3A131B13">
        <w:tblPrEx>
          <w:tblCellMar>
            <w:top w:w="0" w:type="dxa"/>
            <w:left w:w="108" w:type="dxa"/>
            <w:bottom w:w="0" w:type="dxa"/>
            <w:right w:w="108" w:type="dxa"/>
          </w:tblCellMar>
        </w:tblPrEx>
        <w:trPr>
          <w:trHeight w:val="330" w:hRule="atLeast"/>
          <w:tblHeader/>
        </w:trPr>
        <w:tc>
          <w:tcPr>
            <w:tcW w:w="1135" w:type="dxa"/>
            <w:tcBorders>
              <w:top w:val="single" w:color="auto" w:sz="4" w:space="0"/>
              <w:left w:val="single" w:color="auto" w:sz="4" w:space="0"/>
              <w:bottom w:val="single" w:color="auto" w:sz="4" w:space="0"/>
              <w:right w:val="single" w:color="auto" w:sz="4" w:space="0"/>
            </w:tcBorders>
            <w:vAlign w:val="center"/>
          </w:tcPr>
          <w:p w14:paraId="045FF0FF">
            <w:pPr>
              <w:widowControl/>
              <w:jc w:val="left"/>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序号</w:t>
            </w:r>
          </w:p>
        </w:tc>
        <w:tc>
          <w:tcPr>
            <w:tcW w:w="2551" w:type="dxa"/>
            <w:tcBorders>
              <w:top w:val="single" w:color="auto" w:sz="4" w:space="0"/>
              <w:left w:val="nil"/>
              <w:bottom w:val="single" w:color="auto" w:sz="4" w:space="0"/>
              <w:right w:val="single" w:color="auto" w:sz="4" w:space="0"/>
            </w:tcBorders>
            <w:vAlign w:val="center"/>
          </w:tcPr>
          <w:p w14:paraId="6FAD0BE0">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参数类型</w:t>
            </w:r>
          </w:p>
        </w:tc>
        <w:tc>
          <w:tcPr>
            <w:tcW w:w="2410" w:type="dxa"/>
            <w:tcBorders>
              <w:top w:val="single" w:color="auto" w:sz="4" w:space="0"/>
              <w:left w:val="nil"/>
              <w:bottom w:val="single" w:color="auto" w:sz="4" w:space="0"/>
              <w:right w:val="single" w:color="auto" w:sz="4" w:space="0"/>
            </w:tcBorders>
            <w:vAlign w:val="center"/>
          </w:tcPr>
          <w:p w14:paraId="5CAD74C7">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标准参数值</w:t>
            </w:r>
          </w:p>
        </w:tc>
        <w:tc>
          <w:tcPr>
            <w:tcW w:w="1417" w:type="dxa"/>
            <w:tcBorders>
              <w:top w:val="single" w:color="auto" w:sz="4" w:space="0"/>
              <w:left w:val="nil"/>
              <w:bottom w:val="single" w:color="auto" w:sz="4" w:space="0"/>
              <w:right w:val="single" w:color="auto" w:sz="4" w:space="0"/>
            </w:tcBorders>
            <w:vAlign w:val="center"/>
          </w:tcPr>
          <w:p w14:paraId="0565DF6C">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标准值特性</w:t>
            </w:r>
          </w:p>
        </w:tc>
        <w:tc>
          <w:tcPr>
            <w:tcW w:w="1843" w:type="dxa"/>
            <w:tcBorders>
              <w:top w:val="single" w:color="auto" w:sz="4" w:space="0"/>
              <w:left w:val="nil"/>
              <w:bottom w:val="single" w:color="auto" w:sz="4" w:space="0"/>
              <w:right w:val="single" w:color="auto" w:sz="4" w:space="0"/>
            </w:tcBorders>
            <w:vAlign w:val="center"/>
          </w:tcPr>
          <w:p w14:paraId="3038DFA4">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项目单位要求值</w:t>
            </w:r>
          </w:p>
        </w:tc>
        <w:tc>
          <w:tcPr>
            <w:tcW w:w="1559" w:type="dxa"/>
            <w:tcBorders>
              <w:top w:val="single" w:color="auto" w:sz="4" w:space="0"/>
              <w:left w:val="nil"/>
              <w:bottom w:val="single" w:color="auto" w:sz="4" w:space="0"/>
              <w:right w:val="single" w:color="auto" w:sz="4" w:space="0"/>
            </w:tcBorders>
            <w:vAlign w:val="center"/>
          </w:tcPr>
          <w:p w14:paraId="10E87345">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投标方响应值</w:t>
            </w:r>
          </w:p>
        </w:tc>
        <w:tc>
          <w:tcPr>
            <w:tcW w:w="1134" w:type="dxa"/>
            <w:tcBorders>
              <w:top w:val="single" w:color="auto" w:sz="4" w:space="0"/>
              <w:left w:val="nil"/>
              <w:bottom w:val="single" w:color="auto" w:sz="4" w:space="0"/>
              <w:right w:val="single" w:color="auto" w:sz="4" w:space="0"/>
            </w:tcBorders>
            <w:vAlign w:val="center"/>
          </w:tcPr>
          <w:p w14:paraId="409AC5A1">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
                <w:kern w:val="0"/>
                <w:sz w:val="22"/>
                <w:szCs w:val="22"/>
              </w:rPr>
              <w:t>证明材料</w:t>
            </w:r>
          </w:p>
        </w:tc>
        <w:tc>
          <w:tcPr>
            <w:tcW w:w="1233" w:type="dxa"/>
            <w:tcBorders>
              <w:top w:val="single" w:color="auto" w:sz="4" w:space="0"/>
              <w:left w:val="nil"/>
              <w:bottom w:val="single" w:color="auto" w:sz="4" w:space="0"/>
              <w:right w:val="single" w:color="auto" w:sz="4" w:space="0"/>
            </w:tcBorders>
            <w:vAlign w:val="center"/>
          </w:tcPr>
          <w:p w14:paraId="0C9C87BC">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
                <w:kern w:val="0"/>
                <w:sz w:val="22"/>
                <w:szCs w:val="22"/>
              </w:rPr>
              <w:t>偏差说明</w:t>
            </w:r>
          </w:p>
        </w:tc>
        <w:tc>
          <w:tcPr>
            <w:tcW w:w="1367" w:type="dxa"/>
            <w:tcBorders>
              <w:top w:val="single" w:color="auto" w:sz="4" w:space="0"/>
              <w:left w:val="nil"/>
              <w:bottom w:val="single" w:color="auto" w:sz="4" w:space="0"/>
              <w:right w:val="single" w:color="auto" w:sz="4" w:space="0"/>
            </w:tcBorders>
            <w:vAlign w:val="center"/>
          </w:tcPr>
          <w:p w14:paraId="6C0FED65">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
                <w:kern w:val="0"/>
                <w:sz w:val="22"/>
                <w:szCs w:val="22"/>
              </w:rPr>
              <w:t>评标专家审核</w:t>
            </w:r>
          </w:p>
        </w:tc>
      </w:tr>
      <w:tr w14:paraId="62CC8026">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A028A9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p>
        </w:tc>
        <w:tc>
          <w:tcPr>
            <w:tcW w:w="13514" w:type="dxa"/>
            <w:gridSpan w:val="8"/>
            <w:tcBorders>
              <w:top w:val="single" w:color="auto" w:sz="4" w:space="0"/>
              <w:left w:val="nil"/>
              <w:bottom w:val="single" w:color="auto" w:sz="4" w:space="0"/>
              <w:right w:val="single" w:color="auto" w:sz="4" w:space="0"/>
            </w:tcBorders>
            <w:vAlign w:val="center"/>
          </w:tcPr>
          <w:p w14:paraId="1E8B5870">
            <w:pPr>
              <w:widowControl/>
              <w:jc w:val="left"/>
              <w:rPr>
                <w:rFonts w:asciiTheme="minorEastAsia" w:hAnsiTheme="minorEastAsia" w:eastAsiaTheme="minorEastAsia"/>
                <w:kern w:val="0"/>
                <w:sz w:val="22"/>
                <w:szCs w:val="22"/>
              </w:rPr>
            </w:pPr>
            <w:r>
              <w:rPr>
                <w:rFonts w:asciiTheme="minorEastAsia" w:hAnsiTheme="minorEastAsia" w:eastAsiaTheme="minorEastAsia"/>
                <w:b/>
                <w:kern w:val="0"/>
                <w:sz w:val="22"/>
                <w:szCs w:val="22"/>
              </w:rPr>
              <w:t>结构参数</w:t>
            </w:r>
          </w:p>
        </w:tc>
      </w:tr>
      <w:tr w14:paraId="453C70DD">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5A5D2C3C">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1.1</w:t>
            </w:r>
          </w:p>
        </w:tc>
        <w:tc>
          <w:tcPr>
            <w:tcW w:w="13514" w:type="dxa"/>
            <w:gridSpan w:val="8"/>
            <w:tcBorders>
              <w:top w:val="nil"/>
              <w:left w:val="nil"/>
              <w:bottom w:val="single" w:color="auto" w:sz="4" w:space="0"/>
              <w:right w:val="single" w:color="auto" w:sz="4" w:space="0"/>
            </w:tcBorders>
            <w:vAlign w:val="center"/>
          </w:tcPr>
          <w:p w14:paraId="4376F25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导体</w:t>
            </w:r>
          </w:p>
        </w:tc>
      </w:tr>
      <w:tr w14:paraId="78530EFC">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AC2A607">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1.1.1</w:t>
            </w:r>
          </w:p>
        </w:tc>
        <w:tc>
          <w:tcPr>
            <w:tcW w:w="2551" w:type="dxa"/>
            <w:tcBorders>
              <w:top w:val="nil"/>
              <w:left w:val="nil"/>
              <w:bottom w:val="single" w:color="auto" w:sz="4" w:space="0"/>
              <w:right w:val="single" w:color="auto" w:sz="4" w:space="0"/>
            </w:tcBorders>
            <w:vAlign w:val="center"/>
          </w:tcPr>
          <w:p w14:paraId="586828EB">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材料</w:t>
            </w:r>
          </w:p>
        </w:tc>
        <w:tc>
          <w:tcPr>
            <w:tcW w:w="2410" w:type="dxa"/>
            <w:tcBorders>
              <w:top w:val="nil"/>
              <w:left w:val="nil"/>
              <w:bottom w:val="single" w:color="auto" w:sz="4" w:space="0"/>
              <w:right w:val="single" w:color="auto" w:sz="4" w:space="0"/>
            </w:tcBorders>
            <w:vAlign w:val="center"/>
          </w:tcPr>
          <w:p w14:paraId="2EF6991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铜</w:t>
            </w:r>
          </w:p>
        </w:tc>
        <w:tc>
          <w:tcPr>
            <w:tcW w:w="1417" w:type="dxa"/>
            <w:tcBorders>
              <w:top w:val="nil"/>
              <w:left w:val="nil"/>
              <w:bottom w:val="single" w:color="auto" w:sz="4" w:space="0"/>
              <w:right w:val="single" w:color="auto" w:sz="4" w:space="0"/>
            </w:tcBorders>
            <w:vAlign w:val="center"/>
          </w:tcPr>
          <w:p w14:paraId="455ABE8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单一</w:t>
            </w:r>
          </w:p>
        </w:tc>
        <w:tc>
          <w:tcPr>
            <w:tcW w:w="1843" w:type="dxa"/>
            <w:tcBorders>
              <w:top w:val="nil"/>
              <w:left w:val="nil"/>
              <w:bottom w:val="single" w:color="auto" w:sz="4" w:space="0"/>
              <w:right w:val="single" w:color="auto" w:sz="4" w:space="0"/>
            </w:tcBorders>
            <w:vAlign w:val="center"/>
          </w:tcPr>
          <w:p w14:paraId="454CE27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199C94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tcPr>
          <w:p w14:paraId="73CA6F0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3812EE2F">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49485E36">
            <w:pPr>
              <w:widowControl/>
              <w:jc w:val="center"/>
              <w:rPr>
                <w:rFonts w:asciiTheme="minorEastAsia" w:hAnsiTheme="minorEastAsia" w:eastAsiaTheme="minorEastAsia"/>
                <w:kern w:val="0"/>
                <w:sz w:val="22"/>
                <w:szCs w:val="22"/>
              </w:rPr>
            </w:pPr>
          </w:p>
        </w:tc>
      </w:tr>
      <w:tr w14:paraId="4379FF6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572E3CB">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1.1.2</w:t>
            </w:r>
          </w:p>
        </w:tc>
        <w:tc>
          <w:tcPr>
            <w:tcW w:w="2551" w:type="dxa"/>
            <w:tcBorders>
              <w:top w:val="nil"/>
              <w:left w:val="nil"/>
              <w:bottom w:val="single" w:color="auto" w:sz="4" w:space="0"/>
              <w:right w:val="single" w:color="auto" w:sz="4" w:space="0"/>
            </w:tcBorders>
            <w:vAlign w:val="center"/>
          </w:tcPr>
          <w:p w14:paraId="43999B2B">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结构</w:t>
            </w:r>
          </w:p>
        </w:tc>
        <w:tc>
          <w:tcPr>
            <w:tcW w:w="2410" w:type="dxa"/>
            <w:tcBorders>
              <w:top w:val="nil"/>
              <w:left w:val="nil"/>
              <w:bottom w:val="single" w:color="auto" w:sz="4" w:space="0"/>
              <w:right w:val="single" w:color="auto" w:sz="4" w:space="0"/>
            </w:tcBorders>
            <w:vAlign w:val="center"/>
          </w:tcPr>
          <w:p w14:paraId="76E291D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紧压圆形、纵向阻水</w:t>
            </w:r>
          </w:p>
        </w:tc>
        <w:tc>
          <w:tcPr>
            <w:tcW w:w="1417" w:type="dxa"/>
            <w:tcBorders>
              <w:top w:val="nil"/>
              <w:left w:val="nil"/>
              <w:bottom w:val="single" w:color="auto" w:sz="4" w:space="0"/>
              <w:right w:val="single" w:color="auto" w:sz="4" w:space="0"/>
            </w:tcBorders>
            <w:vAlign w:val="center"/>
          </w:tcPr>
          <w:p w14:paraId="6D01E16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单一</w:t>
            </w:r>
          </w:p>
        </w:tc>
        <w:tc>
          <w:tcPr>
            <w:tcW w:w="1843" w:type="dxa"/>
            <w:tcBorders>
              <w:top w:val="nil"/>
              <w:left w:val="nil"/>
              <w:bottom w:val="single" w:color="auto" w:sz="4" w:space="0"/>
              <w:right w:val="single" w:color="auto" w:sz="4" w:space="0"/>
            </w:tcBorders>
            <w:vAlign w:val="center"/>
          </w:tcPr>
          <w:p w14:paraId="7C31602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D43488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tcPr>
          <w:p w14:paraId="69426D6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346D27F9">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5AA33D78">
            <w:pPr>
              <w:widowControl/>
              <w:jc w:val="center"/>
              <w:rPr>
                <w:rFonts w:asciiTheme="minorEastAsia" w:hAnsiTheme="minorEastAsia" w:eastAsiaTheme="minorEastAsia"/>
                <w:kern w:val="0"/>
                <w:sz w:val="22"/>
                <w:szCs w:val="22"/>
              </w:rPr>
            </w:pPr>
          </w:p>
        </w:tc>
      </w:tr>
      <w:tr w14:paraId="39C8489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A48185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1.1.3</w:t>
            </w:r>
          </w:p>
        </w:tc>
        <w:tc>
          <w:tcPr>
            <w:tcW w:w="2551" w:type="dxa"/>
            <w:tcBorders>
              <w:top w:val="nil"/>
              <w:left w:val="nil"/>
              <w:bottom w:val="single" w:color="auto" w:sz="4" w:space="0"/>
              <w:right w:val="single" w:color="auto" w:sz="4" w:space="0"/>
            </w:tcBorders>
            <w:vAlign w:val="center"/>
          </w:tcPr>
          <w:p w14:paraId="7AD9A59A">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标称截面积（mm</w:t>
            </w:r>
            <w:r>
              <w:rPr>
                <w:rFonts w:hint="eastAsia" w:asciiTheme="minorEastAsia" w:hAnsiTheme="minorEastAsia" w:eastAsiaTheme="minorEastAsia"/>
                <w:kern w:val="0"/>
                <w:sz w:val="22"/>
                <w:szCs w:val="22"/>
                <w:vertAlign w:val="superscript"/>
              </w:rPr>
              <w:t>2</w:t>
            </w:r>
            <w:r>
              <w:rPr>
                <w:rFonts w:hint="eastAsia" w:asciiTheme="minorEastAsia" w:hAnsiTheme="minorEastAsia" w:eastAsiaTheme="minorEastAsia"/>
                <w:kern w:val="0"/>
                <w:sz w:val="22"/>
                <w:szCs w:val="22"/>
              </w:rPr>
              <w:t>）</w:t>
            </w:r>
          </w:p>
        </w:tc>
        <w:tc>
          <w:tcPr>
            <w:tcW w:w="2410" w:type="dxa"/>
            <w:tcBorders>
              <w:top w:val="nil"/>
              <w:left w:val="nil"/>
              <w:bottom w:val="single" w:color="auto" w:sz="4" w:space="0"/>
              <w:right w:val="single" w:color="auto" w:sz="4" w:space="0"/>
            </w:tcBorders>
            <w:vAlign w:val="center"/>
          </w:tcPr>
          <w:p w14:paraId="0AB2FE68">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3</w:t>
            </w:r>
            <w:r>
              <w:rPr>
                <w:rFonts w:hint="eastAsia" w:asciiTheme="minorEastAsia" w:hAnsiTheme="minorEastAsia" w:eastAsiaTheme="minorEastAsia"/>
                <w:kern w:val="0"/>
                <w:sz w:val="22"/>
                <w:szCs w:val="22"/>
              </w:rPr>
              <w:t>×</w:t>
            </w:r>
            <w:r>
              <w:rPr>
                <w:rFonts w:asciiTheme="minorEastAsia" w:hAnsiTheme="minorEastAsia" w:eastAsiaTheme="minorEastAsia"/>
                <w:kern w:val="0"/>
                <w:sz w:val="22"/>
                <w:szCs w:val="22"/>
              </w:rPr>
              <w:t>1000</w:t>
            </w:r>
          </w:p>
        </w:tc>
        <w:tc>
          <w:tcPr>
            <w:tcW w:w="1417" w:type="dxa"/>
            <w:tcBorders>
              <w:top w:val="nil"/>
              <w:left w:val="nil"/>
              <w:bottom w:val="single" w:color="auto" w:sz="4" w:space="0"/>
              <w:right w:val="single" w:color="auto" w:sz="4" w:space="0"/>
            </w:tcBorders>
            <w:vAlign w:val="center"/>
          </w:tcPr>
          <w:p w14:paraId="0FD6A03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单一</w:t>
            </w:r>
          </w:p>
        </w:tc>
        <w:tc>
          <w:tcPr>
            <w:tcW w:w="1843" w:type="dxa"/>
            <w:tcBorders>
              <w:top w:val="nil"/>
              <w:left w:val="nil"/>
              <w:bottom w:val="single" w:color="auto" w:sz="4" w:space="0"/>
              <w:right w:val="single" w:color="auto" w:sz="4" w:space="0"/>
            </w:tcBorders>
            <w:vAlign w:val="center"/>
          </w:tcPr>
          <w:p w14:paraId="37CC4B6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3763CF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tcPr>
          <w:p w14:paraId="5A0E65B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7560F2F9">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23561DF7">
            <w:pPr>
              <w:widowControl/>
              <w:jc w:val="center"/>
              <w:rPr>
                <w:rFonts w:asciiTheme="minorEastAsia" w:hAnsiTheme="minorEastAsia" w:eastAsiaTheme="minorEastAsia"/>
                <w:kern w:val="0"/>
                <w:sz w:val="22"/>
                <w:szCs w:val="22"/>
              </w:rPr>
            </w:pPr>
          </w:p>
        </w:tc>
      </w:tr>
      <w:tr w14:paraId="4DA6E04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5395F471">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1.1.4</w:t>
            </w:r>
          </w:p>
        </w:tc>
        <w:tc>
          <w:tcPr>
            <w:tcW w:w="2551" w:type="dxa"/>
            <w:tcBorders>
              <w:top w:val="nil"/>
              <w:left w:val="nil"/>
              <w:bottom w:val="single" w:color="auto" w:sz="4" w:space="0"/>
              <w:right w:val="single" w:color="auto" w:sz="4" w:space="0"/>
            </w:tcBorders>
            <w:vAlign w:val="center"/>
          </w:tcPr>
          <w:p w14:paraId="3ACF6B3E">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最少单线根数×单线直径</w:t>
            </w:r>
          </w:p>
        </w:tc>
        <w:tc>
          <w:tcPr>
            <w:tcW w:w="2410" w:type="dxa"/>
            <w:tcBorders>
              <w:top w:val="nil"/>
              <w:left w:val="nil"/>
              <w:bottom w:val="single" w:color="auto" w:sz="4" w:space="0"/>
              <w:right w:val="single" w:color="auto" w:sz="4" w:space="0"/>
            </w:tcBorders>
            <w:vAlign w:val="center"/>
          </w:tcPr>
          <w:p w14:paraId="4251FB5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53根×mm</w:t>
            </w:r>
          </w:p>
        </w:tc>
        <w:tc>
          <w:tcPr>
            <w:tcW w:w="1417" w:type="dxa"/>
            <w:tcBorders>
              <w:top w:val="nil"/>
              <w:left w:val="nil"/>
              <w:bottom w:val="single" w:color="auto" w:sz="4" w:space="0"/>
              <w:right w:val="single" w:color="auto" w:sz="4" w:space="0"/>
            </w:tcBorders>
            <w:vAlign w:val="center"/>
          </w:tcPr>
          <w:p w14:paraId="5E24464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投标方响应</w:t>
            </w:r>
          </w:p>
        </w:tc>
        <w:tc>
          <w:tcPr>
            <w:tcW w:w="1843" w:type="dxa"/>
            <w:tcBorders>
              <w:top w:val="nil"/>
              <w:left w:val="nil"/>
              <w:bottom w:val="single" w:color="auto" w:sz="4" w:space="0"/>
              <w:right w:val="single" w:color="auto" w:sz="4" w:space="0"/>
            </w:tcBorders>
            <w:vAlign w:val="center"/>
          </w:tcPr>
          <w:p w14:paraId="30A9979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75296EB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tcPr>
          <w:p w14:paraId="5189742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2139671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32359BCD">
            <w:pPr>
              <w:widowControl/>
              <w:jc w:val="center"/>
              <w:rPr>
                <w:rFonts w:asciiTheme="minorEastAsia" w:hAnsiTheme="minorEastAsia" w:eastAsiaTheme="minorEastAsia"/>
                <w:kern w:val="0"/>
                <w:sz w:val="22"/>
                <w:szCs w:val="22"/>
              </w:rPr>
            </w:pPr>
          </w:p>
        </w:tc>
      </w:tr>
      <w:tr w14:paraId="0849E597">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5F64D8C">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1.1.5</w:t>
            </w:r>
          </w:p>
        </w:tc>
        <w:tc>
          <w:tcPr>
            <w:tcW w:w="2551" w:type="dxa"/>
            <w:tcBorders>
              <w:top w:val="nil"/>
              <w:left w:val="nil"/>
              <w:bottom w:val="single" w:color="auto" w:sz="4" w:space="0"/>
              <w:right w:val="single" w:color="auto" w:sz="4" w:space="0"/>
            </w:tcBorders>
            <w:vAlign w:val="center"/>
          </w:tcPr>
          <w:p w14:paraId="2509BA38">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导体外径及其偏差</w:t>
            </w:r>
          </w:p>
        </w:tc>
        <w:tc>
          <w:tcPr>
            <w:tcW w:w="2410" w:type="dxa"/>
            <w:tcBorders>
              <w:top w:val="nil"/>
              <w:left w:val="nil"/>
              <w:bottom w:val="single" w:color="auto" w:sz="4" w:space="0"/>
              <w:right w:val="single" w:color="auto" w:sz="4" w:space="0"/>
            </w:tcBorders>
            <w:vAlign w:val="center"/>
          </w:tcPr>
          <w:p w14:paraId="0139BF5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1F6DA9D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投标方提供</w:t>
            </w:r>
          </w:p>
        </w:tc>
        <w:tc>
          <w:tcPr>
            <w:tcW w:w="1843" w:type="dxa"/>
            <w:tcBorders>
              <w:top w:val="nil"/>
              <w:left w:val="nil"/>
              <w:bottom w:val="single" w:color="auto" w:sz="4" w:space="0"/>
              <w:right w:val="single" w:color="auto" w:sz="4" w:space="0"/>
            </w:tcBorders>
            <w:vAlign w:val="center"/>
          </w:tcPr>
          <w:p w14:paraId="4D19A36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B9D926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tcPr>
          <w:p w14:paraId="1706203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610F54D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2437B5E5">
            <w:pPr>
              <w:widowControl/>
              <w:jc w:val="center"/>
              <w:rPr>
                <w:rFonts w:asciiTheme="minorEastAsia" w:hAnsiTheme="minorEastAsia" w:eastAsiaTheme="minorEastAsia"/>
                <w:kern w:val="0"/>
                <w:sz w:val="22"/>
                <w:szCs w:val="22"/>
              </w:rPr>
            </w:pPr>
          </w:p>
        </w:tc>
      </w:tr>
      <w:tr w14:paraId="22D2DB8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5F98BB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.1.6</w:t>
            </w:r>
          </w:p>
        </w:tc>
        <w:tc>
          <w:tcPr>
            <w:tcW w:w="2551" w:type="dxa"/>
            <w:tcBorders>
              <w:top w:val="nil"/>
              <w:left w:val="nil"/>
              <w:bottom w:val="single" w:color="auto" w:sz="4" w:space="0"/>
              <w:right w:val="single" w:color="auto" w:sz="4" w:space="0"/>
            </w:tcBorders>
            <w:vAlign w:val="center"/>
          </w:tcPr>
          <w:p w14:paraId="2171348F">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导体纵向阻水材料</w:t>
            </w:r>
          </w:p>
        </w:tc>
        <w:tc>
          <w:tcPr>
            <w:tcW w:w="2410" w:type="dxa"/>
            <w:tcBorders>
              <w:top w:val="nil"/>
              <w:left w:val="nil"/>
              <w:bottom w:val="single" w:color="auto" w:sz="4" w:space="0"/>
              <w:right w:val="single" w:color="auto" w:sz="4" w:space="0"/>
            </w:tcBorders>
            <w:vAlign w:val="center"/>
          </w:tcPr>
          <w:p w14:paraId="0EFA265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2D9CDF7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投标方提供</w:t>
            </w:r>
          </w:p>
        </w:tc>
        <w:tc>
          <w:tcPr>
            <w:tcW w:w="1843" w:type="dxa"/>
            <w:tcBorders>
              <w:top w:val="nil"/>
              <w:left w:val="nil"/>
              <w:bottom w:val="single" w:color="auto" w:sz="4" w:space="0"/>
              <w:right w:val="single" w:color="auto" w:sz="4" w:space="0"/>
            </w:tcBorders>
            <w:vAlign w:val="center"/>
          </w:tcPr>
          <w:p w14:paraId="7636DE7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20107B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tcPr>
          <w:p w14:paraId="6C92EABF">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tcPr>
          <w:p w14:paraId="5B44A2B6">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73230DBC">
            <w:pPr>
              <w:widowControl/>
              <w:jc w:val="center"/>
              <w:rPr>
                <w:rFonts w:asciiTheme="minorEastAsia" w:hAnsiTheme="minorEastAsia" w:eastAsiaTheme="minorEastAsia"/>
                <w:kern w:val="0"/>
                <w:sz w:val="22"/>
                <w:szCs w:val="22"/>
              </w:rPr>
            </w:pPr>
          </w:p>
        </w:tc>
      </w:tr>
      <w:tr w14:paraId="09A72A62">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E3CE28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.1.7</w:t>
            </w:r>
          </w:p>
        </w:tc>
        <w:tc>
          <w:tcPr>
            <w:tcW w:w="2551" w:type="dxa"/>
            <w:tcBorders>
              <w:top w:val="nil"/>
              <w:left w:val="nil"/>
              <w:bottom w:val="single" w:color="auto" w:sz="4" w:space="0"/>
              <w:right w:val="single" w:color="auto" w:sz="4" w:space="0"/>
            </w:tcBorders>
            <w:vAlign w:val="center"/>
          </w:tcPr>
          <w:p w14:paraId="50CAFAA8">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导体</w:t>
            </w:r>
            <w:r>
              <w:rPr>
                <w:rFonts w:hint="eastAsia" w:asciiTheme="minorEastAsia" w:hAnsiTheme="minorEastAsia" w:eastAsiaTheme="minorEastAsia"/>
                <w:sz w:val="22"/>
                <w:szCs w:val="22"/>
              </w:rPr>
              <w:t>紧压系数</w:t>
            </w:r>
          </w:p>
        </w:tc>
        <w:tc>
          <w:tcPr>
            <w:tcW w:w="2410" w:type="dxa"/>
            <w:tcBorders>
              <w:top w:val="nil"/>
              <w:left w:val="nil"/>
              <w:bottom w:val="single" w:color="auto" w:sz="4" w:space="0"/>
              <w:right w:val="single" w:color="auto" w:sz="4" w:space="0"/>
            </w:tcBorders>
            <w:vAlign w:val="center"/>
          </w:tcPr>
          <w:p w14:paraId="15FEDFE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不小于0</w:t>
            </w:r>
            <w:r>
              <w:rPr>
                <w:rFonts w:asciiTheme="minorEastAsia" w:hAnsiTheme="minorEastAsia" w:eastAsiaTheme="minorEastAsia"/>
                <w:kern w:val="0"/>
                <w:sz w:val="22"/>
                <w:szCs w:val="22"/>
              </w:rPr>
              <w:t>.9</w:t>
            </w:r>
          </w:p>
        </w:tc>
        <w:tc>
          <w:tcPr>
            <w:tcW w:w="1417" w:type="dxa"/>
            <w:tcBorders>
              <w:top w:val="nil"/>
              <w:left w:val="nil"/>
              <w:bottom w:val="single" w:color="auto" w:sz="4" w:space="0"/>
              <w:right w:val="single" w:color="auto" w:sz="4" w:space="0"/>
            </w:tcBorders>
            <w:vAlign w:val="center"/>
          </w:tcPr>
          <w:p w14:paraId="6DE0E88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投标方提供</w:t>
            </w:r>
          </w:p>
        </w:tc>
        <w:tc>
          <w:tcPr>
            <w:tcW w:w="1843" w:type="dxa"/>
            <w:tcBorders>
              <w:top w:val="nil"/>
              <w:left w:val="nil"/>
              <w:bottom w:val="single" w:color="auto" w:sz="4" w:space="0"/>
              <w:right w:val="single" w:color="auto" w:sz="4" w:space="0"/>
            </w:tcBorders>
            <w:vAlign w:val="center"/>
          </w:tcPr>
          <w:p w14:paraId="684558A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768231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tcPr>
          <w:p w14:paraId="01170A51">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tcPr>
          <w:p w14:paraId="6BF37A8C">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76B144BE">
            <w:pPr>
              <w:widowControl/>
              <w:jc w:val="center"/>
              <w:rPr>
                <w:rFonts w:asciiTheme="minorEastAsia" w:hAnsiTheme="minorEastAsia" w:eastAsiaTheme="minorEastAsia"/>
                <w:kern w:val="0"/>
                <w:sz w:val="22"/>
                <w:szCs w:val="22"/>
              </w:rPr>
            </w:pPr>
          </w:p>
        </w:tc>
      </w:tr>
      <w:tr w14:paraId="1186EFEC">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D11A0BB">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1.2</w:t>
            </w:r>
          </w:p>
        </w:tc>
        <w:tc>
          <w:tcPr>
            <w:tcW w:w="13514" w:type="dxa"/>
            <w:gridSpan w:val="8"/>
            <w:tcBorders>
              <w:top w:val="nil"/>
              <w:left w:val="nil"/>
              <w:bottom w:val="single" w:color="auto" w:sz="4" w:space="0"/>
              <w:right w:val="single" w:color="auto" w:sz="4" w:space="0"/>
            </w:tcBorders>
            <w:vAlign w:val="center"/>
          </w:tcPr>
          <w:p w14:paraId="58500970">
            <w:pPr>
              <w:widowControl/>
              <w:jc w:val="center"/>
              <w:rPr>
                <w:rFonts w:asciiTheme="minorEastAsia" w:hAnsiTheme="minorEastAsia" w:eastAsiaTheme="minorEastAsia"/>
                <w:b/>
                <w:kern w:val="0"/>
                <w:sz w:val="22"/>
                <w:szCs w:val="22"/>
              </w:rPr>
            </w:pPr>
            <w:r>
              <w:rPr>
                <w:rFonts w:hint="eastAsia" w:asciiTheme="minorEastAsia" w:hAnsiTheme="minorEastAsia" w:eastAsiaTheme="minorEastAsia"/>
                <w:b/>
                <w:kern w:val="0"/>
                <w:sz w:val="22"/>
                <w:szCs w:val="22"/>
              </w:rPr>
              <w:t>导体半导电屏蔽层</w:t>
            </w:r>
          </w:p>
        </w:tc>
      </w:tr>
      <w:tr w14:paraId="53B0561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0AEE93C">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1.2.1</w:t>
            </w:r>
          </w:p>
        </w:tc>
        <w:tc>
          <w:tcPr>
            <w:tcW w:w="2551" w:type="dxa"/>
            <w:tcBorders>
              <w:top w:val="nil"/>
              <w:left w:val="nil"/>
              <w:bottom w:val="single" w:color="auto" w:sz="4" w:space="0"/>
              <w:right w:val="single" w:color="auto" w:sz="4" w:space="0"/>
            </w:tcBorders>
            <w:vAlign w:val="center"/>
          </w:tcPr>
          <w:p w14:paraId="513654A0">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导体半导电屏蔽层厚度（mm）</w:t>
            </w:r>
          </w:p>
        </w:tc>
        <w:tc>
          <w:tcPr>
            <w:tcW w:w="2410" w:type="dxa"/>
            <w:tcBorders>
              <w:top w:val="nil"/>
              <w:left w:val="nil"/>
              <w:bottom w:val="single" w:color="auto" w:sz="4" w:space="0"/>
              <w:right w:val="single" w:color="auto" w:sz="4" w:space="0"/>
            </w:tcBorders>
            <w:vAlign w:val="center"/>
          </w:tcPr>
          <w:p w14:paraId="2C594FF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2mm</w:t>
            </w:r>
          </w:p>
        </w:tc>
        <w:tc>
          <w:tcPr>
            <w:tcW w:w="1417" w:type="dxa"/>
            <w:tcBorders>
              <w:top w:val="nil"/>
              <w:left w:val="nil"/>
              <w:bottom w:val="single" w:color="auto" w:sz="4" w:space="0"/>
              <w:right w:val="single" w:color="auto" w:sz="4" w:space="0"/>
            </w:tcBorders>
            <w:vAlign w:val="center"/>
          </w:tcPr>
          <w:p w14:paraId="795CE9B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投标方响应</w:t>
            </w:r>
          </w:p>
        </w:tc>
        <w:tc>
          <w:tcPr>
            <w:tcW w:w="1843" w:type="dxa"/>
            <w:tcBorders>
              <w:top w:val="nil"/>
              <w:left w:val="nil"/>
              <w:bottom w:val="single" w:color="auto" w:sz="4" w:space="0"/>
              <w:right w:val="single" w:color="auto" w:sz="4" w:space="0"/>
            </w:tcBorders>
            <w:vAlign w:val="center"/>
          </w:tcPr>
          <w:p w14:paraId="7C7E82B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2.5mm</w:t>
            </w:r>
          </w:p>
        </w:tc>
        <w:tc>
          <w:tcPr>
            <w:tcW w:w="1559" w:type="dxa"/>
            <w:tcBorders>
              <w:top w:val="nil"/>
              <w:left w:val="nil"/>
              <w:bottom w:val="single" w:color="auto" w:sz="4" w:space="0"/>
              <w:right w:val="single" w:color="auto" w:sz="4" w:space="0"/>
            </w:tcBorders>
            <w:vAlign w:val="center"/>
          </w:tcPr>
          <w:p w14:paraId="1C69AF1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tcPr>
          <w:p w14:paraId="1D6E4AD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2B39D2E7">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645CB59E">
            <w:pPr>
              <w:widowControl/>
              <w:jc w:val="center"/>
              <w:rPr>
                <w:rFonts w:asciiTheme="minorEastAsia" w:hAnsiTheme="minorEastAsia" w:eastAsiaTheme="minorEastAsia"/>
                <w:kern w:val="0"/>
                <w:sz w:val="22"/>
                <w:szCs w:val="22"/>
              </w:rPr>
            </w:pPr>
          </w:p>
        </w:tc>
      </w:tr>
      <w:tr w14:paraId="1B512821">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EE3E5E8">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1.2.2</w:t>
            </w:r>
          </w:p>
        </w:tc>
        <w:tc>
          <w:tcPr>
            <w:tcW w:w="2551" w:type="dxa"/>
            <w:tcBorders>
              <w:top w:val="nil"/>
              <w:left w:val="nil"/>
              <w:bottom w:val="single" w:color="auto" w:sz="4" w:space="0"/>
              <w:right w:val="single" w:color="auto" w:sz="4" w:space="0"/>
            </w:tcBorders>
            <w:vAlign w:val="center"/>
          </w:tcPr>
          <w:p w14:paraId="77F7D38A">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挤包半导电层厚度（mm）</w:t>
            </w:r>
          </w:p>
        </w:tc>
        <w:tc>
          <w:tcPr>
            <w:tcW w:w="2410" w:type="dxa"/>
            <w:tcBorders>
              <w:top w:val="nil"/>
              <w:left w:val="nil"/>
              <w:bottom w:val="single" w:color="auto" w:sz="4" w:space="0"/>
              <w:right w:val="single" w:color="auto" w:sz="4" w:space="0"/>
            </w:tcBorders>
            <w:vAlign w:val="center"/>
          </w:tcPr>
          <w:p w14:paraId="797B424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最小值不低于1.2mm</w:t>
            </w:r>
          </w:p>
        </w:tc>
        <w:tc>
          <w:tcPr>
            <w:tcW w:w="1417" w:type="dxa"/>
            <w:tcBorders>
              <w:top w:val="nil"/>
              <w:left w:val="nil"/>
              <w:bottom w:val="single" w:color="auto" w:sz="4" w:space="0"/>
              <w:right w:val="single" w:color="auto" w:sz="4" w:space="0"/>
            </w:tcBorders>
            <w:vAlign w:val="center"/>
          </w:tcPr>
          <w:p w14:paraId="08AB76D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投标方响应</w:t>
            </w:r>
          </w:p>
        </w:tc>
        <w:tc>
          <w:tcPr>
            <w:tcW w:w="1843" w:type="dxa"/>
            <w:tcBorders>
              <w:top w:val="nil"/>
              <w:left w:val="nil"/>
              <w:bottom w:val="single" w:color="auto" w:sz="4" w:space="0"/>
              <w:right w:val="single" w:color="auto" w:sz="4" w:space="0"/>
            </w:tcBorders>
            <w:vAlign w:val="center"/>
          </w:tcPr>
          <w:p w14:paraId="34FADB1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2mm，最小值不低于1.5mm。</w:t>
            </w:r>
          </w:p>
        </w:tc>
        <w:tc>
          <w:tcPr>
            <w:tcW w:w="1559" w:type="dxa"/>
            <w:tcBorders>
              <w:top w:val="nil"/>
              <w:left w:val="nil"/>
              <w:bottom w:val="single" w:color="auto" w:sz="4" w:space="0"/>
              <w:right w:val="single" w:color="auto" w:sz="4" w:space="0"/>
            </w:tcBorders>
            <w:vAlign w:val="center"/>
          </w:tcPr>
          <w:p w14:paraId="16B4CC8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tcPr>
          <w:p w14:paraId="31179E4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721FE2F4">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4C52B0B0">
            <w:pPr>
              <w:widowControl/>
              <w:jc w:val="center"/>
              <w:rPr>
                <w:rFonts w:asciiTheme="minorEastAsia" w:hAnsiTheme="minorEastAsia" w:eastAsiaTheme="minorEastAsia"/>
                <w:kern w:val="0"/>
                <w:sz w:val="22"/>
                <w:szCs w:val="22"/>
              </w:rPr>
            </w:pPr>
          </w:p>
        </w:tc>
      </w:tr>
      <w:tr w14:paraId="3DE9464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37D4BD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1.2.3</w:t>
            </w:r>
          </w:p>
        </w:tc>
        <w:tc>
          <w:tcPr>
            <w:tcW w:w="2551" w:type="dxa"/>
            <w:tcBorders>
              <w:top w:val="nil"/>
              <w:left w:val="nil"/>
              <w:bottom w:val="single" w:color="auto" w:sz="4" w:space="0"/>
              <w:right w:val="single" w:color="auto" w:sz="4" w:space="0"/>
            </w:tcBorders>
            <w:vAlign w:val="center"/>
          </w:tcPr>
          <w:p w14:paraId="48D22B86">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成品电缆半导电屏蔽层与绝缘界面微孔最大尺寸（50mm长的电缆绝缘线芯样品中）</w:t>
            </w:r>
          </w:p>
        </w:tc>
        <w:tc>
          <w:tcPr>
            <w:tcW w:w="2410" w:type="dxa"/>
            <w:tcBorders>
              <w:top w:val="nil"/>
              <w:left w:val="nil"/>
              <w:bottom w:val="single" w:color="auto" w:sz="4" w:space="0"/>
              <w:right w:val="single" w:color="auto" w:sz="4" w:space="0"/>
            </w:tcBorders>
            <w:vAlign w:val="center"/>
          </w:tcPr>
          <w:p w14:paraId="41DCA007">
            <w:pPr>
              <w:widowControl/>
              <w:jc w:val="center"/>
              <w:rPr>
                <w:rFonts w:asciiTheme="minorEastAsia" w:hAnsiTheme="minorEastAsia" w:eastAsiaTheme="minorEastAsia"/>
                <w:sz w:val="22"/>
                <w:szCs w:val="22"/>
              </w:rPr>
            </w:pPr>
            <w:r>
              <w:rPr>
                <w:rFonts w:hint="eastAsia" w:asciiTheme="minorEastAsia" w:hAnsiTheme="minorEastAsia" w:eastAsiaTheme="minorEastAsia"/>
                <w:kern w:val="0"/>
                <w:sz w:val="22"/>
                <w:szCs w:val="22"/>
              </w:rPr>
              <w:t>≤0.02mm</w:t>
            </w:r>
          </w:p>
        </w:tc>
        <w:tc>
          <w:tcPr>
            <w:tcW w:w="1417" w:type="dxa"/>
            <w:tcBorders>
              <w:top w:val="nil"/>
              <w:left w:val="nil"/>
              <w:bottom w:val="single" w:color="auto" w:sz="4" w:space="0"/>
              <w:right w:val="single" w:color="auto" w:sz="4" w:space="0"/>
            </w:tcBorders>
            <w:vAlign w:val="center"/>
          </w:tcPr>
          <w:p w14:paraId="47F3F90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75A6064A">
            <w:pPr>
              <w:widowControl/>
              <w:jc w:val="center"/>
              <w:rPr>
                <w:rFonts w:asciiTheme="minorEastAsia" w:hAnsiTheme="minorEastAsia" w:eastAsiaTheme="minorEastAsia"/>
                <w:sz w:val="22"/>
                <w:szCs w:val="22"/>
              </w:rPr>
            </w:pPr>
          </w:p>
        </w:tc>
        <w:tc>
          <w:tcPr>
            <w:tcW w:w="1559" w:type="dxa"/>
            <w:tcBorders>
              <w:top w:val="nil"/>
              <w:left w:val="nil"/>
              <w:bottom w:val="single" w:color="auto" w:sz="4" w:space="0"/>
              <w:right w:val="single" w:color="auto" w:sz="4" w:space="0"/>
            </w:tcBorders>
            <w:vAlign w:val="center"/>
          </w:tcPr>
          <w:p w14:paraId="7D4C4947">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72A4277E">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1E8C12F9">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EC09A38">
            <w:pPr>
              <w:widowControl/>
              <w:jc w:val="center"/>
              <w:rPr>
                <w:rFonts w:asciiTheme="minorEastAsia" w:hAnsiTheme="minorEastAsia" w:eastAsiaTheme="minorEastAsia"/>
                <w:kern w:val="0"/>
                <w:sz w:val="22"/>
                <w:szCs w:val="22"/>
              </w:rPr>
            </w:pPr>
          </w:p>
        </w:tc>
      </w:tr>
      <w:tr w14:paraId="3A267DC0">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93A46B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1.2.4</w:t>
            </w:r>
          </w:p>
        </w:tc>
        <w:tc>
          <w:tcPr>
            <w:tcW w:w="2551" w:type="dxa"/>
            <w:tcBorders>
              <w:top w:val="nil"/>
              <w:left w:val="nil"/>
              <w:bottom w:val="single" w:color="auto" w:sz="4" w:space="0"/>
              <w:right w:val="single" w:color="auto" w:sz="4" w:space="0"/>
            </w:tcBorders>
            <w:vAlign w:val="center"/>
          </w:tcPr>
          <w:p w14:paraId="0BB8DA44">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导体半导电屏蔽层与绝缘层界面进入绝缘层突起的最大尺寸</w:t>
            </w:r>
          </w:p>
        </w:tc>
        <w:tc>
          <w:tcPr>
            <w:tcW w:w="2410" w:type="dxa"/>
            <w:tcBorders>
              <w:top w:val="nil"/>
              <w:left w:val="nil"/>
              <w:bottom w:val="single" w:color="auto" w:sz="4" w:space="0"/>
              <w:right w:val="single" w:color="auto" w:sz="4" w:space="0"/>
            </w:tcBorders>
            <w:vAlign w:val="center"/>
          </w:tcPr>
          <w:p w14:paraId="4D9A241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≤0.05mm</w:t>
            </w:r>
          </w:p>
          <w:p w14:paraId="2D685C54">
            <w:pPr>
              <w:rPr>
                <w:rFonts w:asciiTheme="minorEastAsia" w:hAnsiTheme="minorEastAsia" w:eastAsiaTheme="minorEastAsia"/>
                <w:sz w:val="22"/>
                <w:szCs w:val="22"/>
              </w:rPr>
            </w:pPr>
          </w:p>
        </w:tc>
        <w:tc>
          <w:tcPr>
            <w:tcW w:w="1417" w:type="dxa"/>
            <w:tcBorders>
              <w:top w:val="nil"/>
              <w:left w:val="nil"/>
              <w:bottom w:val="single" w:color="auto" w:sz="4" w:space="0"/>
              <w:right w:val="single" w:color="auto" w:sz="4" w:space="0"/>
            </w:tcBorders>
            <w:vAlign w:val="center"/>
          </w:tcPr>
          <w:p w14:paraId="17AADCA8">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10DFE037">
            <w:pPr>
              <w:widowControl/>
              <w:jc w:val="center"/>
              <w:rPr>
                <w:rFonts w:asciiTheme="minorEastAsia" w:hAnsiTheme="minorEastAsia" w:eastAsiaTheme="minorEastAsia"/>
                <w:sz w:val="22"/>
                <w:szCs w:val="22"/>
              </w:rPr>
            </w:pPr>
          </w:p>
        </w:tc>
        <w:tc>
          <w:tcPr>
            <w:tcW w:w="1559" w:type="dxa"/>
            <w:tcBorders>
              <w:top w:val="nil"/>
              <w:left w:val="nil"/>
              <w:bottom w:val="single" w:color="auto" w:sz="4" w:space="0"/>
              <w:right w:val="single" w:color="auto" w:sz="4" w:space="0"/>
            </w:tcBorders>
            <w:vAlign w:val="center"/>
          </w:tcPr>
          <w:p w14:paraId="77A966E2">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38DCE230">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0CDE2F78">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2CFD4E0">
            <w:pPr>
              <w:widowControl/>
              <w:jc w:val="center"/>
              <w:rPr>
                <w:rFonts w:asciiTheme="minorEastAsia" w:hAnsiTheme="minorEastAsia" w:eastAsiaTheme="minorEastAsia"/>
                <w:kern w:val="0"/>
                <w:sz w:val="22"/>
                <w:szCs w:val="22"/>
              </w:rPr>
            </w:pPr>
          </w:p>
        </w:tc>
      </w:tr>
      <w:tr w14:paraId="06ADFDAB">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1B3098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1.2.5</w:t>
            </w:r>
          </w:p>
        </w:tc>
        <w:tc>
          <w:tcPr>
            <w:tcW w:w="2551" w:type="dxa"/>
            <w:tcBorders>
              <w:top w:val="nil"/>
              <w:left w:val="nil"/>
              <w:bottom w:val="single" w:color="auto" w:sz="4" w:space="0"/>
              <w:right w:val="single" w:color="auto" w:sz="4" w:space="0"/>
            </w:tcBorders>
            <w:vAlign w:val="center"/>
          </w:tcPr>
          <w:p w14:paraId="7C82B8D8">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导体半导电屏蔽层与绝缘层界面进入导体半导电屏蔽层突起的最大尺寸</w:t>
            </w:r>
          </w:p>
        </w:tc>
        <w:tc>
          <w:tcPr>
            <w:tcW w:w="2410" w:type="dxa"/>
            <w:tcBorders>
              <w:top w:val="nil"/>
              <w:left w:val="nil"/>
              <w:bottom w:val="single" w:color="auto" w:sz="4" w:space="0"/>
              <w:right w:val="single" w:color="auto" w:sz="4" w:space="0"/>
            </w:tcBorders>
            <w:vAlign w:val="center"/>
          </w:tcPr>
          <w:p w14:paraId="3DFA271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≤0.05mm</w:t>
            </w:r>
          </w:p>
        </w:tc>
        <w:tc>
          <w:tcPr>
            <w:tcW w:w="1417" w:type="dxa"/>
            <w:tcBorders>
              <w:top w:val="nil"/>
              <w:left w:val="nil"/>
              <w:bottom w:val="single" w:color="auto" w:sz="4" w:space="0"/>
              <w:right w:val="single" w:color="auto" w:sz="4" w:space="0"/>
            </w:tcBorders>
            <w:vAlign w:val="center"/>
          </w:tcPr>
          <w:p w14:paraId="40BA5122">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46C74C89">
            <w:pPr>
              <w:widowControl/>
              <w:jc w:val="center"/>
              <w:rPr>
                <w:rFonts w:asciiTheme="minorEastAsia" w:hAnsiTheme="minorEastAsia" w:eastAsiaTheme="minorEastAsia"/>
                <w:sz w:val="22"/>
                <w:szCs w:val="22"/>
              </w:rPr>
            </w:pPr>
          </w:p>
        </w:tc>
        <w:tc>
          <w:tcPr>
            <w:tcW w:w="1559" w:type="dxa"/>
            <w:tcBorders>
              <w:top w:val="nil"/>
              <w:left w:val="nil"/>
              <w:bottom w:val="single" w:color="auto" w:sz="4" w:space="0"/>
              <w:right w:val="single" w:color="auto" w:sz="4" w:space="0"/>
            </w:tcBorders>
            <w:vAlign w:val="center"/>
          </w:tcPr>
          <w:p w14:paraId="66CFECAC">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51B77892">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06995D12">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49441D2">
            <w:pPr>
              <w:widowControl/>
              <w:jc w:val="center"/>
              <w:rPr>
                <w:rFonts w:asciiTheme="minorEastAsia" w:hAnsiTheme="minorEastAsia" w:eastAsiaTheme="minorEastAsia"/>
                <w:kern w:val="0"/>
                <w:sz w:val="22"/>
                <w:szCs w:val="22"/>
              </w:rPr>
            </w:pPr>
          </w:p>
        </w:tc>
      </w:tr>
      <w:tr w14:paraId="3224D28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5BE93D9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.2.6</w:t>
            </w:r>
          </w:p>
        </w:tc>
        <w:tc>
          <w:tcPr>
            <w:tcW w:w="2551" w:type="dxa"/>
            <w:tcBorders>
              <w:top w:val="nil"/>
              <w:left w:val="nil"/>
              <w:bottom w:val="single" w:color="auto" w:sz="4" w:space="0"/>
              <w:right w:val="single" w:color="auto" w:sz="4" w:space="0"/>
            </w:tcBorders>
            <w:vAlign w:val="center"/>
          </w:tcPr>
          <w:p w14:paraId="1DEBE993">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半导电屏蔽体积电阻率</w:t>
            </w:r>
          </w:p>
        </w:tc>
        <w:tc>
          <w:tcPr>
            <w:tcW w:w="2410" w:type="dxa"/>
            <w:tcBorders>
              <w:top w:val="nil"/>
              <w:left w:val="nil"/>
              <w:bottom w:val="single" w:color="auto" w:sz="4" w:space="0"/>
              <w:right w:val="single" w:color="auto" w:sz="4" w:space="0"/>
            </w:tcBorders>
            <w:vAlign w:val="center"/>
          </w:tcPr>
          <w:p w14:paraId="7E6C769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r>
              <w:rPr>
                <w:rFonts w:asciiTheme="minorEastAsia" w:hAnsiTheme="minorEastAsia" w:eastAsiaTheme="minorEastAsia"/>
                <w:kern w:val="0"/>
                <w:sz w:val="22"/>
                <w:szCs w:val="22"/>
              </w:rPr>
              <w:t>1000</w:t>
            </w:r>
            <w:r>
              <w:rPr>
                <w:rFonts w:hint="eastAsia" w:asciiTheme="minorEastAsia" w:hAnsiTheme="minorEastAsia" w:eastAsiaTheme="minorEastAsia"/>
                <w:kern w:val="0"/>
                <w:sz w:val="22"/>
                <w:szCs w:val="22"/>
              </w:rPr>
              <w:t>Ω·m</w:t>
            </w:r>
          </w:p>
        </w:tc>
        <w:tc>
          <w:tcPr>
            <w:tcW w:w="1417" w:type="dxa"/>
            <w:tcBorders>
              <w:top w:val="nil"/>
              <w:left w:val="nil"/>
              <w:bottom w:val="single" w:color="auto" w:sz="4" w:space="0"/>
              <w:right w:val="single" w:color="auto" w:sz="4" w:space="0"/>
            </w:tcBorders>
            <w:vAlign w:val="center"/>
          </w:tcPr>
          <w:p w14:paraId="220E053A">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0EEB467C">
            <w:pPr>
              <w:widowControl/>
              <w:jc w:val="center"/>
              <w:rPr>
                <w:rFonts w:asciiTheme="minorEastAsia" w:hAnsiTheme="minorEastAsia" w:eastAsiaTheme="minorEastAsia"/>
                <w:sz w:val="22"/>
                <w:szCs w:val="22"/>
              </w:rPr>
            </w:pPr>
          </w:p>
        </w:tc>
        <w:tc>
          <w:tcPr>
            <w:tcW w:w="1559" w:type="dxa"/>
            <w:tcBorders>
              <w:top w:val="nil"/>
              <w:left w:val="nil"/>
              <w:bottom w:val="single" w:color="auto" w:sz="4" w:space="0"/>
              <w:right w:val="single" w:color="auto" w:sz="4" w:space="0"/>
            </w:tcBorders>
            <w:vAlign w:val="center"/>
          </w:tcPr>
          <w:p w14:paraId="72FBB04D">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3CA76F16">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7E5D753B">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2675B42">
            <w:pPr>
              <w:widowControl/>
              <w:jc w:val="center"/>
              <w:rPr>
                <w:rFonts w:asciiTheme="minorEastAsia" w:hAnsiTheme="minorEastAsia" w:eastAsiaTheme="minorEastAsia"/>
                <w:kern w:val="0"/>
                <w:sz w:val="22"/>
                <w:szCs w:val="22"/>
              </w:rPr>
            </w:pPr>
          </w:p>
        </w:tc>
      </w:tr>
      <w:tr w14:paraId="27D3531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9ACB5C5">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1.3</w:t>
            </w:r>
          </w:p>
        </w:tc>
        <w:tc>
          <w:tcPr>
            <w:tcW w:w="13514" w:type="dxa"/>
            <w:gridSpan w:val="8"/>
            <w:tcBorders>
              <w:top w:val="nil"/>
              <w:left w:val="nil"/>
              <w:bottom w:val="single" w:color="auto" w:sz="4" w:space="0"/>
              <w:right w:val="single" w:color="auto" w:sz="4" w:space="0"/>
            </w:tcBorders>
            <w:vAlign w:val="center"/>
          </w:tcPr>
          <w:p w14:paraId="01C619A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绝缘</w:t>
            </w:r>
          </w:p>
        </w:tc>
      </w:tr>
      <w:tr w14:paraId="6831EE4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1278C5F">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1.3.1</w:t>
            </w:r>
          </w:p>
        </w:tc>
        <w:tc>
          <w:tcPr>
            <w:tcW w:w="2551" w:type="dxa"/>
            <w:tcBorders>
              <w:top w:val="nil"/>
              <w:left w:val="nil"/>
              <w:bottom w:val="single" w:color="auto" w:sz="4" w:space="0"/>
              <w:right w:val="single" w:color="auto" w:sz="4" w:space="0"/>
            </w:tcBorders>
            <w:vAlign w:val="center"/>
          </w:tcPr>
          <w:p w14:paraId="15410263">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平均厚度（</w:t>
            </w:r>
            <w:r>
              <w:rPr>
                <w:rFonts w:asciiTheme="minorEastAsia" w:hAnsiTheme="minorEastAsia" w:eastAsiaTheme="minorEastAsia"/>
                <w:kern w:val="0"/>
                <w:sz w:val="22"/>
                <w:szCs w:val="22"/>
              </w:rPr>
              <w:t>mm</w:t>
            </w:r>
            <w:r>
              <w:rPr>
                <w:rFonts w:hint="eastAsia" w:asciiTheme="minorEastAsia" w:hAnsiTheme="minorEastAsia" w:eastAsiaTheme="minorEastAsia"/>
                <w:kern w:val="0"/>
                <w:sz w:val="22"/>
                <w:szCs w:val="22"/>
              </w:rPr>
              <w:t>）</w:t>
            </w:r>
          </w:p>
        </w:tc>
        <w:tc>
          <w:tcPr>
            <w:tcW w:w="2410" w:type="dxa"/>
            <w:tcBorders>
              <w:top w:val="nil"/>
              <w:left w:val="nil"/>
              <w:bottom w:val="single" w:color="auto" w:sz="4" w:space="0"/>
              <w:right w:val="single" w:color="auto" w:sz="4" w:space="0"/>
            </w:tcBorders>
            <w:vAlign w:val="center"/>
          </w:tcPr>
          <w:p w14:paraId="7A055CC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不小于标称厚度t：</w:t>
            </w:r>
          </w:p>
          <w:p w14:paraId="3AC4AC03">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33.0</w:t>
            </w:r>
          </w:p>
        </w:tc>
        <w:tc>
          <w:tcPr>
            <w:tcW w:w="1417" w:type="dxa"/>
            <w:tcBorders>
              <w:top w:val="nil"/>
              <w:left w:val="nil"/>
              <w:bottom w:val="single" w:color="auto" w:sz="4" w:space="0"/>
              <w:right w:val="single" w:color="auto" w:sz="4" w:space="0"/>
            </w:tcBorders>
            <w:vAlign w:val="center"/>
          </w:tcPr>
          <w:p w14:paraId="2607BCA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w:t>
            </w:r>
            <w:r>
              <w:rPr>
                <w:rFonts w:hint="eastAsia" w:asciiTheme="minorEastAsia" w:hAnsiTheme="minorEastAsia" w:eastAsiaTheme="minorEastAsia"/>
                <w:kern w:val="0"/>
                <w:sz w:val="22"/>
                <w:szCs w:val="22"/>
              </w:rPr>
              <w:t>响应</w:t>
            </w:r>
          </w:p>
        </w:tc>
        <w:tc>
          <w:tcPr>
            <w:tcW w:w="1843" w:type="dxa"/>
            <w:tcBorders>
              <w:top w:val="nil"/>
              <w:left w:val="nil"/>
              <w:bottom w:val="single" w:color="auto" w:sz="4" w:space="0"/>
              <w:right w:val="single" w:color="auto" w:sz="4" w:space="0"/>
            </w:tcBorders>
            <w:vAlign w:val="center"/>
          </w:tcPr>
          <w:p w14:paraId="11DCB95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BBF2FA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5094B6F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743D227C">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860E4AF">
            <w:pPr>
              <w:widowControl/>
              <w:jc w:val="center"/>
              <w:rPr>
                <w:rFonts w:asciiTheme="minorEastAsia" w:hAnsiTheme="minorEastAsia" w:eastAsiaTheme="minorEastAsia"/>
                <w:kern w:val="0"/>
                <w:sz w:val="22"/>
                <w:szCs w:val="22"/>
              </w:rPr>
            </w:pPr>
          </w:p>
        </w:tc>
      </w:tr>
      <w:tr w14:paraId="3B2BAFC0">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5E901348">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1.3.2</w:t>
            </w:r>
          </w:p>
        </w:tc>
        <w:tc>
          <w:tcPr>
            <w:tcW w:w="2551" w:type="dxa"/>
            <w:tcBorders>
              <w:top w:val="nil"/>
              <w:left w:val="nil"/>
              <w:bottom w:val="single" w:color="auto" w:sz="4" w:space="0"/>
              <w:right w:val="single" w:color="auto" w:sz="4" w:space="0"/>
            </w:tcBorders>
            <w:vAlign w:val="center"/>
          </w:tcPr>
          <w:p w14:paraId="58408F0A">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最薄点厚度不小于（</w:t>
            </w:r>
            <w:r>
              <w:rPr>
                <w:rFonts w:asciiTheme="minorEastAsia" w:hAnsiTheme="minorEastAsia" w:eastAsiaTheme="minorEastAsia"/>
                <w:kern w:val="0"/>
                <w:sz w:val="22"/>
                <w:szCs w:val="22"/>
              </w:rPr>
              <w:t>mm</w:t>
            </w:r>
            <w:r>
              <w:rPr>
                <w:rFonts w:hint="eastAsia" w:asciiTheme="minorEastAsia" w:hAnsiTheme="minorEastAsia" w:eastAsiaTheme="minorEastAsia"/>
                <w:kern w:val="0"/>
                <w:sz w:val="22"/>
                <w:szCs w:val="22"/>
              </w:rPr>
              <w:t>）</w:t>
            </w:r>
          </w:p>
        </w:tc>
        <w:tc>
          <w:tcPr>
            <w:tcW w:w="2410" w:type="dxa"/>
            <w:tcBorders>
              <w:top w:val="nil"/>
              <w:left w:val="nil"/>
              <w:bottom w:val="single" w:color="auto" w:sz="4" w:space="0"/>
              <w:right w:val="single" w:color="auto" w:sz="4" w:space="0"/>
            </w:tcBorders>
            <w:vAlign w:val="center"/>
          </w:tcPr>
          <w:p w14:paraId="3FBC6353">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0.95t</w:t>
            </w:r>
            <w:r>
              <w:rPr>
                <w:rFonts w:asciiTheme="minorEastAsia" w:hAnsiTheme="minorEastAsia" w:eastAsiaTheme="minorEastAsia"/>
                <w:sz w:val="22"/>
                <w:szCs w:val="22"/>
              </w:rPr>
              <w:t xml:space="preserve"> </w:t>
            </w:r>
          </w:p>
        </w:tc>
        <w:tc>
          <w:tcPr>
            <w:tcW w:w="1417" w:type="dxa"/>
            <w:tcBorders>
              <w:top w:val="nil"/>
              <w:left w:val="nil"/>
              <w:bottom w:val="single" w:color="auto" w:sz="4" w:space="0"/>
              <w:right w:val="single" w:color="auto" w:sz="4" w:space="0"/>
            </w:tcBorders>
            <w:vAlign w:val="center"/>
          </w:tcPr>
          <w:p w14:paraId="393B482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w:t>
            </w:r>
            <w:r>
              <w:rPr>
                <w:rFonts w:hint="eastAsia" w:asciiTheme="minorEastAsia" w:hAnsiTheme="minorEastAsia" w:eastAsiaTheme="minorEastAsia"/>
                <w:kern w:val="0"/>
                <w:sz w:val="22"/>
                <w:szCs w:val="22"/>
              </w:rPr>
              <w:t>响应</w:t>
            </w:r>
          </w:p>
        </w:tc>
        <w:tc>
          <w:tcPr>
            <w:tcW w:w="1843" w:type="dxa"/>
            <w:tcBorders>
              <w:top w:val="nil"/>
              <w:left w:val="nil"/>
              <w:bottom w:val="single" w:color="auto" w:sz="4" w:space="0"/>
              <w:right w:val="single" w:color="auto" w:sz="4" w:space="0"/>
            </w:tcBorders>
            <w:vAlign w:val="center"/>
          </w:tcPr>
          <w:p w14:paraId="324D158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23FCFC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7514040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检测报告</w:t>
            </w:r>
          </w:p>
        </w:tc>
        <w:tc>
          <w:tcPr>
            <w:tcW w:w="1233" w:type="dxa"/>
            <w:tcBorders>
              <w:top w:val="nil"/>
              <w:left w:val="nil"/>
              <w:bottom w:val="single" w:color="auto" w:sz="4" w:space="0"/>
              <w:right w:val="single" w:color="auto" w:sz="4" w:space="0"/>
            </w:tcBorders>
            <w:vAlign w:val="center"/>
          </w:tcPr>
          <w:p w14:paraId="1BEB537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DEEBF3F">
            <w:pPr>
              <w:widowControl/>
              <w:jc w:val="center"/>
              <w:rPr>
                <w:rFonts w:asciiTheme="minorEastAsia" w:hAnsiTheme="minorEastAsia" w:eastAsiaTheme="minorEastAsia"/>
                <w:kern w:val="0"/>
                <w:sz w:val="22"/>
                <w:szCs w:val="22"/>
              </w:rPr>
            </w:pPr>
          </w:p>
        </w:tc>
      </w:tr>
      <w:tr w14:paraId="51643D7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60226C1">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1.3.3</w:t>
            </w:r>
          </w:p>
        </w:tc>
        <w:tc>
          <w:tcPr>
            <w:tcW w:w="2551" w:type="dxa"/>
            <w:tcBorders>
              <w:top w:val="nil"/>
              <w:left w:val="nil"/>
              <w:bottom w:val="single" w:color="auto" w:sz="4" w:space="0"/>
              <w:right w:val="single" w:color="auto" w:sz="4" w:space="0"/>
            </w:tcBorders>
            <w:vAlign w:val="center"/>
          </w:tcPr>
          <w:p w14:paraId="6B9570F5">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偏心度不大于</w:t>
            </w:r>
          </w:p>
        </w:tc>
        <w:tc>
          <w:tcPr>
            <w:tcW w:w="2410" w:type="dxa"/>
            <w:tcBorders>
              <w:top w:val="nil"/>
              <w:left w:val="nil"/>
              <w:bottom w:val="single" w:color="auto" w:sz="4" w:space="0"/>
              <w:right w:val="single" w:color="auto" w:sz="4" w:space="0"/>
            </w:tcBorders>
            <w:vAlign w:val="center"/>
          </w:tcPr>
          <w:p w14:paraId="5F1B65B5">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5%</w:t>
            </w:r>
          </w:p>
        </w:tc>
        <w:tc>
          <w:tcPr>
            <w:tcW w:w="1417" w:type="dxa"/>
            <w:tcBorders>
              <w:top w:val="nil"/>
              <w:left w:val="nil"/>
              <w:bottom w:val="single" w:color="auto" w:sz="4" w:space="0"/>
              <w:right w:val="single" w:color="auto" w:sz="4" w:space="0"/>
            </w:tcBorders>
            <w:vAlign w:val="center"/>
          </w:tcPr>
          <w:p w14:paraId="3919B09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2998508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356CD7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441560C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检测报告</w:t>
            </w:r>
          </w:p>
        </w:tc>
        <w:tc>
          <w:tcPr>
            <w:tcW w:w="1233" w:type="dxa"/>
            <w:tcBorders>
              <w:top w:val="nil"/>
              <w:left w:val="nil"/>
              <w:bottom w:val="single" w:color="auto" w:sz="4" w:space="0"/>
              <w:right w:val="single" w:color="auto" w:sz="4" w:space="0"/>
            </w:tcBorders>
            <w:vAlign w:val="center"/>
          </w:tcPr>
          <w:p w14:paraId="032F0A51">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3EAB6C3D">
            <w:pPr>
              <w:widowControl/>
              <w:jc w:val="center"/>
              <w:rPr>
                <w:rFonts w:asciiTheme="minorEastAsia" w:hAnsiTheme="minorEastAsia" w:eastAsiaTheme="minorEastAsia"/>
                <w:kern w:val="0"/>
                <w:sz w:val="22"/>
                <w:szCs w:val="22"/>
              </w:rPr>
            </w:pPr>
          </w:p>
        </w:tc>
      </w:tr>
      <w:tr w14:paraId="5D9D4912">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D9634BB">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1.3.4</w:t>
            </w:r>
          </w:p>
        </w:tc>
        <w:tc>
          <w:tcPr>
            <w:tcW w:w="2551" w:type="dxa"/>
            <w:tcBorders>
              <w:top w:val="nil"/>
              <w:left w:val="nil"/>
              <w:bottom w:val="single" w:color="auto" w:sz="4" w:space="0"/>
              <w:right w:val="single" w:color="auto" w:sz="4" w:space="0"/>
            </w:tcBorders>
            <w:vAlign w:val="center"/>
          </w:tcPr>
          <w:p w14:paraId="56719624">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材料</w:t>
            </w:r>
          </w:p>
        </w:tc>
        <w:tc>
          <w:tcPr>
            <w:tcW w:w="2410" w:type="dxa"/>
            <w:tcBorders>
              <w:top w:val="nil"/>
              <w:left w:val="nil"/>
              <w:bottom w:val="single" w:color="auto" w:sz="4" w:space="0"/>
              <w:right w:val="single" w:color="auto" w:sz="4" w:space="0"/>
            </w:tcBorders>
            <w:vAlign w:val="center"/>
          </w:tcPr>
          <w:p w14:paraId="5E99C35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特超净可交联聚乙烯料</w:t>
            </w:r>
          </w:p>
        </w:tc>
        <w:tc>
          <w:tcPr>
            <w:tcW w:w="1417" w:type="dxa"/>
            <w:tcBorders>
              <w:top w:val="nil"/>
              <w:left w:val="nil"/>
              <w:bottom w:val="single" w:color="auto" w:sz="4" w:space="0"/>
              <w:right w:val="single" w:color="auto" w:sz="4" w:space="0"/>
            </w:tcBorders>
            <w:vAlign w:val="center"/>
          </w:tcPr>
          <w:p w14:paraId="4BE889E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单一</w:t>
            </w:r>
          </w:p>
        </w:tc>
        <w:tc>
          <w:tcPr>
            <w:tcW w:w="1843" w:type="dxa"/>
            <w:tcBorders>
              <w:top w:val="nil"/>
              <w:left w:val="nil"/>
              <w:bottom w:val="single" w:color="auto" w:sz="4" w:space="0"/>
              <w:right w:val="single" w:color="auto" w:sz="4" w:space="0"/>
            </w:tcBorders>
            <w:vAlign w:val="center"/>
          </w:tcPr>
          <w:p w14:paraId="32FFF2F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201975A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tcPr>
          <w:p w14:paraId="0BC2714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tcPr>
          <w:p w14:paraId="3D80E885">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1564F87B">
            <w:pPr>
              <w:widowControl/>
              <w:jc w:val="center"/>
              <w:rPr>
                <w:rFonts w:asciiTheme="minorEastAsia" w:hAnsiTheme="minorEastAsia" w:eastAsiaTheme="minorEastAsia"/>
                <w:kern w:val="0"/>
                <w:sz w:val="22"/>
                <w:szCs w:val="22"/>
              </w:rPr>
            </w:pPr>
          </w:p>
        </w:tc>
      </w:tr>
      <w:tr w14:paraId="6163C6B0">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6090ED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1.3.5</w:t>
            </w:r>
          </w:p>
        </w:tc>
        <w:tc>
          <w:tcPr>
            <w:tcW w:w="2551" w:type="dxa"/>
            <w:tcBorders>
              <w:top w:val="nil"/>
              <w:left w:val="nil"/>
              <w:bottom w:val="single" w:color="auto" w:sz="4" w:space="0"/>
              <w:right w:val="single" w:color="auto" w:sz="4" w:space="0"/>
            </w:tcBorders>
            <w:vAlign w:val="center"/>
          </w:tcPr>
          <w:p w14:paraId="548ACC4E">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成品电缆绝缘不透明杂质最大尺寸（50mm长的电缆绝缘线芯样品中）</w:t>
            </w:r>
          </w:p>
        </w:tc>
        <w:tc>
          <w:tcPr>
            <w:tcW w:w="2410" w:type="dxa"/>
            <w:tcBorders>
              <w:top w:val="nil"/>
              <w:left w:val="nil"/>
              <w:bottom w:val="single" w:color="auto" w:sz="4" w:space="0"/>
              <w:right w:val="single" w:color="auto" w:sz="4" w:space="0"/>
            </w:tcBorders>
            <w:vAlign w:val="center"/>
          </w:tcPr>
          <w:p w14:paraId="6BCCBEC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≤0.075mm</w:t>
            </w:r>
          </w:p>
        </w:tc>
        <w:tc>
          <w:tcPr>
            <w:tcW w:w="1417" w:type="dxa"/>
            <w:tcBorders>
              <w:top w:val="nil"/>
              <w:left w:val="nil"/>
              <w:bottom w:val="single" w:color="auto" w:sz="4" w:space="0"/>
              <w:right w:val="single" w:color="auto" w:sz="4" w:space="0"/>
            </w:tcBorders>
            <w:vAlign w:val="center"/>
          </w:tcPr>
          <w:p w14:paraId="28BEB39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36FCEB7E">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1FE324BB">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tcPr>
          <w:p w14:paraId="6804D93F">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tcPr>
          <w:p w14:paraId="1D0F3263">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6B0CB40A">
            <w:pPr>
              <w:widowControl/>
              <w:jc w:val="center"/>
              <w:rPr>
                <w:rFonts w:asciiTheme="minorEastAsia" w:hAnsiTheme="minorEastAsia" w:eastAsiaTheme="minorEastAsia"/>
                <w:kern w:val="0"/>
                <w:sz w:val="22"/>
                <w:szCs w:val="22"/>
              </w:rPr>
            </w:pPr>
          </w:p>
        </w:tc>
      </w:tr>
      <w:tr w14:paraId="17A1392D">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BCA2CD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1.3.</w:t>
            </w:r>
            <w:r>
              <w:rPr>
                <w:rFonts w:asciiTheme="minorEastAsia" w:hAnsiTheme="minorEastAsia" w:eastAsiaTheme="minorEastAsia"/>
                <w:kern w:val="0"/>
                <w:sz w:val="22"/>
                <w:szCs w:val="22"/>
              </w:rPr>
              <w:t>6</w:t>
            </w:r>
          </w:p>
        </w:tc>
        <w:tc>
          <w:tcPr>
            <w:tcW w:w="2551" w:type="dxa"/>
            <w:tcBorders>
              <w:top w:val="nil"/>
              <w:left w:val="nil"/>
              <w:bottom w:val="single" w:color="auto" w:sz="4" w:space="0"/>
              <w:right w:val="single" w:color="auto" w:sz="4" w:space="0"/>
            </w:tcBorders>
            <w:vAlign w:val="center"/>
          </w:tcPr>
          <w:p w14:paraId="2628462C">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成品电缆绝缘微孔的最大尺寸（50mm长的电缆绝缘线芯样品中）</w:t>
            </w:r>
          </w:p>
        </w:tc>
        <w:tc>
          <w:tcPr>
            <w:tcW w:w="2410" w:type="dxa"/>
            <w:tcBorders>
              <w:top w:val="nil"/>
              <w:left w:val="nil"/>
              <w:bottom w:val="single" w:color="auto" w:sz="4" w:space="0"/>
              <w:right w:val="single" w:color="auto" w:sz="4" w:space="0"/>
            </w:tcBorders>
            <w:vAlign w:val="center"/>
          </w:tcPr>
          <w:p w14:paraId="7218D3A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≤0.02mm</w:t>
            </w:r>
          </w:p>
        </w:tc>
        <w:tc>
          <w:tcPr>
            <w:tcW w:w="1417" w:type="dxa"/>
            <w:tcBorders>
              <w:top w:val="nil"/>
              <w:left w:val="nil"/>
              <w:bottom w:val="single" w:color="auto" w:sz="4" w:space="0"/>
              <w:right w:val="single" w:color="auto" w:sz="4" w:space="0"/>
            </w:tcBorders>
            <w:vAlign w:val="center"/>
          </w:tcPr>
          <w:p w14:paraId="3D7DC847">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1D790E42">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4824B1DF">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tcPr>
          <w:p w14:paraId="42C8A52F">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tcPr>
          <w:p w14:paraId="2675C881">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0F99BAD5">
            <w:pPr>
              <w:widowControl/>
              <w:jc w:val="center"/>
              <w:rPr>
                <w:rFonts w:asciiTheme="minorEastAsia" w:hAnsiTheme="minorEastAsia" w:eastAsiaTheme="minorEastAsia"/>
                <w:kern w:val="0"/>
                <w:sz w:val="22"/>
                <w:szCs w:val="22"/>
              </w:rPr>
            </w:pPr>
          </w:p>
        </w:tc>
      </w:tr>
      <w:tr w14:paraId="31160E6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F1B24E1">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1.4</w:t>
            </w:r>
          </w:p>
        </w:tc>
        <w:tc>
          <w:tcPr>
            <w:tcW w:w="13514" w:type="dxa"/>
            <w:gridSpan w:val="8"/>
            <w:tcBorders>
              <w:top w:val="single" w:color="auto" w:sz="4" w:space="0"/>
              <w:left w:val="nil"/>
              <w:bottom w:val="single" w:color="auto" w:sz="4" w:space="0"/>
              <w:right w:val="single" w:color="auto" w:sz="4" w:space="0"/>
            </w:tcBorders>
            <w:vAlign w:val="center"/>
          </w:tcPr>
          <w:p w14:paraId="6F6281A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绝缘半导电屏蔽层</w:t>
            </w:r>
          </w:p>
        </w:tc>
      </w:tr>
      <w:tr w14:paraId="3ADE633F">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632B086">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1.4.1</w:t>
            </w:r>
          </w:p>
        </w:tc>
        <w:tc>
          <w:tcPr>
            <w:tcW w:w="2551" w:type="dxa"/>
            <w:tcBorders>
              <w:top w:val="nil"/>
              <w:left w:val="nil"/>
              <w:bottom w:val="single" w:color="auto" w:sz="4" w:space="0"/>
              <w:right w:val="single" w:color="auto" w:sz="4" w:space="0"/>
            </w:tcBorders>
            <w:vAlign w:val="center"/>
          </w:tcPr>
          <w:p w14:paraId="51AAE63C">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厚度（mm）</w:t>
            </w:r>
          </w:p>
        </w:tc>
        <w:tc>
          <w:tcPr>
            <w:tcW w:w="2410" w:type="dxa"/>
            <w:tcBorders>
              <w:top w:val="nil"/>
              <w:left w:val="nil"/>
              <w:bottom w:val="single" w:color="auto" w:sz="4" w:space="0"/>
              <w:right w:val="single" w:color="auto" w:sz="4" w:space="0"/>
            </w:tcBorders>
            <w:vAlign w:val="center"/>
          </w:tcPr>
          <w:p w14:paraId="244F78AB">
            <w:pPr>
              <w:rPr>
                <w:rFonts w:asciiTheme="minorEastAsia" w:hAnsiTheme="minorEastAsia" w:eastAsiaTheme="minorEastAsia"/>
                <w:kern w:val="0"/>
                <w:sz w:val="22"/>
                <w:szCs w:val="22"/>
              </w:rPr>
            </w:pPr>
            <w:r>
              <w:rPr>
                <w:rFonts w:asciiTheme="minorEastAsia" w:hAnsiTheme="minorEastAsia" w:eastAsiaTheme="minorEastAsia"/>
                <w:sz w:val="22"/>
                <w:szCs w:val="22"/>
              </w:rPr>
              <w:t>1.0mm</w:t>
            </w:r>
            <w:r>
              <w:rPr>
                <w:rFonts w:hint="eastAsia" w:asciiTheme="minorEastAsia" w:hAnsiTheme="minorEastAsia" w:eastAsiaTheme="minorEastAsia"/>
                <w:sz w:val="22"/>
                <w:szCs w:val="22"/>
              </w:rPr>
              <w:t>，最小厚度不小于0.8mm</w:t>
            </w:r>
          </w:p>
        </w:tc>
        <w:tc>
          <w:tcPr>
            <w:tcW w:w="1417" w:type="dxa"/>
            <w:tcBorders>
              <w:top w:val="nil"/>
              <w:left w:val="nil"/>
              <w:bottom w:val="single" w:color="auto" w:sz="4" w:space="0"/>
              <w:right w:val="single" w:color="auto" w:sz="4" w:space="0"/>
            </w:tcBorders>
            <w:vAlign w:val="center"/>
          </w:tcPr>
          <w:p w14:paraId="17D50F0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投标方响应</w:t>
            </w:r>
          </w:p>
        </w:tc>
        <w:tc>
          <w:tcPr>
            <w:tcW w:w="1843" w:type="dxa"/>
            <w:tcBorders>
              <w:top w:val="nil"/>
              <w:left w:val="nil"/>
              <w:bottom w:val="single" w:color="auto" w:sz="4" w:space="0"/>
              <w:right w:val="single" w:color="auto" w:sz="4" w:space="0"/>
            </w:tcBorders>
            <w:vAlign w:val="center"/>
          </w:tcPr>
          <w:p w14:paraId="63AEC11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232234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18808D8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16C12325">
            <w:pPr>
              <w:widowControl/>
              <w:jc w:val="left"/>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A6E0C66">
            <w:pPr>
              <w:widowControl/>
              <w:jc w:val="left"/>
              <w:rPr>
                <w:rFonts w:asciiTheme="minorEastAsia" w:hAnsiTheme="minorEastAsia" w:eastAsiaTheme="minorEastAsia"/>
                <w:kern w:val="0"/>
                <w:sz w:val="22"/>
                <w:szCs w:val="22"/>
              </w:rPr>
            </w:pPr>
          </w:p>
        </w:tc>
      </w:tr>
      <w:tr w14:paraId="10CE227A">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0923897">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1.4.2</w:t>
            </w:r>
          </w:p>
        </w:tc>
        <w:tc>
          <w:tcPr>
            <w:tcW w:w="2551" w:type="dxa"/>
            <w:tcBorders>
              <w:top w:val="nil"/>
              <w:left w:val="nil"/>
              <w:bottom w:val="single" w:color="auto" w:sz="4" w:space="0"/>
              <w:right w:val="single" w:color="auto" w:sz="4" w:space="0"/>
            </w:tcBorders>
            <w:vAlign w:val="center"/>
          </w:tcPr>
          <w:p w14:paraId="04919E06">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外径及偏差</w:t>
            </w:r>
          </w:p>
        </w:tc>
        <w:tc>
          <w:tcPr>
            <w:tcW w:w="2410" w:type="dxa"/>
            <w:tcBorders>
              <w:top w:val="nil"/>
              <w:left w:val="nil"/>
              <w:bottom w:val="single" w:color="auto" w:sz="4" w:space="0"/>
              <w:right w:val="single" w:color="auto" w:sz="4" w:space="0"/>
            </w:tcBorders>
            <w:vAlign w:val="center"/>
          </w:tcPr>
          <w:p w14:paraId="6168034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6E51A6F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投标方提供</w:t>
            </w:r>
          </w:p>
        </w:tc>
        <w:tc>
          <w:tcPr>
            <w:tcW w:w="1843" w:type="dxa"/>
            <w:tcBorders>
              <w:top w:val="nil"/>
              <w:left w:val="nil"/>
              <w:bottom w:val="single" w:color="auto" w:sz="4" w:space="0"/>
              <w:right w:val="single" w:color="auto" w:sz="4" w:space="0"/>
            </w:tcBorders>
            <w:vAlign w:val="center"/>
          </w:tcPr>
          <w:p w14:paraId="4D8038B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B0C813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39C733A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2A14E7A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F08D486">
            <w:pPr>
              <w:widowControl/>
              <w:jc w:val="center"/>
              <w:rPr>
                <w:rFonts w:asciiTheme="minorEastAsia" w:hAnsiTheme="minorEastAsia" w:eastAsiaTheme="minorEastAsia"/>
                <w:kern w:val="0"/>
                <w:sz w:val="22"/>
                <w:szCs w:val="22"/>
              </w:rPr>
            </w:pPr>
          </w:p>
        </w:tc>
      </w:tr>
      <w:tr w14:paraId="748252CA">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F0D574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1.4.3</w:t>
            </w:r>
          </w:p>
        </w:tc>
        <w:tc>
          <w:tcPr>
            <w:tcW w:w="2551" w:type="dxa"/>
            <w:tcBorders>
              <w:top w:val="nil"/>
              <w:left w:val="nil"/>
              <w:bottom w:val="single" w:color="auto" w:sz="4" w:space="0"/>
              <w:right w:val="single" w:color="auto" w:sz="4" w:space="0"/>
            </w:tcBorders>
            <w:vAlign w:val="center"/>
          </w:tcPr>
          <w:p w14:paraId="4DDAC232">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成品电缆半导电屏蔽层与绝缘界面微孔最大尺寸（50mm长的电缆绝缘线芯样品中）</w:t>
            </w:r>
          </w:p>
        </w:tc>
        <w:tc>
          <w:tcPr>
            <w:tcW w:w="2410" w:type="dxa"/>
            <w:tcBorders>
              <w:top w:val="nil"/>
              <w:left w:val="nil"/>
              <w:bottom w:val="single" w:color="auto" w:sz="4" w:space="0"/>
              <w:right w:val="single" w:color="auto" w:sz="4" w:space="0"/>
            </w:tcBorders>
            <w:vAlign w:val="center"/>
          </w:tcPr>
          <w:p w14:paraId="5C58CBD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≤0.02mm</w:t>
            </w:r>
          </w:p>
        </w:tc>
        <w:tc>
          <w:tcPr>
            <w:tcW w:w="1417" w:type="dxa"/>
            <w:tcBorders>
              <w:top w:val="nil"/>
              <w:left w:val="nil"/>
              <w:bottom w:val="single" w:color="auto" w:sz="4" w:space="0"/>
              <w:right w:val="single" w:color="auto" w:sz="4" w:space="0"/>
            </w:tcBorders>
            <w:vAlign w:val="center"/>
          </w:tcPr>
          <w:p w14:paraId="55918CA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4BCD41A0">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1C5B6CFF">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7A712C41">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62BBAD9A">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4FFCDAD">
            <w:pPr>
              <w:widowControl/>
              <w:jc w:val="center"/>
              <w:rPr>
                <w:rFonts w:asciiTheme="minorEastAsia" w:hAnsiTheme="minorEastAsia" w:eastAsiaTheme="minorEastAsia"/>
                <w:kern w:val="0"/>
                <w:sz w:val="22"/>
                <w:szCs w:val="22"/>
              </w:rPr>
            </w:pPr>
          </w:p>
        </w:tc>
      </w:tr>
      <w:tr w14:paraId="1E140755">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6AF13A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1.4.4</w:t>
            </w:r>
          </w:p>
        </w:tc>
        <w:tc>
          <w:tcPr>
            <w:tcW w:w="2551" w:type="dxa"/>
            <w:tcBorders>
              <w:top w:val="nil"/>
              <w:left w:val="nil"/>
              <w:bottom w:val="single" w:color="auto" w:sz="4" w:space="0"/>
              <w:right w:val="single" w:color="auto" w:sz="4" w:space="0"/>
            </w:tcBorders>
            <w:vAlign w:val="center"/>
          </w:tcPr>
          <w:p w14:paraId="4590F841">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绝缘半导电屏蔽层与绝缘层界面进入绝缘层突起的最大尺寸</w:t>
            </w:r>
          </w:p>
        </w:tc>
        <w:tc>
          <w:tcPr>
            <w:tcW w:w="2410" w:type="dxa"/>
            <w:tcBorders>
              <w:top w:val="nil"/>
              <w:left w:val="nil"/>
              <w:bottom w:val="single" w:color="auto" w:sz="4" w:space="0"/>
              <w:right w:val="single" w:color="auto" w:sz="4" w:space="0"/>
            </w:tcBorders>
            <w:vAlign w:val="center"/>
          </w:tcPr>
          <w:p w14:paraId="6590BD9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≤0.05mm</w:t>
            </w:r>
          </w:p>
        </w:tc>
        <w:tc>
          <w:tcPr>
            <w:tcW w:w="1417" w:type="dxa"/>
            <w:tcBorders>
              <w:top w:val="nil"/>
              <w:left w:val="nil"/>
              <w:bottom w:val="single" w:color="auto" w:sz="4" w:space="0"/>
              <w:right w:val="single" w:color="auto" w:sz="4" w:space="0"/>
            </w:tcBorders>
            <w:vAlign w:val="center"/>
          </w:tcPr>
          <w:p w14:paraId="7CC70E5E">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7B7F2049">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57067F56">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2F4FF8F5">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2A0EAC5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FF75211">
            <w:pPr>
              <w:widowControl/>
              <w:jc w:val="center"/>
              <w:rPr>
                <w:rFonts w:asciiTheme="minorEastAsia" w:hAnsiTheme="minorEastAsia" w:eastAsiaTheme="minorEastAsia"/>
                <w:kern w:val="0"/>
                <w:sz w:val="22"/>
                <w:szCs w:val="22"/>
              </w:rPr>
            </w:pPr>
          </w:p>
        </w:tc>
      </w:tr>
      <w:tr w14:paraId="5B088292">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16A015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1.4.5</w:t>
            </w:r>
          </w:p>
        </w:tc>
        <w:tc>
          <w:tcPr>
            <w:tcW w:w="2551" w:type="dxa"/>
            <w:tcBorders>
              <w:top w:val="nil"/>
              <w:left w:val="nil"/>
              <w:bottom w:val="single" w:color="auto" w:sz="4" w:space="0"/>
              <w:right w:val="single" w:color="auto" w:sz="4" w:space="0"/>
            </w:tcBorders>
            <w:vAlign w:val="center"/>
          </w:tcPr>
          <w:p w14:paraId="5AC29962">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绝缘半导电屏蔽层与绝缘层界面进入绝缘半导电屏蔽层突起的最大尺寸</w:t>
            </w:r>
          </w:p>
        </w:tc>
        <w:tc>
          <w:tcPr>
            <w:tcW w:w="2410" w:type="dxa"/>
            <w:tcBorders>
              <w:top w:val="nil"/>
              <w:left w:val="nil"/>
              <w:bottom w:val="single" w:color="auto" w:sz="4" w:space="0"/>
              <w:right w:val="single" w:color="auto" w:sz="4" w:space="0"/>
            </w:tcBorders>
            <w:vAlign w:val="center"/>
          </w:tcPr>
          <w:p w14:paraId="76832D9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≤0.05mm</w:t>
            </w:r>
          </w:p>
        </w:tc>
        <w:tc>
          <w:tcPr>
            <w:tcW w:w="1417" w:type="dxa"/>
            <w:tcBorders>
              <w:top w:val="nil"/>
              <w:left w:val="nil"/>
              <w:bottom w:val="single" w:color="auto" w:sz="4" w:space="0"/>
              <w:right w:val="single" w:color="auto" w:sz="4" w:space="0"/>
            </w:tcBorders>
            <w:vAlign w:val="center"/>
          </w:tcPr>
          <w:p w14:paraId="21785811">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20D73ACD">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7BF78DE8">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630BE967">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5B05F274">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E332469">
            <w:pPr>
              <w:widowControl/>
              <w:jc w:val="center"/>
              <w:rPr>
                <w:rFonts w:asciiTheme="minorEastAsia" w:hAnsiTheme="minorEastAsia" w:eastAsiaTheme="minorEastAsia"/>
                <w:kern w:val="0"/>
                <w:sz w:val="22"/>
                <w:szCs w:val="22"/>
              </w:rPr>
            </w:pPr>
          </w:p>
        </w:tc>
      </w:tr>
      <w:tr w14:paraId="3DBA02E4">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085FE3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.4.6</w:t>
            </w:r>
          </w:p>
        </w:tc>
        <w:tc>
          <w:tcPr>
            <w:tcW w:w="2551" w:type="dxa"/>
            <w:tcBorders>
              <w:top w:val="nil"/>
              <w:left w:val="nil"/>
              <w:bottom w:val="single" w:color="auto" w:sz="4" w:space="0"/>
              <w:right w:val="single" w:color="auto" w:sz="4" w:space="0"/>
            </w:tcBorders>
            <w:vAlign w:val="center"/>
          </w:tcPr>
          <w:p w14:paraId="5F777D3E">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半导电屏蔽体积电阻率</w:t>
            </w:r>
          </w:p>
        </w:tc>
        <w:tc>
          <w:tcPr>
            <w:tcW w:w="2410" w:type="dxa"/>
            <w:tcBorders>
              <w:top w:val="nil"/>
              <w:left w:val="nil"/>
              <w:bottom w:val="single" w:color="auto" w:sz="4" w:space="0"/>
              <w:right w:val="single" w:color="auto" w:sz="4" w:space="0"/>
            </w:tcBorders>
            <w:vAlign w:val="center"/>
          </w:tcPr>
          <w:p w14:paraId="060CA2F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r>
              <w:rPr>
                <w:rFonts w:asciiTheme="minorEastAsia" w:hAnsiTheme="minorEastAsia" w:eastAsiaTheme="minorEastAsia"/>
                <w:kern w:val="0"/>
                <w:sz w:val="22"/>
                <w:szCs w:val="22"/>
              </w:rPr>
              <w:t>500</w:t>
            </w:r>
            <w:r>
              <w:rPr>
                <w:rFonts w:hint="eastAsia" w:asciiTheme="minorEastAsia" w:hAnsiTheme="minorEastAsia" w:eastAsiaTheme="minorEastAsia"/>
                <w:kern w:val="0"/>
                <w:sz w:val="22"/>
                <w:szCs w:val="22"/>
              </w:rPr>
              <w:t>Ω·m</w:t>
            </w:r>
          </w:p>
        </w:tc>
        <w:tc>
          <w:tcPr>
            <w:tcW w:w="1417" w:type="dxa"/>
            <w:tcBorders>
              <w:top w:val="nil"/>
              <w:left w:val="nil"/>
              <w:bottom w:val="single" w:color="auto" w:sz="4" w:space="0"/>
              <w:right w:val="single" w:color="auto" w:sz="4" w:space="0"/>
            </w:tcBorders>
            <w:vAlign w:val="center"/>
          </w:tcPr>
          <w:p w14:paraId="2DD3D536">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32A75468">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585DE0D0">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vAlign w:val="center"/>
          </w:tcPr>
          <w:p w14:paraId="24866CE5">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540C6528">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A9192CF">
            <w:pPr>
              <w:widowControl/>
              <w:jc w:val="center"/>
              <w:rPr>
                <w:rFonts w:asciiTheme="minorEastAsia" w:hAnsiTheme="minorEastAsia" w:eastAsiaTheme="minorEastAsia"/>
                <w:kern w:val="0"/>
                <w:sz w:val="22"/>
                <w:szCs w:val="22"/>
              </w:rPr>
            </w:pPr>
          </w:p>
        </w:tc>
      </w:tr>
      <w:tr w14:paraId="45F4AEC0">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40DA9B0">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1.5</w:t>
            </w:r>
          </w:p>
        </w:tc>
        <w:tc>
          <w:tcPr>
            <w:tcW w:w="13514" w:type="dxa"/>
            <w:gridSpan w:val="8"/>
            <w:tcBorders>
              <w:top w:val="nil"/>
              <w:left w:val="nil"/>
              <w:bottom w:val="single" w:color="auto" w:sz="4" w:space="0"/>
              <w:right w:val="single" w:color="auto" w:sz="4" w:space="0"/>
            </w:tcBorders>
            <w:vAlign w:val="center"/>
          </w:tcPr>
          <w:p w14:paraId="3B339C0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缓冲层</w:t>
            </w:r>
          </w:p>
        </w:tc>
      </w:tr>
      <w:tr w14:paraId="6D27FA3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56E0D42A">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1.5.1</w:t>
            </w:r>
          </w:p>
        </w:tc>
        <w:tc>
          <w:tcPr>
            <w:tcW w:w="2551" w:type="dxa"/>
            <w:tcBorders>
              <w:top w:val="nil"/>
              <w:left w:val="nil"/>
              <w:bottom w:val="single" w:color="auto" w:sz="4" w:space="0"/>
              <w:right w:val="single" w:color="auto" w:sz="4" w:space="0"/>
            </w:tcBorders>
            <w:vAlign w:val="center"/>
          </w:tcPr>
          <w:p w14:paraId="0A3835FD">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绕包半导电弹性材料或绕包具有纵向阻水功能的半导电阻水膨胀带弹性材料（层×厚度）</w:t>
            </w:r>
          </w:p>
        </w:tc>
        <w:tc>
          <w:tcPr>
            <w:tcW w:w="2410" w:type="dxa"/>
            <w:tcBorders>
              <w:top w:val="nil"/>
              <w:left w:val="nil"/>
              <w:bottom w:val="single" w:color="auto" w:sz="4" w:space="0"/>
              <w:right w:val="single" w:color="auto" w:sz="4" w:space="0"/>
            </w:tcBorders>
            <w:vAlign w:val="center"/>
          </w:tcPr>
          <w:p w14:paraId="297BDF8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103A6BB3">
            <w:pPr>
              <w:widowControl/>
              <w:jc w:val="center"/>
              <w:rPr>
                <w:rFonts w:asciiTheme="minorEastAsia" w:hAnsiTheme="minorEastAsia" w:eastAsiaTheme="minorEastAsia"/>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2C4273F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C679E9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7E3B510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44A17641">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142724F">
            <w:pPr>
              <w:widowControl/>
              <w:jc w:val="center"/>
              <w:rPr>
                <w:rFonts w:asciiTheme="minorEastAsia" w:hAnsiTheme="minorEastAsia" w:eastAsiaTheme="minorEastAsia"/>
                <w:kern w:val="0"/>
                <w:sz w:val="22"/>
                <w:szCs w:val="22"/>
              </w:rPr>
            </w:pPr>
          </w:p>
        </w:tc>
      </w:tr>
      <w:tr w14:paraId="3ECE0C9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1B8098C">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1.5.</w:t>
            </w:r>
            <w:r>
              <w:rPr>
                <w:rFonts w:hint="eastAsia"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7C5309F6">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23℃原材料体积电阻率（Ω•m）</w:t>
            </w:r>
          </w:p>
        </w:tc>
        <w:tc>
          <w:tcPr>
            <w:tcW w:w="2410" w:type="dxa"/>
            <w:tcBorders>
              <w:top w:val="nil"/>
              <w:left w:val="nil"/>
              <w:bottom w:val="single" w:color="auto" w:sz="4" w:space="0"/>
              <w:right w:val="single" w:color="auto" w:sz="4" w:space="0"/>
            </w:tcBorders>
            <w:vAlign w:val="center"/>
          </w:tcPr>
          <w:p w14:paraId="18B214DC">
            <w:pPr>
              <w:widowControl/>
              <w:jc w:val="center"/>
              <w:rPr>
                <w:rFonts w:asciiTheme="minorEastAsia" w:hAnsiTheme="minorEastAsia" w:eastAsiaTheme="minorEastAsia"/>
                <w:kern w:val="0"/>
                <w:sz w:val="22"/>
                <w:szCs w:val="22"/>
              </w:rPr>
            </w:pPr>
            <w:r>
              <w:rPr>
                <w:rFonts w:cs="Arial" w:asciiTheme="minorEastAsia" w:hAnsiTheme="minorEastAsia" w:eastAsiaTheme="minorEastAsia"/>
                <w:kern w:val="0"/>
                <w:sz w:val="22"/>
                <w:szCs w:val="22"/>
              </w:rPr>
              <w:t>≤</w:t>
            </w:r>
            <w:r>
              <w:rPr>
                <w:rFonts w:hint="eastAsia" w:asciiTheme="minorEastAsia" w:hAnsiTheme="minorEastAsia" w:eastAsiaTheme="minorEastAsia"/>
                <w:kern w:val="0"/>
                <w:sz w:val="22"/>
                <w:szCs w:val="22"/>
              </w:rPr>
              <w:t>350</w:t>
            </w:r>
          </w:p>
        </w:tc>
        <w:tc>
          <w:tcPr>
            <w:tcW w:w="1417" w:type="dxa"/>
            <w:tcBorders>
              <w:top w:val="nil"/>
              <w:left w:val="nil"/>
              <w:bottom w:val="single" w:color="auto" w:sz="4" w:space="0"/>
              <w:right w:val="single" w:color="auto" w:sz="4" w:space="0"/>
            </w:tcBorders>
            <w:vAlign w:val="center"/>
          </w:tcPr>
          <w:p w14:paraId="02D70462">
            <w:pPr>
              <w:widowControl/>
              <w:jc w:val="center"/>
              <w:rPr>
                <w:rFonts w:asciiTheme="minorEastAsia" w:hAnsiTheme="minorEastAsia" w:eastAsiaTheme="minorEastAsia"/>
                <w:kern w:val="0"/>
                <w:sz w:val="22"/>
                <w:szCs w:val="22"/>
              </w:rPr>
            </w:pPr>
            <w:r>
              <w:rPr>
                <w:rFonts w:asciiTheme="minorEastAsia" w:hAnsiTheme="minorEastAsia" w:eastAsiaTheme="minorEastAsia"/>
                <w:bCs/>
                <w:kern w:val="0"/>
                <w:sz w:val="22"/>
                <w:szCs w:val="22"/>
              </w:rPr>
              <w:t>投标方</w:t>
            </w:r>
            <w:r>
              <w:rPr>
                <w:rFonts w:hint="eastAsia" w:asciiTheme="minorEastAsia" w:hAnsiTheme="minorEastAsia" w:eastAsiaTheme="minorEastAsia"/>
                <w:bCs/>
                <w:kern w:val="0"/>
                <w:sz w:val="22"/>
                <w:szCs w:val="22"/>
              </w:rPr>
              <w:t>相应</w:t>
            </w:r>
          </w:p>
        </w:tc>
        <w:tc>
          <w:tcPr>
            <w:tcW w:w="1843" w:type="dxa"/>
            <w:tcBorders>
              <w:top w:val="nil"/>
              <w:left w:val="nil"/>
              <w:bottom w:val="single" w:color="auto" w:sz="4" w:space="0"/>
              <w:right w:val="single" w:color="auto" w:sz="4" w:space="0"/>
            </w:tcBorders>
            <w:vAlign w:val="center"/>
          </w:tcPr>
          <w:p w14:paraId="0DCFC98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7772A35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03F1686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检测报告</w:t>
            </w:r>
          </w:p>
        </w:tc>
        <w:tc>
          <w:tcPr>
            <w:tcW w:w="1233" w:type="dxa"/>
            <w:tcBorders>
              <w:top w:val="nil"/>
              <w:left w:val="nil"/>
              <w:bottom w:val="single" w:color="auto" w:sz="4" w:space="0"/>
              <w:right w:val="single" w:color="auto" w:sz="4" w:space="0"/>
            </w:tcBorders>
            <w:vAlign w:val="center"/>
          </w:tcPr>
          <w:p w14:paraId="5F3DD2A9">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1C7888A">
            <w:pPr>
              <w:widowControl/>
              <w:jc w:val="center"/>
              <w:rPr>
                <w:rFonts w:asciiTheme="minorEastAsia" w:hAnsiTheme="minorEastAsia" w:eastAsiaTheme="minorEastAsia"/>
                <w:kern w:val="0"/>
                <w:sz w:val="22"/>
                <w:szCs w:val="22"/>
              </w:rPr>
            </w:pPr>
          </w:p>
        </w:tc>
      </w:tr>
      <w:tr w14:paraId="55C820EC">
        <w:tblPrEx>
          <w:tblCellMar>
            <w:top w:w="0" w:type="dxa"/>
            <w:left w:w="108" w:type="dxa"/>
            <w:bottom w:w="0" w:type="dxa"/>
            <w:right w:w="108" w:type="dxa"/>
          </w:tblCellMar>
        </w:tblPrEx>
        <w:trPr>
          <w:trHeight w:val="276" w:hRule="atLeast"/>
        </w:trPr>
        <w:tc>
          <w:tcPr>
            <w:tcW w:w="1135" w:type="dxa"/>
            <w:tcBorders>
              <w:top w:val="nil"/>
              <w:left w:val="single" w:color="auto" w:sz="4" w:space="0"/>
              <w:bottom w:val="single" w:color="auto" w:sz="4" w:space="0"/>
              <w:right w:val="single" w:color="auto" w:sz="4" w:space="0"/>
            </w:tcBorders>
            <w:vAlign w:val="center"/>
          </w:tcPr>
          <w:p w14:paraId="01C603BB">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1.6</w:t>
            </w:r>
          </w:p>
        </w:tc>
        <w:tc>
          <w:tcPr>
            <w:tcW w:w="13514" w:type="dxa"/>
            <w:gridSpan w:val="8"/>
            <w:tcBorders>
              <w:top w:val="nil"/>
              <w:left w:val="nil"/>
              <w:bottom w:val="single" w:color="auto" w:sz="4" w:space="0"/>
              <w:right w:val="single" w:color="auto" w:sz="4" w:space="0"/>
            </w:tcBorders>
            <w:vAlign w:val="center"/>
          </w:tcPr>
          <w:p w14:paraId="2489CE9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金属套</w:t>
            </w:r>
          </w:p>
        </w:tc>
      </w:tr>
      <w:tr w14:paraId="6F88DBD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9A3DDF0">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1.6.1</w:t>
            </w:r>
          </w:p>
        </w:tc>
        <w:tc>
          <w:tcPr>
            <w:tcW w:w="2551" w:type="dxa"/>
            <w:tcBorders>
              <w:top w:val="nil"/>
              <w:left w:val="nil"/>
              <w:bottom w:val="single" w:color="auto" w:sz="4" w:space="0"/>
              <w:right w:val="single" w:color="auto" w:sz="4" w:space="0"/>
            </w:tcBorders>
            <w:vAlign w:val="center"/>
          </w:tcPr>
          <w:p w14:paraId="1E864915">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材料</w:t>
            </w:r>
          </w:p>
        </w:tc>
        <w:tc>
          <w:tcPr>
            <w:tcW w:w="2410" w:type="dxa"/>
            <w:tcBorders>
              <w:top w:val="nil"/>
              <w:left w:val="nil"/>
              <w:bottom w:val="single" w:color="auto" w:sz="4" w:space="0"/>
              <w:right w:val="single" w:color="auto" w:sz="4" w:space="0"/>
            </w:tcBorders>
            <w:vAlign w:val="center"/>
          </w:tcPr>
          <w:p w14:paraId="20AE7F1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挤包合金铅套</w:t>
            </w:r>
          </w:p>
        </w:tc>
        <w:tc>
          <w:tcPr>
            <w:tcW w:w="1417" w:type="dxa"/>
            <w:tcBorders>
              <w:top w:val="nil"/>
              <w:left w:val="nil"/>
              <w:bottom w:val="single" w:color="auto" w:sz="4" w:space="0"/>
              <w:right w:val="single" w:color="auto" w:sz="4" w:space="0"/>
            </w:tcBorders>
            <w:vAlign w:val="center"/>
          </w:tcPr>
          <w:p w14:paraId="614DCA9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单一</w:t>
            </w:r>
          </w:p>
        </w:tc>
        <w:tc>
          <w:tcPr>
            <w:tcW w:w="1843" w:type="dxa"/>
            <w:tcBorders>
              <w:top w:val="nil"/>
              <w:left w:val="nil"/>
              <w:bottom w:val="single" w:color="auto" w:sz="4" w:space="0"/>
              <w:right w:val="single" w:color="auto" w:sz="4" w:space="0"/>
            </w:tcBorders>
            <w:vAlign w:val="center"/>
          </w:tcPr>
          <w:p w14:paraId="00615EF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285035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33DE2A1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6D01F538">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F295402">
            <w:pPr>
              <w:widowControl/>
              <w:jc w:val="center"/>
              <w:rPr>
                <w:rFonts w:asciiTheme="minorEastAsia" w:hAnsiTheme="minorEastAsia" w:eastAsiaTheme="minorEastAsia"/>
                <w:kern w:val="0"/>
                <w:sz w:val="22"/>
                <w:szCs w:val="22"/>
              </w:rPr>
            </w:pPr>
          </w:p>
        </w:tc>
      </w:tr>
      <w:tr w14:paraId="2F450B8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067B953">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1.6.2</w:t>
            </w:r>
          </w:p>
        </w:tc>
        <w:tc>
          <w:tcPr>
            <w:tcW w:w="2551" w:type="dxa"/>
            <w:tcBorders>
              <w:top w:val="nil"/>
              <w:left w:val="nil"/>
              <w:bottom w:val="single" w:color="auto" w:sz="4" w:space="0"/>
              <w:right w:val="single" w:color="auto" w:sz="4" w:space="0"/>
            </w:tcBorders>
            <w:vAlign w:val="center"/>
          </w:tcPr>
          <w:p w14:paraId="563D91B9">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平均厚度（mm）</w:t>
            </w:r>
          </w:p>
        </w:tc>
        <w:tc>
          <w:tcPr>
            <w:tcW w:w="2410" w:type="dxa"/>
            <w:tcBorders>
              <w:top w:val="nil"/>
              <w:left w:val="nil"/>
              <w:bottom w:val="single" w:color="auto" w:sz="4" w:space="0"/>
              <w:right w:val="single" w:color="auto" w:sz="4" w:space="0"/>
            </w:tcBorders>
            <w:vAlign w:val="center"/>
          </w:tcPr>
          <w:p w14:paraId="130C47B1">
            <w:pPr>
              <w:widowControl/>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厚度不小于标称厚度t</w:t>
            </w:r>
            <w:r>
              <w:rPr>
                <w:rFonts w:asciiTheme="minorEastAsia" w:hAnsiTheme="minorEastAsia" w:eastAsiaTheme="minorEastAsia"/>
                <w:kern w:val="0"/>
                <w:sz w:val="22"/>
                <w:szCs w:val="22"/>
              </w:rPr>
              <w:t>:</w:t>
            </w:r>
          </w:p>
          <w:p w14:paraId="592710D7">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4.0</w:t>
            </w:r>
            <w:r>
              <w:rPr>
                <w:rFonts w:hint="eastAsia" w:asciiTheme="minorEastAsia" w:hAnsiTheme="minorEastAsia" w:eastAsiaTheme="minorEastAsia"/>
                <w:kern w:val="0"/>
                <w:sz w:val="22"/>
                <w:szCs w:val="22"/>
              </w:rPr>
              <w:t>mm</w:t>
            </w:r>
          </w:p>
        </w:tc>
        <w:tc>
          <w:tcPr>
            <w:tcW w:w="1417" w:type="dxa"/>
            <w:tcBorders>
              <w:top w:val="nil"/>
              <w:left w:val="nil"/>
              <w:bottom w:val="single" w:color="auto" w:sz="4" w:space="0"/>
              <w:right w:val="single" w:color="auto" w:sz="4" w:space="0"/>
            </w:tcBorders>
            <w:vAlign w:val="center"/>
          </w:tcPr>
          <w:p w14:paraId="4ABDE32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投标方响应</w:t>
            </w:r>
          </w:p>
        </w:tc>
        <w:tc>
          <w:tcPr>
            <w:tcW w:w="1843" w:type="dxa"/>
            <w:tcBorders>
              <w:top w:val="nil"/>
              <w:left w:val="nil"/>
              <w:bottom w:val="single" w:color="auto" w:sz="4" w:space="0"/>
              <w:right w:val="single" w:color="auto" w:sz="4" w:space="0"/>
            </w:tcBorders>
            <w:vAlign w:val="center"/>
          </w:tcPr>
          <w:p w14:paraId="71BFD08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6AF3C2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6BA2B8A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5C92790B">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A3A726F">
            <w:pPr>
              <w:widowControl/>
              <w:jc w:val="center"/>
              <w:rPr>
                <w:rFonts w:asciiTheme="minorEastAsia" w:hAnsiTheme="minorEastAsia" w:eastAsiaTheme="minorEastAsia"/>
                <w:kern w:val="0"/>
                <w:sz w:val="22"/>
                <w:szCs w:val="22"/>
              </w:rPr>
            </w:pPr>
          </w:p>
        </w:tc>
      </w:tr>
      <w:tr w14:paraId="3AED122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6D90A8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1.6.</w:t>
            </w:r>
            <w:r>
              <w:rPr>
                <w:rFonts w:asciiTheme="minorEastAsia" w:hAnsiTheme="minorEastAsia" w:eastAsiaTheme="minorEastAsia"/>
                <w:kern w:val="0"/>
                <w:sz w:val="22"/>
                <w:szCs w:val="22"/>
              </w:rPr>
              <w:t>3</w:t>
            </w:r>
          </w:p>
        </w:tc>
        <w:tc>
          <w:tcPr>
            <w:tcW w:w="2551" w:type="dxa"/>
            <w:tcBorders>
              <w:top w:val="nil"/>
              <w:left w:val="nil"/>
              <w:bottom w:val="single" w:color="auto" w:sz="4" w:space="0"/>
              <w:right w:val="single" w:color="auto" w:sz="4" w:space="0"/>
            </w:tcBorders>
            <w:vAlign w:val="center"/>
          </w:tcPr>
          <w:p w14:paraId="4F766D08">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最薄点厚度不小于（mm）</w:t>
            </w:r>
          </w:p>
        </w:tc>
        <w:tc>
          <w:tcPr>
            <w:tcW w:w="2410" w:type="dxa"/>
            <w:tcBorders>
              <w:top w:val="nil"/>
              <w:left w:val="nil"/>
              <w:bottom w:val="single" w:color="auto" w:sz="4" w:space="0"/>
              <w:right w:val="single" w:color="auto" w:sz="4" w:space="0"/>
            </w:tcBorders>
            <w:vAlign w:val="center"/>
          </w:tcPr>
          <w:p w14:paraId="0D41B36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 xml:space="preserve">0.95t-0.1 </w:t>
            </w:r>
          </w:p>
        </w:tc>
        <w:tc>
          <w:tcPr>
            <w:tcW w:w="1417" w:type="dxa"/>
            <w:tcBorders>
              <w:top w:val="nil"/>
              <w:left w:val="nil"/>
              <w:bottom w:val="single" w:color="auto" w:sz="4" w:space="0"/>
              <w:right w:val="single" w:color="auto" w:sz="4" w:space="0"/>
            </w:tcBorders>
            <w:vAlign w:val="center"/>
          </w:tcPr>
          <w:p w14:paraId="2C8B8A86">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w:t>
            </w:r>
            <w:r>
              <w:rPr>
                <w:rFonts w:asciiTheme="minorEastAsia" w:hAnsiTheme="minorEastAsia" w:eastAsiaTheme="minorEastAsia"/>
                <w:bCs/>
                <w:kern w:val="0"/>
                <w:sz w:val="22"/>
                <w:szCs w:val="22"/>
              </w:rPr>
              <w:t>响应</w:t>
            </w:r>
          </w:p>
        </w:tc>
        <w:tc>
          <w:tcPr>
            <w:tcW w:w="1843" w:type="dxa"/>
            <w:tcBorders>
              <w:top w:val="nil"/>
              <w:left w:val="nil"/>
              <w:bottom w:val="single" w:color="auto" w:sz="4" w:space="0"/>
              <w:right w:val="single" w:color="auto" w:sz="4" w:space="0"/>
            </w:tcBorders>
            <w:vAlign w:val="center"/>
          </w:tcPr>
          <w:p w14:paraId="004DFAF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0.95t</w:t>
            </w:r>
          </w:p>
        </w:tc>
        <w:tc>
          <w:tcPr>
            <w:tcW w:w="1559" w:type="dxa"/>
            <w:tcBorders>
              <w:top w:val="nil"/>
              <w:left w:val="nil"/>
              <w:bottom w:val="single" w:color="auto" w:sz="4" w:space="0"/>
              <w:right w:val="single" w:color="auto" w:sz="4" w:space="0"/>
            </w:tcBorders>
            <w:vAlign w:val="center"/>
          </w:tcPr>
          <w:p w14:paraId="4AA0B53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125595C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检测报告</w:t>
            </w:r>
          </w:p>
        </w:tc>
        <w:tc>
          <w:tcPr>
            <w:tcW w:w="1233" w:type="dxa"/>
            <w:tcBorders>
              <w:top w:val="nil"/>
              <w:left w:val="nil"/>
              <w:bottom w:val="single" w:color="auto" w:sz="4" w:space="0"/>
              <w:right w:val="single" w:color="auto" w:sz="4" w:space="0"/>
            </w:tcBorders>
            <w:vAlign w:val="center"/>
          </w:tcPr>
          <w:p w14:paraId="78604A2F">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10AEB2E">
            <w:pPr>
              <w:widowControl/>
              <w:jc w:val="center"/>
              <w:rPr>
                <w:rFonts w:asciiTheme="minorEastAsia" w:hAnsiTheme="minorEastAsia" w:eastAsiaTheme="minorEastAsia"/>
                <w:kern w:val="0"/>
                <w:sz w:val="22"/>
                <w:szCs w:val="22"/>
              </w:rPr>
            </w:pPr>
          </w:p>
        </w:tc>
      </w:tr>
      <w:tr w14:paraId="3DCC588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3DE8F8E">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7</w:t>
            </w:r>
          </w:p>
        </w:tc>
        <w:tc>
          <w:tcPr>
            <w:tcW w:w="13514" w:type="dxa"/>
            <w:gridSpan w:val="8"/>
            <w:tcBorders>
              <w:top w:val="nil"/>
              <w:left w:val="nil"/>
              <w:bottom w:val="single" w:color="auto" w:sz="4" w:space="0"/>
              <w:right w:val="single" w:color="auto" w:sz="4" w:space="0"/>
            </w:tcBorders>
            <w:vAlign w:val="center"/>
          </w:tcPr>
          <w:p w14:paraId="7C35FA3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内护套</w:t>
            </w:r>
          </w:p>
        </w:tc>
      </w:tr>
      <w:tr w14:paraId="3EC7716B">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36D49B9">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7</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72B222C2">
            <w:pPr>
              <w:widowControl/>
              <w:jc w:val="left"/>
              <w:rPr>
                <w:rFonts w:asciiTheme="minorEastAsia" w:hAnsiTheme="minorEastAsia" w:eastAsiaTheme="minorEastAsia"/>
                <w:kern w:val="0"/>
                <w:sz w:val="22"/>
                <w:szCs w:val="22"/>
              </w:rPr>
            </w:pPr>
            <w:r>
              <w:rPr>
                <w:rFonts w:asciiTheme="minorEastAsia" w:hAnsiTheme="minorEastAsia" w:eastAsiaTheme="minorEastAsia"/>
                <w:kern w:val="0"/>
                <w:sz w:val="22"/>
                <w:szCs w:val="22"/>
              </w:rPr>
              <w:t>材料</w:t>
            </w:r>
          </w:p>
        </w:tc>
        <w:tc>
          <w:tcPr>
            <w:tcW w:w="2410" w:type="dxa"/>
            <w:tcBorders>
              <w:top w:val="nil"/>
              <w:left w:val="nil"/>
              <w:bottom w:val="single" w:color="auto" w:sz="4" w:space="0"/>
              <w:right w:val="single" w:color="auto" w:sz="4" w:space="0"/>
            </w:tcBorders>
            <w:vAlign w:val="center"/>
          </w:tcPr>
          <w:p w14:paraId="36EC638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半导电聚乙烯</w:t>
            </w:r>
          </w:p>
        </w:tc>
        <w:tc>
          <w:tcPr>
            <w:tcW w:w="1417" w:type="dxa"/>
            <w:tcBorders>
              <w:top w:val="nil"/>
              <w:left w:val="nil"/>
              <w:bottom w:val="single" w:color="auto" w:sz="4" w:space="0"/>
              <w:right w:val="single" w:color="auto" w:sz="4" w:space="0"/>
            </w:tcBorders>
            <w:vAlign w:val="center"/>
          </w:tcPr>
          <w:p w14:paraId="25B370B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单一</w:t>
            </w:r>
          </w:p>
        </w:tc>
        <w:tc>
          <w:tcPr>
            <w:tcW w:w="1843" w:type="dxa"/>
            <w:tcBorders>
              <w:top w:val="nil"/>
              <w:left w:val="nil"/>
              <w:bottom w:val="single" w:color="auto" w:sz="4" w:space="0"/>
              <w:right w:val="single" w:color="auto" w:sz="4" w:space="0"/>
            </w:tcBorders>
            <w:vAlign w:val="center"/>
          </w:tcPr>
          <w:p w14:paraId="6FF8C0B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5057C2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vAlign w:val="center"/>
          </w:tcPr>
          <w:p w14:paraId="2E78B80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68382EB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E661F31">
            <w:pPr>
              <w:widowControl/>
              <w:jc w:val="center"/>
              <w:rPr>
                <w:rFonts w:asciiTheme="minorEastAsia" w:hAnsiTheme="minorEastAsia" w:eastAsiaTheme="minorEastAsia"/>
                <w:kern w:val="0"/>
                <w:sz w:val="22"/>
                <w:szCs w:val="22"/>
              </w:rPr>
            </w:pPr>
          </w:p>
        </w:tc>
      </w:tr>
      <w:tr w14:paraId="463044BB">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456EED1">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7</w:t>
            </w:r>
            <w:r>
              <w:rPr>
                <w:rFonts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16146C58">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颜色</w:t>
            </w:r>
          </w:p>
        </w:tc>
        <w:tc>
          <w:tcPr>
            <w:tcW w:w="2410" w:type="dxa"/>
            <w:tcBorders>
              <w:top w:val="nil"/>
              <w:left w:val="nil"/>
              <w:bottom w:val="single" w:color="auto" w:sz="4" w:space="0"/>
              <w:right w:val="single" w:color="auto" w:sz="4" w:space="0"/>
            </w:tcBorders>
            <w:vAlign w:val="center"/>
          </w:tcPr>
          <w:p w14:paraId="288D2A1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4A9457B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37F623D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78CA659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07A94F2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054EE656">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3EE7302F">
            <w:pPr>
              <w:widowControl/>
              <w:jc w:val="center"/>
              <w:rPr>
                <w:rFonts w:asciiTheme="minorEastAsia" w:hAnsiTheme="minorEastAsia" w:eastAsiaTheme="minorEastAsia"/>
                <w:kern w:val="0"/>
                <w:sz w:val="22"/>
                <w:szCs w:val="22"/>
              </w:rPr>
            </w:pPr>
          </w:p>
        </w:tc>
      </w:tr>
      <w:tr w14:paraId="49F550E6">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4C9829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1.7.3</w:t>
            </w:r>
          </w:p>
        </w:tc>
        <w:tc>
          <w:tcPr>
            <w:tcW w:w="2551" w:type="dxa"/>
            <w:tcBorders>
              <w:top w:val="nil"/>
              <w:left w:val="nil"/>
              <w:bottom w:val="single" w:color="auto" w:sz="4" w:space="0"/>
              <w:right w:val="single" w:color="auto" w:sz="4" w:space="0"/>
            </w:tcBorders>
            <w:vAlign w:val="center"/>
          </w:tcPr>
          <w:p w14:paraId="01A4A239">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平均厚度</w:t>
            </w:r>
          </w:p>
        </w:tc>
        <w:tc>
          <w:tcPr>
            <w:tcW w:w="2410" w:type="dxa"/>
            <w:tcBorders>
              <w:top w:val="nil"/>
              <w:left w:val="nil"/>
              <w:bottom w:val="single" w:color="auto" w:sz="4" w:space="0"/>
              <w:right w:val="single" w:color="auto" w:sz="4" w:space="0"/>
            </w:tcBorders>
            <w:vAlign w:val="center"/>
          </w:tcPr>
          <w:p w14:paraId="23F0086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不小于标称厚度t：</w:t>
            </w:r>
          </w:p>
          <w:p w14:paraId="4A7E1009">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4.0</w:t>
            </w:r>
            <w:r>
              <w:rPr>
                <w:rFonts w:hint="eastAsia" w:asciiTheme="minorEastAsia" w:hAnsiTheme="minorEastAsia" w:eastAsiaTheme="minorEastAsia"/>
                <w:kern w:val="0"/>
                <w:sz w:val="22"/>
                <w:szCs w:val="22"/>
              </w:rPr>
              <w:t xml:space="preserve"> mm</w:t>
            </w:r>
          </w:p>
        </w:tc>
        <w:tc>
          <w:tcPr>
            <w:tcW w:w="1417" w:type="dxa"/>
            <w:tcBorders>
              <w:top w:val="nil"/>
              <w:left w:val="nil"/>
              <w:bottom w:val="single" w:color="auto" w:sz="4" w:space="0"/>
              <w:right w:val="single" w:color="auto" w:sz="4" w:space="0"/>
            </w:tcBorders>
            <w:vAlign w:val="center"/>
          </w:tcPr>
          <w:p w14:paraId="613A0159">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kern w:val="0"/>
                <w:sz w:val="22"/>
                <w:szCs w:val="22"/>
              </w:rPr>
              <w:t>投标方响应</w:t>
            </w:r>
          </w:p>
        </w:tc>
        <w:tc>
          <w:tcPr>
            <w:tcW w:w="1843" w:type="dxa"/>
            <w:tcBorders>
              <w:top w:val="nil"/>
              <w:left w:val="nil"/>
              <w:bottom w:val="single" w:color="auto" w:sz="4" w:space="0"/>
              <w:right w:val="single" w:color="auto" w:sz="4" w:space="0"/>
            </w:tcBorders>
            <w:vAlign w:val="center"/>
          </w:tcPr>
          <w:p w14:paraId="09528DD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F18817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vAlign w:val="center"/>
          </w:tcPr>
          <w:p w14:paraId="2A2C997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0C072F4A">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AADD5F2">
            <w:pPr>
              <w:widowControl/>
              <w:jc w:val="center"/>
              <w:rPr>
                <w:rFonts w:asciiTheme="minorEastAsia" w:hAnsiTheme="minorEastAsia" w:eastAsiaTheme="minorEastAsia"/>
                <w:kern w:val="0"/>
                <w:sz w:val="22"/>
                <w:szCs w:val="22"/>
              </w:rPr>
            </w:pPr>
          </w:p>
        </w:tc>
      </w:tr>
      <w:tr w14:paraId="3C7CB33D">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32D52E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1.7.4</w:t>
            </w:r>
          </w:p>
        </w:tc>
        <w:tc>
          <w:tcPr>
            <w:tcW w:w="2551" w:type="dxa"/>
            <w:tcBorders>
              <w:top w:val="nil"/>
              <w:left w:val="nil"/>
              <w:bottom w:val="single" w:color="auto" w:sz="4" w:space="0"/>
              <w:right w:val="single" w:color="auto" w:sz="4" w:space="0"/>
            </w:tcBorders>
            <w:vAlign w:val="center"/>
          </w:tcPr>
          <w:p w14:paraId="5CD36A52">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最薄点厚度不小于</w:t>
            </w:r>
            <w:r>
              <w:rPr>
                <w:rFonts w:hint="eastAsia" w:asciiTheme="minorEastAsia" w:hAnsiTheme="minorEastAsia" w:eastAsiaTheme="minorEastAsia"/>
                <w:sz w:val="22"/>
                <w:szCs w:val="22"/>
              </w:rPr>
              <w:t>（mm）</w:t>
            </w:r>
          </w:p>
        </w:tc>
        <w:tc>
          <w:tcPr>
            <w:tcW w:w="2410" w:type="dxa"/>
            <w:tcBorders>
              <w:top w:val="nil"/>
              <w:left w:val="nil"/>
              <w:bottom w:val="single" w:color="auto" w:sz="4" w:space="0"/>
              <w:right w:val="single" w:color="auto" w:sz="4" w:space="0"/>
            </w:tcBorders>
            <w:vAlign w:val="center"/>
          </w:tcPr>
          <w:p w14:paraId="35A2C147">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0.</w:t>
            </w:r>
            <w:r>
              <w:rPr>
                <w:rFonts w:hint="eastAsia" w:asciiTheme="minorEastAsia" w:hAnsiTheme="minorEastAsia" w:eastAsiaTheme="minorEastAsia"/>
                <w:kern w:val="0"/>
                <w:sz w:val="22"/>
                <w:szCs w:val="22"/>
              </w:rPr>
              <w:t>90</w:t>
            </w:r>
            <w:r>
              <w:rPr>
                <w:rFonts w:asciiTheme="minorEastAsia" w:hAnsiTheme="minorEastAsia" w:eastAsiaTheme="minorEastAsia"/>
                <w:kern w:val="0"/>
                <w:sz w:val="22"/>
                <w:szCs w:val="22"/>
              </w:rPr>
              <w:t>t</w:t>
            </w:r>
            <w:r>
              <w:rPr>
                <w:rFonts w:hint="eastAsia" w:asciiTheme="minorEastAsia" w:hAnsiTheme="minorEastAsia" w:eastAsiaTheme="minorEastAsia"/>
                <w:kern w:val="0"/>
                <w:sz w:val="22"/>
                <w:szCs w:val="22"/>
              </w:rPr>
              <w:t xml:space="preserve"> </w:t>
            </w:r>
          </w:p>
        </w:tc>
        <w:tc>
          <w:tcPr>
            <w:tcW w:w="1417" w:type="dxa"/>
            <w:tcBorders>
              <w:top w:val="nil"/>
              <w:left w:val="nil"/>
              <w:bottom w:val="single" w:color="auto" w:sz="4" w:space="0"/>
              <w:right w:val="single" w:color="auto" w:sz="4" w:space="0"/>
            </w:tcBorders>
            <w:vAlign w:val="center"/>
          </w:tcPr>
          <w:p w14:paraId="3FDD9370">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326E16F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472DA9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0537BD4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检测报告</w:t>
            </w:r>
          </w:p>
        </w:tc>
        <w:tc>
          <w:tcPr>
            <w:tcW w:w="1233" w:type="dxa"/>
            <w:tcBorders>
              <w:top w:val="nil"/>
              <w:left w:val="nil"/>
              <w:bottom w:val="single" w:color="auto" w:sz="4" w:space="0"/>
              <w:right w:val="single" w:color="auto" w:sz="4" w:space="0"/>
            </w:tcBorders>
            <w:vAlign w:val="center"/>
          </w:tcPr>
          <w:p w14:paraId="4665F788">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0D5FDF6">
            <w:pPr>
              <w:widowControl/>
              <w:jc w:val="center"/>
              <w:rPr>
                <w:rFonts w:asciiTheme="minorEastAsia" w:hAnsiTheme="minorEastAsia" w:eastAsiaTheme="minorEastAsia"/>
                <w:kern w:val="0"/>
                <w:sz w:val="22"/>
                <w:szCs w:val="22"/>
              </w:rPr>
            </w:pPr>
          </w:p>
        </w:tc>
      </w:tr>
      <w:tr w14:paraId="3BCA72EB">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6F50214">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7</w:t>
            </w:r>
            <w:r>
              <w:rPr>
                <w:rFonts w:asciiTheme="minorEastAsia" w:hAnsiTheme="minorEastAsia" w:eastAsiaTheme="minorEastAsia"/>
                <w:kern w:val="0"/>
                <w:sz w:val="22"/>
                <w:szCs w:val="22"/>
              </w:rPr>
              <w:t>.5</w:t>
            </w:r>
          </w:p>
        </w:tc>
        <w:tc>
          <w:tcPr>
            <w:tcW w:w="2551" w:type="dxa"/>
            <w:tcBorders>
              <w:top w:val="nil"/>
              <w:left w:val="nil"/>
              <w:bottom w:val="single" w:color="auto" w:sz="4" w:space="0"/>
              <w:right w:val="single" w:color="auto" w:sz="4" w:space="0"/>
            </w:tcBorders>
            <w:vAlign w:val="center"/>
          </w:tcPr>
          <w:p w14:paraId="505D87B7">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单芯电缆外径及偏差</w:t>
            </w:r>
          </w:p>
        </w:tc>
        <w:tc>
          <w:tcPr>
            <w:tcW w:w="2410" w:type="dxa"/>
            <w:tcBorders>
              <w:top w:val="nil"/>
              <w:left w:val="nil"/>
              <w:bottom w:val="single" w:color="auto" w:sz="4" w:space="0"/>
              <w:right w:val="single" w:color="auto" w:sz="4" w:space="0"/>
            </w:tcBorders>
            <w:vAlign w:val="center"/>
          </w:tcPr>
          <w:p w14:paraId="2F2C582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533E1CB1">
            <w:pPr>
              <w:widowControl/>
              <w:jc w:val="center"/>
              <w:rPr>
                <w:rFonts w:asciiTheme="minorEastAsia" w:hAnsiTheme="minorEastAsia" w:eastAsiaTheme="minorEastAsia"/>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10DF944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C4964A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56A73F3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69313E8D">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139A70D">
            <w:pPr>
              <w:widowControl/>
              <w:jc w:val="center"/>
              <w:rPr>
                <w:rFonts w:asciiTheme="minorEastAsia" w:hAnsiTheme="minorEastAsia" w:eastAsiaTheme="minorEastAsia"/>
                <w:kern w:val="0"/>
                <w:sz w:val="22"/>
                <w:szCs w:val="22"/>
              </w:rPr>
            </w:pPr>
          </w:p>
        </w:tc>
      </w:tr>
      <w:tr w14:paraId="2DBEA4D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0A7690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8</w:t>
            </w:r>
          </w:p>
        </w:tc>
        <w:tc>
          <w:tcPr>
            <w:tcW w:w="13514" w:type="dxa"/>
            <w:gridSpan w:val="8"/>
            <w:tcBorders>
              <w:top w:val="nil"/>
              <w:left w:val="nil"/>
              <w:bottom w:val="single" w:color="auto" w:sz="4" w:space="0"/>
              <w:right w:val="single" w:color="auto" w:sz="4" w:space="0"/>
            </w:tcBorders>
            <w:vAlign w:val="center"/>
          </w:tcPr>
          <w:p w14:paraId="117417B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三芯成缆外径</w:t>
            </w:r>
          </w:p>
        </w:tc>
      </w:tr>
      <w:tr w14:paraId="2C11AE4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5C6B26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1.8.1</w:t>
            </w:r>
          </w:p>
        </w:tc>
        <w:tc>
          <w:tcPr>
            <w:tcW w:w="2551" w:type="dxa"/>
            <w:tcBorders>
              <w:top w:val="nil"/>
              <w:left w:val="nil"/>
              <w:bottom w:val="single" w:color="auto" w:sz="4" w:space="0"/>
              <w:right w:val="single" w:color="auto" w:sz="4" w:space="0"/>
            </w:tcBorders>
            <w:vAlign w:val="center"/>
          </w:tcPr>
          <w:p w14:paraId="32B6311E">
            <w:pPr>
              <w:widowControl/>
              <w:jc w:val="left"/>
              <w:rPr>
                <w:rFonts w:asciiTheme="minorEastAsia" w:hAnsiTheme="minorEastAsia" w:eastAsiaTheme="minorEastAsia"/>
                <w:b/>
                <w:kern w:val="0"/>
                <w:sz w:val="22"/>
                <w:szCs w:val="22"/>
              </w:rPr>
            </w:pPr>
            <w:r>
              <w:rPr>
                <w:rFonts w:hint="eastAsia" w:asciiTheme="minorEastAsia" w:hAnsiTheme="minorEastAsia" w:eastAsiaTheme="minorEastAsia"/>
                <w:kern w:val="0"/>
                <w:sz w:val="22"/>
                <w:szCs w:val="22"/>
              </w:rPr>
              <w:t>三芯成缆外径</w:t>
            </w:r>
          </w:p>
        </w:tc>
        <w:tc>
          <w:tcPr>
            <w:tcW w:w="2410" w:type="dxa"/>
            <w:tcBorders>
              <w:top w:val="nil"/>
              <w:left w:val="nil"/>
              <w:bottom w:val="single" w:color="auto" w:sz="4" w:space="0"/>
              <w:right w:val="single" w:color="auto" w:sz="4" w:space="0"/>
            </w:tcBorders>
            <w:vAlign w:val="center"/>
          </w:tcPr>
          <w:p w14:paraId="12872BB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66A58AFC">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77D1CE8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6ECB08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013C768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079B997F">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75C540F">
            <w:pPr>
              <w:widowControl/>
              <w:jc w:val="center"/>
              <w:rPr>
                <w:rFonts w:asciiTheme="minorEastAsia" w:hAnsiTheme="minorEastAsia" w:eastAsiaTheme="minorEastAsia"/>
                <w:kern w:val="0"/>
                <w:sz w:val="22"/>
                <w:szCs w:val="22"/>
              </w:rPr>
            </w:pPr>
          </w:p>
        </w:tc>
      </w:tr>
      <w:tr w14:paraId="738D48EA">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D57044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9</w:t>
            </w:r>
          </w:p>
        </w:tc>
        <w:tc>
          <w:tcPr>
            <w:tcW w:w="13514" w:type="dxa"/>
            <w:gridSpan w:val="8"/>
            <w:tcBorders>
              <w:top w:val="nil"/>
              <w:left w:val="nil"/>
              <w:bottom w:val="single" w:color="auto" w:sz="4" w:space="0"/>
              <w:right w:val="single" w:color="auto" w:sz="4" w:space="0"/>
            </w:tcBorders>
            <w:vAlign w:val="center"/>
          </w:tcPr>
          <w:p w14:paraId="4E4CCE2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填充</w:t>
            </w:r>
          </w:p>
        </w:tc>
      </w:tr>
      <w:tr w14:paraId="4CF980C4">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E33334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9.</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5D438881">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填充材料</w:t>
            </w:r>
          </w:p>
        </w:tc>
        <w:tc>
          <w:tcPr>
            <w:tcW w:w="2410" w:type="dxa"/>
            <w:tcBorders>
              <w:top w:val="nil"/>
              <w:left w:val="nil"/>
              <w:bottom w:val="single" w:color="auto" w:sz="4" w:space="0"/>
              <w:right w:val="single" w:color="auto" w:sz="4" w:space="0"/>
            </w:tcBorders>
            <w:vAlign w:val="center"/>
          </w:tcPr>
          <w:p w14:paraId="02D8A8E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4CD4C9A3">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1A4847A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1F1056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7668AA9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28662859">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226939A">
            <w:pPr>
              <w:widowControl/>
              <w:jc w:val="center"/>
              <w:rPr>
                <w:rFonts w:asciiTheme="minorEastAsia" w:hAnsiTheme="minorEastAsia" w:eastAsiaTheme="minorEastAsia"/>
                <w:kern w:val="0"/>
                <w:sz w:val="22"/>
                <w:szCs w:val="22"/>
              </w:rPr>
            </w:pPr>
          </w:p>
        </w:tc>
      </w:tr>
      <w:tr w14:paraId="60FBE542">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ACDC8E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1.9.</w:t>
            </w:r>
            <w:r>
              <w:rPr>
                <w:rFonts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63A21140">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包带</w:t>
            </w:r>
          </w:p>
        </w:tc>
        <w:tc>
          <w:tcPr>
            <w:tcW w:w="2410" w:type="dxa"/>
            <w:tcBorders>
              <w:top w:val="nil"/>
              <w:left w:val="nil"/>
              <w:bottom w:val="single" w:color="auto" w:sz="4" w:space="0"/>
              <w:right w:val="single" w:color="auto" w:sz="4" w:space="0"/>
            </w:tcBorders>
            <w:vAlign w:val="center"/>
          </w:tcPr>
          <w:p w14:paraId="5B7CA65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5805DBCD">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73CE27E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6DDC05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44292B3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p w14:paraId="7A6BB3BF"/>
        </w:tc>
        <w:tc>
          <w:tcPr>
            <w:tcW w:w="1233" w:type="dxa"/>
            <w:tcBorders>
              <w:top w:val="nil"/>
              <w:left w:val="nil"/>
              <w:bottom w:val="single" w:color="auto" w:sz="4" w:space="0"/>
              <w:right w:val="single" w:color="auto" w:sz="4" w:space="0"/>
            </w:tcBorders>
            <w:vAlign w:val="center"/>
          </w:tcPr>
          <w:p w14:paraId="10DB8D44">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1C72C50">
            <w:pPr>
              <w:widowControl/>
              <w:jc w:val="center"/>
              <w:rPr>
                <w:rFonts w:asciiTheme="minorEastAsia" w:hAnsiTheme="minorEastAsia" w:eastAsiaTheme="minorEastAsia"/>
                <w:kern w:val="0"/>
                <w:sz w:val="22"/>
                <w:szCs w:val="22"/>
              </w:rPr>
            </w:pPr>
          </w:p>
        </w:tc>
      </w:tr>
      <w:tr w14:paraId="484A93CA">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A96F9E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10</w:t>
            </w:r>
          </w:p>
        </w:tc>
        <w:tc>
          <w:tcPr>
            <w:tcW w:w="13514" w:type="dxa"/>
            <w:gridSpan w:val="8"/>
            <w:tcBorders>
              <w:top w:val="nil"/>
              <w:left w:val="nil"/>
              <w:bottom w:val="single" w:color="auto" w:sz="4" w:space="0"/>
              <w:right w:val="single" w:color="auto" w:sz="4" w:space="0"/>
            </w:tcBorders>
            <w:vAlign w:val="center"/>
          </w:tcPr>
          <w:p w14:paraId="4CFE067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内衬层</w:t>
            </w:r>
          </w:p>
        </w:tc>
      </w:tr>
      <w:tr w14:paraId="3CC5B22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0148BB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0</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5F3FE0F0">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内衬层材质</w:t>
            </w:r>
          </w:p>
        </w:tc>
        <w:tc>
          <w:tcPr>
            <w:tcW w:w="2410" w:type="dxa"/>
            <w:tcBorders>
              <w:top w:val="nil"/>
              <w:left w:val="nil"/>
              <w:bottom w:val="single" w:color="auto" w:sz="4" w:space="0"/>
              <w:right w:val="single" w:color="auto" w:sz="4" w:space="0"/>
            </w:tcBorders>
            <w:vAlign w:val="center"/>
          </w:tcPr>
          <w:p w14:paraId="30A536B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聚丙烯绳</w:t>
            </w:r>
          </w:p>
        </w:tc>
        <w:tc>
          <w:tcPr>
            <w:tcW w:w="1417" w:type="dxa"/>
            <w:tcBorders>
              <w:top w:val="nil"/>
              <w:left w:val="nil"/>
              <w:bottom w:val="single" w:color="auto" w:sz="4" w:space="0"/>
              <w:right w:val="single" w:color="auto" w:sz="4" w:space="0"/>
            </w:tcBorders>
            <w:vAlign w:val="center"/>
          </w:tcPr>
          <w:p w14:paraId="4D312163">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70DAA60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F21782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120B167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4E695960">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3A968DAB">
            <w:pPr>
              <w:widowControl/>
              <w:jc w:val="center"/>
              <w:rPr>
                <w:rFonts w:asciiTheme="minorEastAsia" w:hAnsiTheme="minorEastAsia" w:eastAsiaTheme="minorEastAsia"/>
                <w:kern w:val="0"/>
                <w:sz w:val="22"/>
                <w:szCs w:val="22"/>
              </w:rPr>
            </w:pPr>
          </w:p>
        </w:tc>
      </w:tr>
      <w:tr w14:paraId="4DBDAA81">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74FBA7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0</w:t>
            </w:r>
            <w:r>
              <w:rPr>
                <w:rFonts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18B1213A">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内衬层厚度</w:t>
            </w:r>
          </w:p>
        </w:tc>
        <w:tc>
          <w:tcPr>
            <w:tcW w:w="2410" w:type="dxa"/>
            <w:tcBorders>
              <w:top w:val="nil"/>
              <w:left w:val="nil"/>
              <w:bottom w:val="single" w:color="auto" w:sz="4" w:space="0"/>
              <w:right w:val="single" w:color="auto" w:sz="4" w:space="0"/>
            </w:tcBorders>
            <w:vAlign w:val="center"/>
          </w:tcPr>
          <w:p w14:paraId="5E54782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1.5mm</w:t>
            </w:r>
          </w:p>
        </w:tc>
        <w:tc>
          <w:tcPr>
            <w:tcW w:w="1417" w:type="dxa"/>
            <w:tcBorders>
              <w:top w:val="nil"/>
              <w:left w:val="nil"/>
              <w:bottom w:val="single" w:color="auto" w:sz="4" w:space="0"/>
              <w:right w:val="single" w:color="auto" w:sz="4" w:space="0"/>
            </w:tcBorders>
            <w:vAlign w:val="center"/>
          </w:tcPr>
          <w:p w14:paraId="69932279">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w:t>
            </w:r>
            <w:r>
              <w:rPr>
                <w:rFonts w:hint="eastAsia" w:asciiTheme="minorEastAsia" w:hAnsiTheme="minorEastAsia" w:eastAsiaTheme="minorEastAsia"/>
                <w:bCs/>
                <w:kern w:val="0"/>
                <w:sz w:val="22"/>
                <w:szCs w:val="22"/>
              </w:rPr>
              <w:t>响应</w:t>
            </w:r>
          </w:p>
        </w:tc>
        <w:tc>
          <w:tcPr>
            <w:tcW w:w="1843" w:type="dxa"/>
            <w:tcBorders>
              <w:top w:val="nil"/>
              <w:left w:val="nil"/>
              <w:bottom w:val="single" w:color="auto" w:sz="4" w:space="0"/>
              <w:right w:val="single" w:color="auto" w:sz="4" w:space="0"/>
            </w:tcBorders>
            <w:vAlign w:val="center"/>
          </w:tcPr>
          <w:p w14:paraId="4C9E6AC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7473209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7FB5576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6AE8016F">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18BDD82">
            <w:pPr>
              <w:widowControl/>
              <w:jc w:val="center"/>
              <w:rPr>
                <w:rFonts w:asciiTheme="minorEastAsia" w:hAnsiTheme="minorEastAsia" w:eastAsiaTheme="minorEastAsia"/>
                <w:kern w:val="0"/>
                <w:sz w:val="22"/>
                <w:szCs w:val="22"/>
              </w:rPr>
            </w:pPr>
          </w:p>
        </w:tc>
      </w:tr>
      <w:tr w14:paraId="7BD98FC7">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042EE6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0</w:t>
            </w:r>
            <w:r>
              <w:rPr>
                <w:rFonts w:asciiTheme="minorEastAsia" w:hAnsiTheme="minorEastAsia" w:eastAsiaTheme="minorEastAsia"/>
                <w:kern w:val="0"/>
                <w:sz w:val="22"/>
                <w:szCs w:val="22"/>
              </w:rPr>
              <w:t>.3</w:t>
            </w:r>
          </w:p>
        </w:tc>
        <w:tc>
          <w:tcPr>
            <w:tcW w:w="2551" w:type="dxa"/>
            <w:tcBorders>
              <w:top w:val="nil"/>
              <w:left w:val="nil"/>
              <w:bottom w:val="single" w:color="auto" w:sz="4" w:space="0"/>
              <w:right w:val="single" w:color="auto" w:sz="4" w:space="0"/>
            </w:tcBorders>
            <w:vAlign w:val="center"/>
          </w:tcPr>
          <w:p w14:paraId="22BFDF13">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内衬层外径</w:t>
            </w:r>
          </w:p>
        </w:tc>
        <w:tc>
          <w:tcPr>
            <w:tcW w:w="2410" w:type="dxa"/>
            <w:tcBorders>
              <w:top w:val="nil"/>
              <w:left w:val="nil"/>
              <w:bottom w:val="single" w:color="auto" w:sz="4" w:space="0"/>
              <w:right w:val="single" w:color="auto" w:sz="4" w:space="0"/>
            </w:tcBorders>
            <w:vAlign w:val="center"/>
          </w:tcPr>
          <w:p w14:paraId="35DD9B98">
            <w:pPr>
              <w:widowControl/>
              <w:jc w:val="center"/>
              <w:rPr>
                <w:rFonts w:asciiTheme="minorEastAsia" w:hAnsiTheme="minorEastAsia" w:eastAsiaTheme="minorEastAsia"/>
                <w:kern w:val="0"/>
                <w:sz w:val="22"/>
                <w:szCs w:val="22"/>
              </w:rPr>
            </w:pPr>
          </w:p>
        </w:tc>
        <w:tc>
          <w:tcPr>
            <w:tcW w:w="1417" w:type="dxa"/>
            <w:tcBorders>
              <w:top w:val="nil"/>
              <w:left w:val="nil"/>
              <w:bottom w:val="single" w:color="auto" w:sz="4" w:space="0"/>
              <w:right w:val="single" w:color="auto" w:sz="4" w:space="0"/>
            </w:tcBorders>
            <w:vAlign w:val="center"/>
          </w:tcPr>
          <w:p w14:paraId="11A6E738">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4B01106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2DE4C8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252BABF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17710E68">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74276EF">
            <w:pPr>
              <w:widowControl/>
              <w:jc w:val="center"/>
              <w:rPr>
                <w:rFonts w:asciiTheme="minorEastAsia" w:hAnsiTheme="minorEastAsia" w:eastAsiaTheme="minorEastAsia"/>
                <w:kern w:val="0"/>
                <w:sz w:val="22"/>
                <w:szCs w:val="22"/>
              </w:rPr>
            </w:pPr>
          </w:p>
        </w:tc>
      </w:tr>
      <w:tr w14:paraId="2F342B01">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46DC72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1.10.4</w:t>
            </w:r>
          </w:p>
        </w:tc>
        <w:tc>
          <w:tcPr>
            <w:tcW w:w="2551" w:type="dxa"/>
            <w:tcBorders>
              <w:top w:val="nil"/>
              <w:left w:val="nil"/>
              <w:bottom w:val="single" w:color="auto" w:sz="4" w:space="0"/>
              <w:right w:val="single" w:color="auto" w:sz="4" w:space="0"/>
            </w:tcBorders>
            <w:vAlign w:val="center"/>
          </w:tcPr>
          <w:p w14:paraId="627DA809">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内衬层外防腐材料</w:t>
            </w:r>
          </w:p>
        </w:tc>
        <w:tc>
          <w:tcPr>
            <w:tcW w:w="2410" w:type="dxa"/>
            <w:tcBorders>
              <w:top w:val="nil"/>
              <w:left w:val="nil"/>
              <w:bottom w:val="single" w:color="auto" w:sz="4" w:space="0"/>
              <w:right w:val="single" w:color="auto" w:sz="4" w:space="0"/>
            </w:tcBorders>
            <w:vAlign w:val="center"/>
          </w:tcPr>
          <w:p w14:paraId="09A45A0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均匀涂抹沥青或包覆其他合适防腐材料</w:t>
            </w:r>
          </w:p>
        </w:tc>
        <w:tc>
          <w:tcPr>
            <w:tcW w:w="1417" w:type="dxa"/>
            <w:tcBorders>
              <w:top w:val="nil"/>
              <w:left w:val="nil"/>
              <w:bottom w:val="single" w:color="auto" w:sz="4" w:space="0"/>
              <w:right w:val="single" w:color="auto" w:sz="4" w:space="0"/>
            </w:tcBorders>
            <w:vAlign w:val="center"/>
          </w:tcPr>
          <w:p w14:paraId="011F9D70">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34E776B4">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2EC1A6E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562C5374">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7D8A6A6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2220C06">
            <w:pPr>
              <w:widowControl/>
              <w:jc w:val="center"/>
              <w:rPr>
                <w:rFonts w:asciiTheme="minorEastAsia" w:hAnsiTheme="minorEastAsia" w:eastAsiaTheme="minorEastAsia"/>
                <w:kern w:val="0"/>
                <w:sz w:val="22"/>
                <w:szCs w:val="22"/>
              </w:rPr>
            </w:pPr>
          </w:p>
        </w:tc>
      </w:tr>
      <w:tr w14:paraId="5FD3585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F62A39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1</w:t>
            </w:r>
          </w:p>
        </w:tc>
        <w:tc>
          <w:tcPr>
            <w:tcW w:w="13514" w:type="dxa"/>
            <w:gridSpan w:val="8"/>
            <w:tcBorders>
              <w:top w:val="nil"/>
              <w:left w:val="nil"/>
              <w:bottom w:val="single" w:color="auto" w:sz="4" w:space="0"/>
              <w:right w:val="single" w:color="auto" w:sz="4" w:space="0"/>
            </w:tcBorders>
            <w:vAlign w:val="center"/>
          </w:tcPr>
          <w:p w14:paraId="062BF7F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钢丝铠装（常规区段）</w:t>
            </w:r>
          </w:p>
        </w:tc>
      </w:tr>
      <w:tr w14:paraId="51A14C40">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9F0537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23BE40D0">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铠装单丝材质</w:t>
            </w:r>
          </w:p>
        </w:tc>
        <w:tc>
          <w:tcPr>
            <w:tcW w:w="2410" w:type="dxa"/>
            <w:tcBorders>
              <w:top w:val="nil"/>
              <w:left w:val="nil"/>
              <w:bottom w:val="single" w:color="auto" w:sz="4" w:space="0"/>
              <w:right w:val="single" w:color="auto" w:sz="4" w:space="0"/>
            </w:tcBorders>
            <w:vAlign w:val="center"/>
          </w:tcPr>
          <w:p w14:paraId="54C943D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镀锌钢丝</w:t>
            </w:r>
          </w:p>
        </w:tc>
        <w:tc>
          <w:tcPr>
            <w:tcW w:w="1417" w:type="dxa"/>
            <w:tcBorders>
              <w:top w:val="nil"/>
              <w:left w:val="nil"/>
              <w:bottom w:val="single" w:color="auto" w:sz="4" w:space="0"/>
              <w:right w:val="single" w:color="auto" w:sz="4" w:space="0"/>
            </w:tcBorders>
            <w:vAlign w:val="center"/>
          </w:tcPr>
          <w:p w14:paraId="483BF4CE">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3F2B660B">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7EF67A5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50C0BE0A">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0D475C7A">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5B37BCE">
            <w:pPr>
              <w:widowControl/>
              <w:jc w:val="center"/>
              <w:rPr>
                <w:rFonts w:asciiTheme="minorEastAsia" w:hAnsiTheme="minorEastAsia" w:eastAsiaTheme="minorEastAsia"/>
                <w:kern w:val="0"/>
                <w:sz w:val="22"/>
                <w:szCs w:val="22"/>
              </w:rPr>
            </w:pPr>
          </w:p>
        </w:tc>
      </w:tr>
      <w:tr w14:paraId="3B8EC78C">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3F718D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298148BA">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钢丝单丝抗拉强度</w:t>
            </w:r>
          </w:p>
        </w:tc>
        <w:tc>
          <w:tcPr>
            <w:tcW w:w="2410" w:type="dxa"/>
            <w:tcBorders>
              <w:top w:val="nil"/>
              <w:left w:val="nil"/>
              <w:bottom w:val="single" w:color="auto" w:sz="4" w:space="0"/>
              <w:right w:val="single" w:color="auto" w:sz="4" w:space="0"/>
            </w:tcBorders>
            <w:vAlign w:val="center"/>
          </w:tcPr>
          <w:p w14:paraId="5FCFBFC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w:t>
            </w:r>
            <w:r>
              <w:rPr>
                <w:rFonts w:asciiTheme="minorEastAsia" w:hAnsiTheme="minorEastAsia" w:eastAsiaTheme="minorEastAsia"/>
                <w:kern w:val="0"/>
                <w:sz w:val="22"/>
                <w:szCs w:val="22"/>
              </w:rPr>
              <w:t>45</w:t>
            </w:r>
            <w:r>
              <w:rPr>
                <w:rFonts w:hint="eastAsia" w:asciiTheme="minorEastAsia" w:hAnsiTheme="minorEastAsia" w:eastAsiaTheme="minorEastAsia"/>
                <w:kern w:val="0"/>
                <w:sz w:val="22"/>
                <w:szCs w:val="22"/>
              </w:rPr>
              <w:t>N</w:t>
            </w:r>
            <w:r>
              <w:rPr>
                <w:rFonts w:asciiTheme="minorEastAsia" w:hAnsiTheme="minorEastAsia" w:eastAsiaTheme="minorEastAsia"/>
                <w:kern w:val="0"/>
                <w:sz w:val="22"/>
                <w:szCs w:val="22"/>
              </w:rPr>
              <w:t>/mm</w:t>
            </w:r>
            <w:r>
              <w:rPr>
                <w:rFonts w:asciiTheme="minorEastAsia" w:hAnsiTheme="minorEastAsia" w:eastAsiaTheme="minorEastAsia"/>
                <w:kern w:val="0"/>
                <w:sz w:val="22"/>
                <w:szCs w:val="22"/>
                <w:vertAlign w:val="superscript"/>
              </w:rPr>
              <w:t>2</w:t>
            </w:r>
          </w:p>
        </w:tc>
        <w:tc>
          <w:tcPr>
            <w:tcW w:w="1417" w:type="dxa"/>
            <w:tcBorders>
              <w:top w:val="nil"/>
              <w:left w:val="nil"/>
              <w:bottom w:val="single" w:color="auto" w:sz="4" w:space="0"/>
              <w:right w:val="single" w:color="auto" w:sz="4" w:space="0"/>
            </w:tcBorders>
            <w:vAlign w:val="center"/>
          </w:tcPr>
          <w:p w14:paraId="3FFCA4E2">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5A4E546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A08FF9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1642D7BF">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1D5B6639">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66D5626">
            <w:pPr>
              <w:widowControl/>
              <w:jc w:val="center"/>
              <w:rPr>
                <w:rFonts w:asciiTheme="minorEastAsia" w:hAnsiTheme="minorEastAsia" w:eastAsiaTheme="minorEastAsia"/>
                <w:kern w:val="0"/>
                <w:sz w:val="22"/>
                <w:szCs w:val="22"/>
              </w:rPr>
            </w:pPr>
          </w:p>
        </w:tc>
      </w:tr>
      <w:tr w14:paraId="08A666A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F8A143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.3</w:t>
            </w:r>
          </w:p>
        </w:tc>
        <w:tc>
          <w:tcPr>
            <w:tcW w:w="2551" w:type="dxa"/>
            <w:tcBorders>
              <w:top w:val="nil"/>
              <w:left w:val="nil"/>
              <w:bottom w:val="single" w:color="auto" w:sz="4" w:space="0"/>
              <w:right w:val="single" w:color="auto" w:sz="4" w:space="0"/>
            </w:tcBorders>
            <w:vAlign w:val="center"/>
          </w:tcPr>
          <w:p w14:paraId="1F371B7D">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钢丝单丝外径</w:t>
            </w:r>
          </w:p>
        </w:tc>
        <w:tc>
          <w:tcPr>
            <w:tcW w:w="2410" w:type="dxa"/>
            <w:tcBorders>
              <w:top w:val="nil"/>
              <w:left w:val="nil"/>
              <w:bottom w:val="single" w:color="auto" w:sz="4" w:space="0"/>
              <w:right w:val="single" w:color="auto" w:sz="4" w:space="0"/>
            </w:tcBorders>
            <w:vAlign w:val="center"/>
          </w:tcPr>
          <w:p w14:paraId="20264E3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7893A2F1">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52DEE74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C5B155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5D4D705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7EDB57A6">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3FBE754A">
            <w:pPr>
              <w:widowControl/>
              <w:jc w:val="center"/>
              <w:rPr>
                <w:rFonts w:asciiTheme="minorEastAsia" w:hAnsiTheme="minorEastAsia" w:eastAsiaTheme="minorEastAsia"/>
                <w:kern w:val="0"/>
                <w:sz w:val="22"/>
                <w:szCs w:val="22"/>
              </w:rPr>
            </w:pPr>
          </w:p>
        </w:tc>
      </w:tr>
      <w:tr w14:paraId="53AB6336">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2BC2B0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.4</w:t>
            </w:r>
          </w:p>
        </w:tc>
        <w:tc>
          <w:tcPr>
            <w:tcW w:w="2551" w:type="dxa"/>
            <w:tcBorders>
              <w:top w:val="nil"/>
              <w:left w:val="nil"/>
              <w:bottom w:val="single" w:color="auto" w:sz="4" w:space="0"/>
              <w:right w:val="single" w:color="auto" w:sz="4" w:space="0"/>
            </w:tcBorders>
            <w:vAlign w:val="center"/>
          </w:tcPr>
          <w:p w14:paraId="37CB344F">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铠装根数</w:t>
            </w:r>
          </w:p>
        </w:tc>
        <w:tc>
          <w:tcPr>
            <w:tcW w:w="2410" w:type="dxa"/>
            <w:tcBorders>
              <w:top w:val="nil"/>
              <w:left w:val="nil"/>
              <w:bottom w:val="single" w:color="auto" w:sz="4" w:space="0"/>
              <w:right w:val="single" w:color="auto" w:sz="4" w:space="0"/>
            </w:tcBorders>
            <w:vAlign w:val="center"/>
          </w:tcPr>
          <w:p w14:paraId="09A29E4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3E9EF2FE">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72DCD50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1CE4ACA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0BC0777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71B48A57">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362C1195">
            <w:pPr>
              <w:widowControl/>
              <w:jc w:val="center"/>
              <w:rPr>
                <w:rFonts w:asciiTheme="minorEastAsia" w:hAnsiTheme="minorEastAsia" w:eastAsiaTheme="minorEastAsia"/>
                <w:kern w:val="0"/>
                <w:sz w:val="22"/>
                <w:szCs w:val="22"/>
              </w:rPr>
            </w:pPr>
          </w:p>
        </w:tc>
      </w:tr>
      <w:tr w14:paraId="2BBA376D">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109DF8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.5</w:t>
            </w:r>
          </w:p>
        </w:tc>
        <w:tc>
          <w:tcPr>
            <w:tcW w:w="2551" w:type="dxa"/>
            <w:tcBorders>
              <w:top w:val="nil"/>
              <w:left w:val="nil"/>
              <w:bottom w:val="single" w:color="auto" w:sz="4" w:space="0"/>
              <w:right w:val="single" w:color="auto" w:sz="4" w:space="0"/>
            </w:tcBorders>
            <w:vAlign w:val="center"/>
          </w:tcPr>
          <w:p w14:paraId="22D19191">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铠装层外径</w:t>
            </w:r>
          </w:p>
        </w:tc>
        <w:tc>
          <w:tcPr>
            <w:tcW w:w="2410" w:type="dxa"/>
            <w:tcBorders>
              <w:top w:val="nil"/>
              <w:left w:val="nil"/>
              <w:bottom w:val="single" w:color="auto" w:sz="4" w:space="0"/>
              <w:right w:val="single" w:color="auto" w:sz="4" w:space="0"/>
            </w:tcBorders>
            <w:vAlign w:val="center"/>
          </w:tcPr>
          <w:p w14:paraId="5CCA38D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54F2C5A0">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0094763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A874BA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136E50A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0A194687">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6B36870">
            <w:pPr>
              <w:widowControl/>
              <w:jc w:val="center"/>
              <w:rPr>
                <w:rFonts w:asciiTheme="minorEastAsia" w:hAnsiTheme="minorEastAsia" w:eastAsiaTheme="minorEastAsia"/>
                <w:kern w:val="0"/>
                <w:sz w:val="22"/>
                <w:szCs w:val="22"/>
              </w:rPr>
            </w:pPr>
          </w:p>
        </w:tc>
      </w:tr>
      <w:tr w14:paraId="2C021DF4">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1ED26E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2</w:t>
            </w:r>
          </w:p>
        </w:tc>
        <w:tc>
          <w:tcPr>
            <w:tcW w:w="13514" w:type="dxa"/>
            <w:gridSpan w:val="8"/>
            <w:tcBorders>
              <w:top w:val="nil"/>
              <w:left w:val="nil"/>
              <w:bottom w:val="single" w:color="auto" w:sz="4" w:space="0"/>
              <w:right w:val="single" w:color="auto" w:sz="4" w:space="0"/>
            </w:tcBorders>
            <w:vAlign w:val="center"/>
          </w:tcPr>
          <w:p w14:paraId="21FAC27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铜丝铠装（两端定向钻段）</w:t>
            </w:r>
          </w:p>
        </w:tc>
      </w:tr>
      <w:tr w14:paraId="55594436">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843D64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2</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0D7F79CC">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铠装单丝材质</w:t>
            </w:r>
          </w:p>
        </w:tc>
        <w:tc>
          <w:tcPr>
            <w:tcW w:w="2410" w:type="dxa"/>
            <w:tcBorders>
              <w:top w:val="nil"/>
              <w:left w:val="nil"/>
              <w:bottom w:val="single" w:color="auto" w:sz="4" w:space="0"/>
              <w:right w:val="single" w:color="auto" w:sz="4" w:space="0"/>
            </w:tcBorders>
            <w:vAlign w:val="center"/>
          </w:tcPr>
          <w:p w14:paraId="6E70361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圆铜丝或扁铜丝</w:t>
            </w:r>
          </w:p>
        </w:tc>
        <w:tc>
          <w:tcPr>
            <w:tcW w:w="1417" w:type="dxa"/>
            <w:tcBorders>
              <w:top w:val="nil"/>
              <w:left w:val="nil"/>
              <w:bottom w:val="single" w:color="auto" w:sz="4" w:space="0"/>
              <w:right w:val="single" w:color="auto" w:sz="4" w:space="0"/>
            </w:tcBorders>
            <w:vAlign w:val="center"/>
          </w:tcPr>
          <w:p w14:paraId="61D7E5EC">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329C795C">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37E8841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6E20D6CC">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7CDD4BE3">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0B5465D">
            <w:pPr>
              <w:widowControl/>
              <w:jc w:val="center"/>
              <w:rPr>
                <w:rFonts w:asciiTheme="minorEastAsia" w:hAnsiTheme="minorEastAsia" w:eastAsiaTheme="minorEastAsia"/>
                <w:kern w:val="0"/>
                <w:sz w:val="22"/>
                <w:szCs w:val="22"/>
              </w:rPr>
            </w:pPr>
          </w:p>
        </w:tc>
      </w:tr>
      <w:tr w14:paraId="2EBA647F">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5C9AB11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2</w:t>
            </w:r>
            <w:r>
              <w:rPr>
                <w:rFonts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3587D722">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铜丝单丝抗拉强度</w:t>
            </w:r>
          </w:p>
        </w:tc>
        <w:tc>
          <w:tcPr>
            <w:tcW w:w="2410" w:type="dxa"/>
            <w:tcBorders>
              <w:top w:val="nil"/>
              <w:left w:val="nil"/>
              <w:bottom w:val="single" w:color="auto" w:sz="4" w:space="0"/>
              <w:right w:val="single" w:color="auto" w:sz="4" w:space="0"/>
            </w:tcBorders>
            <w:vAlign w:val="center"/>
          </w:tcPr>
          <w:p w14:paraId="3754F3C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w:t>
            </w:r>
            <w:r>
              <w:rPr>
                <w:rFonts w:asciiTheme="minorEastAsia" w:hAnsiTheme="minorEastAsia" w:eastAsiaTheme="minorEastAsia"/>
                <w:kern w:val="0"/>
                <w:sz w:val="22"/>
                <w:szCs w:val="22"/>
              </w:rPr>
              <w:t>45</w:t>
            </w:r>
            <w:r>
              <w:rPr>
                <w:rFonts w:hint="eastAsia" w:asciiTheme="minorEastAsia" w:hAnsiTheme="minorEastAsia" w:eastAsiaTheme="minorEastAsia"/>
                <w:kern w:val="0"/>
                <w:sz w:val="22"/>
                <w:szCs w:val="22"/>
              </w:rPr>
              <w:t>N</w:t>
            </w:r>
            <w:r>
              <w:rPr>
                <w:rFonts w:asciiTheme="minorEastAsia" w:hAnsiTheme="minorEastAsia" w:eastAsiaTheme="minorEastAsia"/>
                <w:kern w:val="0"/>
                <w:sz w:val="22"/>
                <w:szCs w:val="22"/>
              </w:rPr>
              <w:t>/mm</w:t>
            </w:r>
            <w:r>
              <w:rPr>
                <w:rFonts w:asciiTheme="minorEastAsia" w:hAnsiTheme="minorEastAsia" w:eastAsiaTheme="minorEastAsia"/>
                <w:kern w:val="0"/>
                <w:sz w:val="22"/>
                <w:szCs w:val="22"/>
                <w:vertAlign w:val="superscript"/>
              </w:rPr>
              <w:t>2</w:t>
            </w:r>
          </w:p>
        </w:tc>
        <w:tc>
          <w:tcPr>
            <w:tcW w:w="1417" w:type="dxa"/>
            <w:tcBorders>
              <w:top w:val="nil"/>
              <w:left w:val="nil"/>
              <w:bottom w:val="single" w:color="auto" w:sz="4" w:space="0"/>
              <w:right w:val="single" w:color="auto" w:sz="4" w:space="0"/>
            </w:tcBorders>
            <w:vAlign w:val="center"/>
          </w:tcPr>
          <w:p w14:paraId="51196E50">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57A9DC6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2A7990D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14B5989D">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15AC8E16">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17D3ADAC">
            <w:pPr>
              <w:widowControl/>
              <w:jc w:val="center"/>
              <w:rPr>
                <w:rFonts w:asciiTheme="minorEastAsia" w:hAnsiTheme="minorEastAsia" w:eastAsiaTheme="minorEastAsia"/>
                <w:kern w:val="0"/>
                <w:sz w:val="22"/>
                <w:szCs w:val="22"/>
              </w:rPr>
            </w:pPr>
          </w:p>
        </w:tc>
      </w:tr>
      <w:tr w14:paraId="581A7F7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FAE1AC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2</w:t>
            </w:r>
            <w:r>
              <w:rPr>
                <w:rFonts w:asciiTheme="minorEastAsia" w:hAnsiTheme="minorEastAsia" w:eastAsiaTheme="minorEastAsia"/>
                <w:kern w:val="0"/>
                <w:sz w:val="22"/>
                <w:szCs w:val="22"/>
              </w:rPr>
              <w:t>.3</w:t>
            </w:r>
          </w:p>
        </w:tc>
        <w:tc>
          <w:tcPr>
            <w:tcW w:w="2551" w:type="dxa"/>
            <w:tcBorders>
              <w:top w:val="nil"/>
              <w:left w:val="nil"/>
              <w:bottom w:val="single" w:color="auto" w:sz="4" w:space="0"/>
              <w:right w:val="single" w:color="auto" w:sz="4" w:space="0"/>
            </w:tcBorders>
            <w:vAlign w:val="center"/>
          </w:tcPr>
          <w:p w14:paraId="15461871">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铜丝单丝外径</w:t>
            </w:r>
          </w:p>
        </w:tc>
        <w:tc>
          <w:tcPr>
            <w:tcW w:w="2410" w:type="dxa"/>
            <w:tcBorders>
              <w:top w:val="nil"/>
              <w:left w:val="nil"/>
              <w:bottom w:val="single" w:color="auto" w:sz="4" w:space="0"/>
              <w:right w:val="single" w:color="auto" w:sz="4" w:space="0"/>
            </w:tcBorders>
            <w:vAlign w:val="center"/>
          </w:tcPr>
          <w:p w14:paraId="3D2459D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3697DFE1">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7B7492D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232A66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2C26F5A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6DAB6DB2">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49C37EE">
            <w:pPr>
              <w:widowControl/>
              <w:jc w:val="center"/>
              <w:rPr>
                <w:rFonts w:asciiTheme="minorEastAsia" w:hAnsiTheme="minorEastAsia" w:eastAsiaTheme="minorEastAsia"/>
                <w:kern w:val="0"/>
                <w:sz w:val="22"/>
                <w:szCs w:val="22"/>
              </w:rPr>
            </w:pPr>
          </w:p>
        </w:tc>
      </w:tr>
      <w:tr w14:paraId="15764A6F">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B983E6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2</w:t>
            </w:r>
            <w:r>
              <w:rPr>
                <w:rFonts w:asciiTheme="minorEastAsia" w:hAnsiTheme="minorEastAsia" w:eastAsiaTheme="minorEastAsia"/>
                <w:kern w:val="0"/>
                <w:sz w:val="22"/>
                <w:szCs w:val="22"/>
              </w:rPr>
              <w:t>.4</w:t>
            </w:r>
          </w:p>
        </w:tc>
        <w:tc>
          <w:tcPr>
            <w:tcW w:w="2551" w:type="dxa"/>
            <w:tcBorders>
              <w:top w:val="nil"/>
              <w:left w:val="nil"/>
              <w:bottom w:val="single" w:color="auto" w:sz="4" w:space="0"/>
              <w:right w:val="single" w:color="auto" w:sz="4" w:space="0"/>
            </w:tcBorders>
            <w:vAlign w:val="center"/>
          </w:tcPr>
          <w:p w14:paraId="6A9E2D1C">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铠装根数</w:t>
            </w:r>
          </w:p>
        </w:tc>
        <w:tc>
          <w:tcPr>
            <w:tcW w:w="2410" w:type="dxa"/>
            <w:tcBorders>
              <w:top w:val="nil"/>
              <w:left w:val="nil"/>
              <w:bottom w:val="single" w:color="auto" w:sz="4" w:space="0"/>
              <w:right w:val="single" w:color="auto" w:sz="4" w:space="0"/>
            </w:tcBorders>
            <w:vAlign w:val="center"/>
          </w:tcPr>
          <w:p w14:paraId="5135808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0C8FE64D">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0782E11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r>
              <w:rPr>
                <w:rFonts w:asciiTheme="minorEastAsia" w:hAnsiTheme="minorEastAsia" w:eastAsiaTheme="minorEastAsia"/>
                <w:kern w:val="0"/>
                <w:sz w:val="22"/>
                <w:szCs w:val="22"/>
              </w:rPr>
              <w:t>135</w:t>
            </w:r>
          </w:p>
        </w:tc>
        <w:tc>
          <w:tcPr>
            <w:tcW w:w="1559" w:type="dxa"/>
            <w:tcBorders>
              <w:top w:val="nil"/>
              <w:left w:val="nil"/>
              <w:bottom w:val="single" w:color="auto" w:sz="4" w:space="0"/>
              <w:right w:val="single" w:color="auto" w:sz="4" w:space="0"/>
            </w:tcBorders>
            <w:vAlign w:val="center"/>
          </w:tcPr>
          <w:p w14:paraId="4302871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5304BB9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779C9771">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D6ACE39">
            <w:pPr>
              <w:widowControl/>
              <w:jc w:val="center"/>
              <w:rPr>
                <w:rFonts w:asciiTheme="minorEastAsia" w:hAnsiTheme="minorEastAsia" w:eastAsiaTheme="minorEastAsia"/>
                <w:kern w:val="0"/>
                <w:sz w:val="22"/>
                <w:szCs w:val="22"/>
              </w:rPr>
            </w:pPr>
          </w:p>
        </w:tc>
      </w:tr>
      <w:tr w14:paraId="030D4BBA">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612431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2</w:t>
            </w:r>
            <w:r>
              <w:rPr>
                <w:rFonts w:asciiTheme="minorEastAsia" w:hAnsiTheme="minorEastAsia" w:eastAsiaTheme="minorEastAsia"/>
                <w:kern w:val="0"/>
                <w:sz w:val="22"/>
                <w:szCs w:val="22"/>
              </w:rPr>
              <w:t>.5</w:t>
            </w:r>
          </w:p>
        </w:tc>
        <w:tc>
          <w:tcPr>
            <w:tcW w:w="2551" w:type="dxa"/>
            <w:tcBorders>
              <w:top w:val="nil"/>
              <w:left w:val="nil"/>
              <w:bottom w:val="single" w:color="auto" w:sz="4" w:space="0"/>
              <w:right w:val="single" w:color="auto" w:sz="4" w:space="0"/>
            </w:tcBorders>
            <w:vAlign w:val="center"/>
          </w:tcPr>
          <w:p w14:paraId="35A5919E">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铠装层外径</w:t>
            </w:r>
          </w:p>
        </w:tc>
        <w:tc>
          <w:tcPr>
            <w:tcW w:w="2410" w:type="dxa"/>
            <w:tcBorders>
              <w:top w:val="nil"/>
              <w:left w:val="nil"/>
              <w:bottom w:val="single" w:color="auto" w:sz="4" w:space="0"/>
              <w:right w:val="single" w:color="auto" w:sz="4" w:space="0"/>
            </w:tcBorders>
            <w:vAlign w:val="center"/>
          </w:tcPr>
          <w:p w14:paraId="2BD02B6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6C1DA917">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48ECCAA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F27F0F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7A5319D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6112B068">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5067042">
            <w:pPr>
              <w:widowControl/>
              <w:jc w:val="center"/>
              <w:rPr>
                <w:rFonts w:asciiTheme="minorEastAsia" w:hAnsiTheme="minorEastAsia" w:eastAsiaTheme="minorEastAsia"/>
                <w:kern w:val="0"/>
                <w:sz w:val="22"/>
                <w:szCs w:val="22"/>
              </w:rPr>
            </w:pPr>
          </w:p>
        </w:tc>
      </w:tr>
      <w:tr w14:paraId="55DC336D">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01ED77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3</w:t>
            </w:r>
          </w:p>
        </w:tc>
        <w:tc>
          <w:tcPr>
            <w:tcW w:w="13514" w:type="dxa"/>
            <w:gridSpan w:val="8"/>
            <w:tcBorders>
              <w:top w:val="nil"/>
              <w:left w:val="nil"/>
              <w:bottom w:val="single" w:color="auto" w:sz="4" w:space="0"/>
              <w:right w:val="single" w:color="auto" w:sz="4" w:space="0"/>
            </w:tcBorders>
            <w:vAlign w:val="center"/>
          </w:tcPr>
          <w:p w14:paraId="2A3BDEB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外被层</w:t>
            </w:r>
          </w:p>
        </w:tc>
      </w:tr>
      <w:tr w14:paraId="2B515B3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BADBCB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3</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532E2D7F">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材质</w:t>
            </w:r>
          </w:p>
        </w:tc>
        <w:tc>
          <w:tcPr>
            <w:tcW w:w="2410" w:type="dxa"/>
            <w:tcBorders>
              <w:top w:val="nil"/>
              <w:left w:val="nil"/>
              <w:bottom w:val="single" w:color="auto" w:sz="4" w:space="0"/>
              <w:right w:val="single" w:color="auto" w:sz="4" w:space="0"/>
            </w:tcBorders>
            <w:vAlign w:val="center"/>
          </w:tcPr>
          <w:p w14:paraId="2D9439C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聚丙烯绳</w:t>
            </w:r>
          </w:p>
        </w:tc>
        <w:tc>
          <w:tcPr>
            <w:tcW w:w="1417" w:type="dxa"/>
            <w:tcBorders>
              <w:top w:val="nil"/>
              <w:left w:val="nil"/>
              <w:bottom w:val="single" w:color="auto" w:sz="4" w:space="0"/>
              <w:right w:val="single" w:color="auto" w:sz="4" w:space="0"/>
            </w:tcBorders>
            <w:vAlign w:val="center"/>
          </w:tcPr>
          <w:p w14:paraId="2A795C90">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0CE0CEE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276EAF3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5C4594E5">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746DF7F2">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39CDE830">
            <w:pPr>
              <w:widowControl/>
              <w:jc w:val="center"/>
              <w:rPr>
                <w:rFonts w:asciiTheme="minorEastAsia" w:hAnsiTheme="minorEastAsia" w:eastAsiaTheme="minorEastAsia"/>
                <w:kern w:val="0"/>
                <w:sz w:val="22"/>
                <w:szCs w:val="22"/>
              </w:rPr>
            </w:pPr>
          </w:p>
        </w:tc>
      </w:tr>
      <w:tr w14:paraId="0C855F8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B254EC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3</w:t>
            </w:r>
            <w:r>
              <w:rPr>
                <w:rFonts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114B3309">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厚度</w:t>
            </w:r>
          </w:p>
        </w:tc>
        <w:tc>
          <w:tcPr>
            <w:tcW w:w="2410" w:type="dxa"/>
            <w:tcBorders>
              <w:top w:val="nil"/>
              <w:left w:val="nil"/>
              <w:bottom w:val="single" w:color="auto" w:sz="4" w:space="0"/>
              <w:right w:val="single" w:color="auto" w:sz="4" w:space="0"/>
            </w:tcBorders>
            <w:vAlign w:val="center"/>
          </w:tcPr>
          <w:p w14:paraId="0CF1898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4.0mm</w:t>
            </w:r>
          </w:p>
        </w:tc>
        <w:tc>
          <w:tcPr>
            <w:tcW w:w="1417" w:type="dxa"/>
            <w:tcBorders>
              <w:top w:val="nil"/>
              <w:left w:val="nil"/>
              <w:bottom w:val="single" w:color="auto" w:sz="4" w:space="0"/>
              <w:right w:val="single" w:color="auto" w:sz="4" w:space="0"/>
            </w:tcBorders>
            <w:vAlign w:val="center"/>
          </w:tcPr>
          <w:p w14:paraId="2936E9A6">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3AAE4FB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C34BAC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1DED5C7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3600758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AAA90E4">
            <w:pPr>
              <w:widowControl/>
              <w:jc w:val="center"/>
              <w:rPr>
                <w:rFonts w:asciiTheme="minorEastAsia" w:hAnsiTheme="minorEastAsia" w:eastAsiaTheme="minorEastAsia"/>
                <w:kern w:val="0"/>
                <w:sz w:val="22"/>
                <w:szCs w:val="22"/>
              </w:rPr>
            </w:pPr>
          </w:p>
        </w:tc>
      </w:tr>
      <w:tr w14:paraId="5B6E19B5">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3AEC30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3</w:t>
            </w:r>
            <w:r>
              <w:rPr>
                <w:rFonts w:asciiTheme="minorEastAsia" w:hAnsiTheme="minorEastAsia" w:eastAsiaTheme="minorEastAsia"/>
                <w:kern w:val="0"/>
                <w:sz w:val="22"/>
                <w:szCs w:val="22"/>
              </w:rPr>
              <w:t>.3</w:t>
            </w:r>
          </w:p>
        </w:tc>
        <w:tc>
          <w:tcPr>
            <w:tcW w:w="2551" w:type="dxa"/>
            <w:tcBorders>
              <w:top w:val="nil"/>
              <w:left w:val="nil"/>
              <w:bottom w:val="single" w:color="auto" w:sz="4" w:space="0"/>
              <w:right w:val="single" w:color="auto" w:sz="4" w:space="0"/>
            </w:tcBorders>
            <w:vAlign w:val="center"/>
          </w:tcPr>
          <w:p w14:paraId="127D4049">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颜色及色标</w:t>
            </w:r>
          </w:p>
        </w:tc>
        <w:tc>
          <w:tcPr>
            <w:tcW w:w="2410" w:type="dxa"/>
            <w:tcBorders>
              <w:top w:val="nil"/>
              <w:left w:val="nil"/>
              <w:bottom w:val="single" w:color="auto" w:sz="4" w:space="0"/>
              <w:right w:val="single" w:color="auto" w:sz="4" w:space="0"/>
            </w:tcBorders>
            <w:vAlign w:val="center"/>
          </w:tcPr>
          <w:p w14:paraId="6A17E87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323EF78D">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34ABA48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等节距黄色带</w:t>
            </w:r>
          </w:p>
        </w:tc>
        <w:tc>
          <w:tcPr>
            <w:tcW w:w="1559" w:type="dxa"/>
            <w:tcBorders>
              <w:top w:val="nil"/>
              <w:left w:val="nil"/>
              <w:bottom w:val="single" w:color="auto" w:sz="4" w:space="0"/>
              <w:right w:val="single" w:color="auto" w:sz="4" w:space="0"/>
            </w:tcBorders>
            <w:vAlign w:val="center"/>
          </w:tcPr>
          <w:p w14:paraId="37D3B3B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4FA38505">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4F32FA77">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1BF856A">
            <w:pPr>
              <w:widowControl/>
              <w:jc w:val="center"/>
              <w:rPr>
                <w:rFonts w:asciiTheme="minorEastAsia" w:hAnsiTheme="minorEastAsia" w:eastAsiaTheme="minorEastAsia"/>
                <w:kern w:val="0"/>
                <w:sz w:val="22"/>
                <w:szCs w:val="22"/>
              </w:rPr>
            </w:pPr>
          </w:p>
        </w:tc>
      </w:tr>
      <w:tr w14:paraId="664BB7CB">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9DD2BA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4</w:t>
            </w:r>
          </w:p>
        </w:tc>
        <w:tc>
          <w:tcPr>
            <w:tcW w:w="13514" w:type="dxa"/>
            <w:gridSpan w:val="8"/>
            <w:tcBorders>
              <w:top w:val="nil"/>
              <w:left w:val="nil"/>
              <w:bottom w:val="single" w:color="auto" w:sz="4" w:space="0"/>
              <w:right w:val="single" w:color="auto" w:sz="4" w:space="0"/>
            </w:tcBorders>
            <w:vAlign w:val="center"/>
          </w:tcPr>
          <w:p w14:paraId="24E0FCB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防腐层</w:t>
            </w:r>
          </w:p>
        </w:tc>
      </w:tr>
      <w:tr w14:paraId="22D0CA0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01D6D33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4</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2972CBF7">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材质</w:t>
            </w:r>
          </w:p>
        </w:tc>
        <w:tc>
          <w:tcPr>
            <w:tcW w:w="2410" w:type="dxa"/>
            <w:tcBorders>
              <w:top w:val="nil"/>
              <w:left w:val="nil"/>
              <w:bottom w:val="single" w:color="auto" w:sz="4" w:space="0"/>
              <w:right w:val="single" w:color="auto" w:sz="4" w:space="0"/>
            </w:tcBorders>
            <w:vAlign w:val="center"/>
          </w:tcPr>
          <w:p w14:paraId="34077F6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均匀涂抹沥青或其他合适防腐材料</w:t>
            </w:r>
          </w:p>
        </w:tc>
        <w:tc>
          <w:tcPr>
            <w:tcW w:w="1417" w:type="dxa"/>
            <w:tcBorders>
              <w:top w:val="nil"/>
              <w:left w:val="nil"/>
              <w:bottom w:val="single" w:color="auto" w:sz="4" w:space="0"/>
              <w:right w:val="single" w:color="auto" w:sz="4" w:space="0"/>
            </w:tcBorders>
            <w:vAlign w:val="center"/>
          </w:tcPr>
          <w:p w14:paraId="1EB04806">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6BC7D65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C76780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17E6CBC1">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0C237BAA">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84BE659">
            <w:pPr>
              <w:widowControl/>
              <w:jc w:val="center"/>
              <w:rPr>
                <w:rFonts w:asciiTheme="minorEastAsia" w:hAnsiTheme="minorEastAsia" w:eastAsiaTheme="minorEastAsia"/>
                <w:kern w:val="0"/>
                <w:sz w:val="22"/>
                <w:szCs w:val="22"/>
              </w:rPr>
            </w:pPr>
          </w:p>
        </w:tc>
      </w:tr>
      <w:tr w14:paraId="3D30C3D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EE29B3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4</w:t>
            </w:r>
            <w:r>
              <w:rPr>
                <w:rFonts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1669B426">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厚度</w:t>
            </w:r>
          </w:p>
        </w:tc>
        <w:tc>
          <w:tcPr>
            <w:tcW w:w="2410" w:type="dxa"/>
            <w:tcBorders>
              <w:top w:val="nil"/>
              <w:left w:val="nil"/>
              <w:bottom w:val="single" w:color="auto" w:sz="4" w:space="0"/>
              <w:right w:val="single" w:color="auto" w:sz="4" w:space="0"/>
            </w:tcBorders>
            <w:vAlign w:val="center"/>
          </w:tcPr>
          <w:p w14:paraId="7030D27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1C0830EC">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01499F0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066D2D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03B27EC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71B5ADDA">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1DB82AB">
            <w:pPr>
              <w:widowControl/>
              <w:jc w:val="center"/>
              <w:rPr>
                <w:rFonts w:asciiTheme="minorEastAsia" w:hAnsiTheme="minorEastAsia" w:eastAsiaTheme="minorEastAsia"/>
                <w:kern w:val="0"/>
                <w:sz w:val="22"/>
                <w:szCs w:val="22"/>
              </w:rPr>
            </w:pPr>
          </w:p>
        </w:tc>
      </w:tr>
      <w:tr w14:paraId="2BAD5A65">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2D61AA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5</w:t>
            </w:r>
          </w:p>
        </w:tc>
        <w:tc>
          <w:tcPr>
            <w:tcW w:w="13514" w:type="dxa"/>
            <w:gridSpan w:val="8"/>
            <w:tcBorders>
              <w:top w:val="nil"/>
              <w:left w:val="nil"/>
              <w:bottom w:val="single" w:color="auto" w:sz="4" w:space="0"/>
              <w:right w:val="single" w:color="auto" w:sz="4" w:space="0"/>
            </w:tcBorders>
            <w:vAlign w:val="center"/>
          </w:tcPr>
          <w:p w14:paraId="3AC827D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成缆机械性能</w:t>
            </w:r>
          </w:p>
        </w:tc>
      </w:tr>
      <w:tr w14:paraId="19AF7AE1">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4718EC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5</w:t>
            </w:r>
            <w:r>
              <w:rPr>
                <w:rFonts w:asciiTheme="minorEastAsia" w:hAnsiTheme="minorEastAsia" w:eastAsiaTheme="minorEastAsia"/>
                <w:kern w:val="0"/>
                <w:sz w:val="22"/>
                <w:szCs w:val="22"/>
              </w:rPr>
              <w:t>.1</w:t>
            </w:r>
          </w:p>
        </w:tc>
        <w:tc>
          <w:tcPr>
            <w:tcW w:w="2551" w:type="dxa"/>
            <w:tcBorders>
              <w:top w:val="nil"/>
              <w:left w:val="nil"/>
              <w:bottom w:val="single" w:color="auto" w:sz="4" w:space="0"/>
              <w:right w:val="single" w:color="auto" w:sz="4" w:space="0"/>
            </w:tcBorders>
            <w:vAlign w:val="center"/>
          </w:tcPr>
          <w:p w14:paraId="037E9FEB">
            <w:pPr>
              <w:widowControl/>
              <w:jc w:val="left"/>
              <w:rPr>
                <w:rFonts w:asciiTheme="minorEastAsia" w:hAnsiTheme="minorEastAsia" w:eastAsiaTheme="minorEastAsia"/>
                <w:kern w:val="0"/>
                <w:sz w:val="22"/>
                <w:szCs w:val="22"/>
              </w:rPr>
            </w:pPr>
            <w:r>
              <w:rPr>
                <w:rFonts w:asciiTheme="minorEastAsia" w:hAnsiTheme="minorEastAsia" w:eastAsiaTheme="minorEastAsia"/>
                <w:sz w:val="22"/>
                <w:szCs w:val="22"/>
              </w:rPr>
              <w:t>海缆允许</w:t>
            </w:r>
            <w:r>
              <w:rPr>
                <w:rFonts w:hint="eastAsia" w:asciiTheme="minorEastAsia" w:hAnsiTheme="minorEastAsia" w:eastAsiaTheme="minorEastAsia"/>
                <w:sz w:val="22"/>
                <w:szCs w:val="22"/>
              </w:rPr>
              <w:t>最小</w:t>
            </w:r>
            <w:r>
              <w:rPr>
                <w:rFonts w:asciiTheme="minorEastAsia" w:hAnsiTheme="minorEastAsia" w:eastAsiaTheme="minorEastAsia"/>
                <w:sz w:val="22"/>
                <w:szCs w:val="22"/>
              </w:rPr>
              <w:t>弯曲半径（敷设时/运行时）</w:t>
            </w:r>
          </w:p>
        </w:tc>
        <w:tc>
          <w:tcPr>
            <w:tcW w:w="2410" w:type="dxa"/>
            <w:tcBorders>
              <w:top w:val="nil"/>
              <w:left w:val="nil"/>
              <w:bottom w:val="single" w:color="auto" w:sz="4" w:space="0"/>
              <w:right w:val="single" w:color="auto" w:sz="4" w:space="0"/>
            </w:tcBorders>
            <w:vAlign w:val="center"/>
          </w:tcPr>
          <w:p w14:paraId="2BC99C0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w:t>
            </w:r>
            <w:r>
              <w:rPr>
                <w:rFonts w:asciiTheme="minorEastAsia" w:hAnsiTheme="minorEastAsia" w:eastAsiaTheme="minorEastAsia"/>
                <w:kern w:val="0"/>
                <w:sz w:val="22"/>
                <w:szCs w:val="22"/>
              </w:rPr>
              <w:t>0</w:t>
            </w:r>
            <w:r>
              <w:rPr>
                <w:rFonts w:hint="eastAsia" w:asciiTheme="minorEastAsia" w:hAnsiTheme="minorEastAsia" w:eastAsiaTheme="minorEastAsia"/>
                <w:kern w:val="0"/>
                <w:sz w:val="22"/>
                <w:szCs w:val="22"/>
              </w:rPr>
              <w:t>倍海缆外径</w:t>
            </w:r>
          </w:p>
        </w:tc>
        <w:tc>
          <w:tcPr>
            <w:tcW w:w="1417" w:type="dxa"/>
            <w:tcBorders>
              <w:top w:val="nil"/>
              <w:left w:val="nil"/>
              <w:bottom w:val="single" w:color="auto" w:sz="4" w:space="0"/>
              <w:right w:val="single" w:color="auto" w:sz="4" w:space="0"/>
            </w:tcBorders>
            <w:vAlign w:val="center"/>
          </w:tcPr>
          <w:p w14:paraId="70730E48">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08F7CF4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25D798A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投标方填写（文字型）</w:t>
            </w:r>
          </w:p>
        </w:tc>
        <w:tc>
          <w:tcPr>
            <w:tcW w:w="1134" w:type="dxa"/>
            <w:tcBorders>
              <w:top w:val="nil"/>
              <w:left w:val="nil"/>
              <w:bottom w:val="single" w:color="auto" w:sz="4" w:space="0"/>
              <w:right w:val="single" w:color="auto" w:sz="4" w:space="0"/>
            </w:tcBorders>
            <w:vAlign w:val="center"/>
          </w:tcPr>
          <w:p w14:paraId="5B0831E8">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646F790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383FDE2">
            <w:pPr>
              <w:widowControl/>
              <w:jc w:val="center"/>
              <w:rPr>
                <w:rFonts w:asciiTheme="minorEastAsia" w:hAnsiTheme="minorEastAsia" w:eastAsiaTheme="minorEastAsia"/>
                <w:kern w:val="0"/>
                <w:sz w:val="22"/>
                <w:szCs w:val="22"/>
              </w:rPr>
            </w:pPr>
          </w:p>
        </w:tc>
      </w:tr>
      <w:tr w14:paraId="794CBEE4">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C09D0E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5</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2</w:t>
            </w:r>
          </w:p>
        </w:tc>
        <w:tc>
          <w:tcPr>
            <w:tcW w:w="2551" w:type="dxa"/>
            <w:tcBorders>
              <w:top w:val="nil"/>
              <w:left w:val="nil"/>
              <w:bottom w:val="single" w:color="auto" w:sz="4" w:space="0"/>
              <w:right w:val="single" w:color="auto" w:sz="4" w:space="0"/>
            </w:tcBorders>
            <w:vAlign w:val="center"/>
          </w:tcPr>
          <w:p w14:paraId="1FA0B6A4">
            <w:pPr>
              <w:widowControl/>
              <w:jc w:val="left"/>
              <w:rPr>
                <w:rFonts w:asciiTheme="minorEastAsia" w:hAnsiTheme="minorEastAsia" w:eastAsiaTheme="minorEastAsia"/>
                <w:kern w:val="0"/>
                <w:sz w:val="22"/>
                <w:szCs w:val="22"/>
              </w:rPr>
            </w:pPr>
            <w:r>
              <w:rPr>
                <w:rFonts w:hint="eastAsia" w:asciiTheme="minorEastAsia" w:hAnsiTheme="minorEastAsia" w:eastAsiaTheme="minorEastAsia"/>
                <w:sz w:val="22"/>
                <w:szCs w:val="22"/>
              </w:rPr>
              <w:t>海缆</w:t>
            </w:r>
            <w:r>
              <w:rPr>
                <w:rFonts w:asciiTheme="minorEastAsia" w:hAnsiTheme="minorEastAsia" w:eastAsiaTheme="minorEastAsia"/>
                <w:sz w:val="22"/>
                <w:szCs w:val="22"/>
              </w:rPr>
              <w:t>允许最大牵引力</w:t>
            </w:r>
            <w:r>
              <w:rPr>
                <w:rFonts w:hint="eastAsia" w:asciiTheme="minorEastAsia" w:hAnsiTheme="minorEastAsia" w:eastAsiaTheme="minorEastAsia"/>
                <w:sz w:val="22"/>
                <w:szCs w:val="22"/>
              </w:rPr>
              <w:t>计算的安全系数</w:t>
            </w:r>
          </w:p>
        </w:tc>
        <w:tc>
          <w:tcPr>
            <w:tcW w:w="2410" w:type="dxa"/>
            <w:tcBorders>
              <w:top w:val="nil"/>
              <w:left w:val="nil"/>
              <w:bottom w:val="single" w:color="auto" w:sz="4" w:space="0"/>
              <w:right w:val="single" w:color="auto" w:sz="4" w:space="0"/>
            </w:tcBorders>
            <w:vAlign w:val="center"/>
          </w:tcPr>
          <w:p w14:paraId="738B8160">
            <w:pPr>
              <w:widowControl/>
              <w:jc w:val="center"/>
              <w:rPr>
                <w:rFonts w:asciiTheme="minorEastAsia" w:hAnsiTheme="minorEastAsia" w:eastAsiaTheme="minorEastAsia"/>
                <w:kern w:val="0"/>
                <w:sz w:val="22"/>
                <w:szCs w:val="22"/>
              </w:rPr>
            </w:pPr>
          </w:p>
        </w:tc>
        <w:tc>
          <w:tcPr>
            <w:tcW w:w="1417" w:type="dxa"/>
            <w:tcBorders>
              <w:top w:val="nil"/>
              <w:left w:val="nil"/>
              <w:bottom w:val="single" w:color="auto" w:sz="4" w:space="0"/>
              <w:right w:val="single" w:color="auto" w:sz="4" w:space="0"/>
            </w:tcBorders>
            <w:vAlign w:val="center"/>
          </w:tcPr>
          <w:p w14:paraId="49EF2ADF">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774C958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w:t>
            </w:r>
          </w:p>
        </w:tc>
        <w:tc>
          <w:tcPr>
            <w:tcW w:w="1559" w:type="dxa"/>
            <w:tcBorders>
              <w:top w:val="nil"/>
              <w:left w:val="nil"/>
              <w:bottom w:val="single" w:color="auto" w:sz="4" w:space="0"/>
              <w:right w:val="single" w:color="auto" w:sz="4" w:space="0"/>
            </w:tcBorders>
            <w:vAlign w:val="center"/>
          </w:tcPr>
          <w:p w14:paraId="5011918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投标方填写（文字型）</w:t>
            </w:r>
          </w:p>
        </w:tc>
        <w:tc>
          <w:tcPr>
            <w:tcW w:w="1134" w:type="dxa"/>
            <w:tcBorders>
              <w:top w:val="nil"/>
              <w:left w:val="nil"/>
              <w:bottom w:val="single" w:color="auto" w:sz="4" w:space="0"/>
              <w:right w:val="single" w:color="auto" w:sz="4" w:space="0"/>
            </w:tcBorders>
            <w:vAlign w:val="center"/>
          </w:tcPr>
          <w:p w14:paraId="4D0872C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海缆牵引力计算书</w:t>
            </w:r>
          </w:p>
        </w:tc>
        <w:tc>
          <w:tcPr>
            <w:tcW w:w="1233" w:type="dxa"/>
            <w:tcBorders>
              <w:top w:val="nil"/>
              <w:left w:val="nil"/>
              <w:bottom w:val="single" w:color="auto" w:sz="4" w:space="0"/>
              <w:right w:val="single" w:color="auto" w:sz="4" w:space="0"/>
            </w:tcBorders>
            <w:vAlign w:val="center"/>
          </w:tcPr>
          <w:p w14:paraId="58275557">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801D4C7">
            <w:pPr>
              <w:widowControl/>
              <w:jc w:val="center"/>
              <w:rPr>
                <w:rFonts w:asciiTheme="minorEastAsia" w:hAnsiTheme="minorEastAsia" w:eastAsiaTheme="minorEastAsia"/>
                <w:kern w:val="0"/>
                <w:sz w:val="22"/>
                <w:szCs w:val="22"/>
              </w:rPr>
            </w:pPr>
          </w:p>
        </w:tc>
      </w:tr>
      <w:tr w14:paraId="6342E22D">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044208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5</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3</w:t>
            </w:r>
          </w:p>
        </w:tc>
        <w:tc>
          <w:tcPr>
            <w:tcW w:w="2551" w:type="dxa"/>
            <w:tcBorders>
              <w:top w:val="nil"/>
              <w:left w:val="nil"/>
              <w:bottom w:val="single" w:color="auto" w:sz="4" w:space="0"/>
              <w:right w:val="single" w:color="auto" w:sz="4" w:space="0"/>
            </w:tcBorders>
            <w:vAlign w:val="center"/>
          </w:tcPr>
          <w:p w14:paraId="20A16E1B">
            <w:pPr>
              <w:widowControl/>
              <w:jc w:val="left"/>
              <w:rPr>
                <w:rFonts w:asciiTheme="minorEastAsia" w:hAnsiTheme="minorEastAsia" w:eastAsiaTheme="minorEastAsia"/>
                <w:kern w:val="0"/>
                <w:sz w:val="22"/>
                <w:szCs w:val="22"/>
              </w:rPr>
            </w:pPr>
            <w:r>
              <w:rPr>
                <w:rFonts w:hint="eastAsia" w:asciiTheme="minorEastAsia" w:hAnsiTheme="minorEastAsia" w:eastAsiaTheme="minorEastAsia"/>
                <w:sz w:val="22"/>
                <w:szCs w:val="22"/>
              </w:rPr>
              <w:t>海缆</w:t>
            </w:r>
            <w:r>
              <w:rPr>
                <w:rFonts w:asciiTheme="minorEastAsia" w:hAnsiTheme="minorEastAsia" w:eastAsiaTheme="minorEastAsia"/>
                <w:sz w:val="22"/>
                <w:szCs w:val="22"/>
              </w:rPr>
              <w:t>允许最大牵引力</w:t>
            </w:r>
          </w:p>
        </w:tc>
        <w:tc>
          <w:tcPr>
            <w:tcW w:w="2410" w:type="dxa"/>
            <w:tcBorders>
              <w:top w:val="nil"/>
              <w:left w:val="nil"/>
              <w:bottom w:val="single" w:color="auto" w:sz="4" w:space="0"/>
              <w:right w:val="single" w:color="auto" w:sz="4" w:space="0"/>
            </w:tcBorders>
            <w:vAlign w:val="center"/>
          </w:tcPr>
          <w:p w14:paraId="6C09D41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5019EE0A">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0DCDC95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≥370kN</w:t>
            </w:r>
            <w:r>
              <w:rPr>
                <w:rFonts w:asciiTheme="minorEastAsia" w:hAnsiTheme="minorEastAsia" w:eastAsiaTheme="minorEastAsia"/>
                <w:kern w:val="0"/>
                <w:sz w:val="22"/>
                <w:szCs w:val="22"/>
              </w:rPr>
              <w:br w:type="textWrapping"/>
            </w:r>
            <w:r>
              <w:rPr>
                <w:rFonts w:hint="eastAsia" w:asciiTheme="minorEastAsia" w:hAnsiTheme="minorEastAsia" w:eastAsiaTheme="minorEastAsia"/>
                <w:sz w:val="22"/>
                <w:szCs w:val="22"/>
              </w:rPr>
              <w:t>（考虑安全系数后</w:t>
            </w:r>
            <w:r>
              <w:rPr>
                <w:rFonts w:hint="eastAsia" w:asciiTheme="minorEastAsia" w:hAnsiTheme="minorEastAsia" w:eastAsiaTheme="minorEastAsia"/>
                <w:kern w:val="0"/>
                <w:sz w:val="22"/>
                <w:szCs w:val="22"/>
              </w:rPr>
              <w:t>）</w:t>
            </w:r>
          </w:p>
          <w:p w14:paraId="2AB1713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r>
              <w:rPr>
                <w:rFonts w:asciiTheme="minorEastAsia" w:hAnsiTheme="minorEastAsia" w:eastAsiaTheme="minorEastAsia"/>
                <w:kern w:val="0"/>
                <w:sz w:val="22"/>
                <w:szCs w:val="22"/>
              </w:rPr>
              <w:t>111</w:t>
            </w:r>
            <w:r>
              <w:rPr>
                <w:rFonts w:hint="eastAsia" w:asciiTheme="minorEastAsia" w:hAnsiTheme="minorEastAsia" w:eastAsiaTheme="minorEastAsia"/>
                <w:kern w:val="0"/>
                <w:sz w:val="22"/>
                <w:szCs w:val="22"/>
              </w:rPr>
              <w:t>0kN</w:t>
            </w:r>
            <w:r>
              <w:rPr>
                <w:rFonts w:hint="eastAsia" w:asciiTheme="minorEastAsia" w:hAnsiTheme="minorEastAsia" w:eastAsiaTheme="minorEastAsia"/>
                <w:sz w:val="22"/>
                <w:szCs w:val="22"/>
              </w:rPr>
              <w:t>（考虑安全系数前</w:t>
            </w: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7451DCD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投标方填写（文字型）</w:t>
            </w:r>
          </w:p>
        </w:tc>
        <w:tc>
          <w:tcPr>
            <w:tcW w:w="1134" w:type="dxa"/>
            <w:tcBorders>
              <w:top w:val="nil"/>
              <w:left w:val="nil"/>
              <w:bottom w:val="single" w:color="auto" w:sz="4" w:space="0"/>
              <w:right w:val="single" w:color="auto" w:sz="4" w:space="0"/>
            </w:tcBorders>
            <w:vAlign w:val="center"/>
          </w:tcPr>
          <w:p w14:paraId="0392205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海缆牵引力计算书</w:t>
            </w:r>
          </w:p>
        </w:tc>
        <w:tc>
          <w:tcPr>
            <w:tcW w:w="1233" w:type="dxa"/>
            <w:tcBorders>
              <w:top w:val="nil"/>
              <w:left w:val="nil"/>
              <w:bottom w:val="single" w:color="auto" w:sz="4" w:space="0"/>
              <w:right w:val="single" w:color="auto" w:sz="4" w:space="0"/>
            </w:tcBorders>
            <w:vAlign w:val="center"/>
          </w:tcPr>
          <w:p w14:paraId="17EF6361">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5C43570">
            <w:pPr>
              <w:widowControl/>
              <w:jc w:val="center"/>
              <w:rPr>
                <w:rFonts w:asciiTheme="minorEastAsia" w:hAnsiTheme="minorEastAsia" w:eastAsiaTheme="minorEastAsia"/>
                <w:kern w:val="0"/>
                <w:sz w:val="22"/>
                <w:szCs w:val="22"/>
              </w:rPr>
            </w:pPr>
          </w:p>
        </w:tc>
      </w:tr>
      <w:tr w14:paraId="6897801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7EBC60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5</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4</w:t>
            </w:r>
          </w:p>
        </w:tc>
        <w:tc>
          <w:tcPr>
            <w:tcW w:w="2551" w:type="dxa"/>
            <w:tcBorders>
              <w:top w:val="nil"/>
              <w:left w:val="nil"/>
              <w:bottom w:val="single" w:color="auto" w:sz="4" w:space="0"/>
              <w:right w:val="single" w:color="auto" w:sz="4" w:space="0"/>
            </w:tcBorders>
            <w:vAlign w:val="center"/>
          </w:tcPr>
          <w:p w14:paraId="4B196AD6">
            <w:pPr>
              <w:widowControl/>
              <w:jc w:val="left"/>
              <w:rPr>
                <w:rFonts w:asciiTheme="minorEastAsia" w:hAnsiTheme="minorEastAsia" w:eastAsiaTheme="minorEastAsia"/>
                <w:kern w:val="0"/>
                <w:sz w:val="22"/>
                <w:szCs w:val="22"/>
              </w:rPr>
            </w:pPr>
            <w:r>
              <w:rPr>
                <w:rFonts w:asciiTheme="minorEastAsia" w:hAnsiTheme="minorEastAsia" w:eastAsiaTheme="minorEastAsia"/>
                <w:sz w:val="22"/>
                <w:szCs w:val="22"/>
              </w:rPr>
              <w:t>海缆允许最大侧压力</w:t>
            </w:r>
          </w:p>
        </w:tc>
        <w:tc>
          <w:tcPr>
            <w:tcW w:w="2410" w:type="dxa"/>
            <w:tcBorders>
              <w:top w:val="nil"/>
              <w:left w:val="nil"/>
              <w:bottom w:val="single" w:color="auto" w:sz="4" w:space="0"/>
              <w:right w:val="single" w:color="auto" w:sz="4" w:space="0"/>
            </w:tcBorders>
            <w:vAlign w:val="center"/>
          </w:tcPr>
          <w:p w14:paraId="2924819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788C3C45">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36F108A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7E66DA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投标方填写（文字型）</w:t>
            </w:r>
          </w:p>
        </w:tc>
        <w:tc>
          <w:tcPr>
            <w:tcW w:w="1134" w:type="dxa"/>
            <w:tcBorders>
              <w:top w:val="nil"/>
              <w:left w:val="nil"/>
              <w:bottom w:val="single" w:color="auto" w:sz="4" w:space="0"/>
              <w:right w:val="single" w:color="auto" w:sz="4" w:space="0"/>
            </w:tcBorders>
            <w:vAlign w:val="center"/>
          </w:tcPr>
          <w:p w14:paraId="3E0957DD">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077C9BF8">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2783509">
            <w:pPr>
              <w:widowControl/>
              <w:jc w:val="center"/>
              <w:rPr>
                <w:rFonts w:asciiTheme="minorEastAsia" w:hAnsiTheme="minorEastAsia" w:eastAsiaTheme="minorEastAsia"/>
                <w:kern w:val="0"/>
                <w:sz w:val="22"/>
                <w:szCs w:val="22"/>
              </w:rPr>
            </w:pPr>
          </w:p>
        </w:tc>
      </w:tr>
      <w:tr w14:paraId="7C695B7C">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71A132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5</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5</w:t>
            </w:r>
          </w:p>
        </w:tc>
        <w:tc>
          <w:tcPr>
            <w:tcW w:w="2551" w:type="dxa"/>
            <w:tcBorders>
              <w:top w:val="nil"/>
              <w:left w:val="nil"/>
              <w:bottom w:val="single" w:color="auto" w:sz="4" w:space="0"/>
              <w:right w:val="single" w:color="auto" w:sz="4" w:space="0"/>
            </w:tcBorders>
            <w:vAlign w:val="center"/>
          </w:tcPr>
          <w:p w14:paraId="5E5D915D">
            <w:pPr>
              <w:widowControl/>
              <w:jc w:val="left"/>
              <w:rPr>
                <w:rFonts w:asciiTheme="minorEastAsia" w:hAnsiTheme="minorEastAsia" w:eastAsiaTheme="minorEastAsia"/>
                <w:sz w:val="22"/>
                <w:szCs w:val="22"/>
              </w:rPr>
            </w:pPr>
            <w:r>
              <w:rPr>
                <w:rFonts w:hint="eastAsia" w:asciiTheme="minorEastAsia" w:hAnsiTheme="minorEastAsia" w:eastAsiaTheme="minorEastAsia"/>
                <w:sz w:val="22"/>
                <w:szCs w:val="22"/>
              </w:rPr>
              <w:t>海缆抗弯矩</w:t>
            </w:r>
          </w:p>
        </w:tc>
        <w:tc>
          <w:tcPr>
            <w:tcW w:w="2410" w:type="dxa"/>
            <w:tcBorders>
              <w:top w:val="nil"/>
              <w:left w:val="nil"/>
              <w:bottom w:val="single" w:color="auto" w:sz="4" w:space="0"/>
              <w:right w:val="single" w:color="auto" w:sz="4" w:space="0"/>
            </w:tcBorders>
            <w:vAlign w:val="center"/>
          </w:tcPr>
          <w:p w14:paraId="469E809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49B7F899">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31C8D3F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07837B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投标方填写（文字型）</w:t>
            </w:r>
          </w:p>
        </w:tc>
        <w:tc>
          <w:tcPr>
            <w:tcW w:w="1134" w:type="dxa"/>
            <w:tcBorders>
              <w:top w:val="nil"/>
              <w:left w:val="nil"/>
              <w:bottom w:val="single" w:color="auto" w:sz="4" w:space="0"/>
              <w:right w:val="single" w:color="auto" w:sz="4" w:space="0"/>
            </w:tcBorders>
            <w:vAlign w:val="center"/>
          </w:tcPr>
          <w:p w14:paraId="1EFD6B67">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7B0E09AF">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4967DEA">
            <w:pPr>
              <w:widowControl/>
              <w:jc w:val="center"/>
              <w:rPr>
                <w:rFonts w:asciiTheme="minorEastAsia" w:hAnsiTheme="minorEastAsia" w:eastAsiaTheme="minorEastAsia"/>
                <w:kern w:val="0"/>
                <w:sz w:val="22"/>
                <w:szCs w:val="22"/>
              </w:rPr>
            </w:pPr>
          </w:p>
        </w:tc>
      </w:tr>
      <w:tr w14:paraId="366BA4C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0E7B04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w:t>
            </w:r>
            <w:r>
              <w:rPr>
                <w:rFonts w:asciiTheme="minorEastAsia" w:hAnsiTheme="minorEastAsia" w:eastAsiaTheme="minorEastAsia"/>
                <w:kern w:val="0"/>
                <w:sz w:val="22"/>
                <w:szCs w:val="22"/>
              </w:rPr>
              <w:t>.1</w:t>
            </w:r>
            <w:r>
              <w:rPr>
                <w:rFonts w:hint="eastAsia" w:asciiTheme="minorEastAsia" w:hAnsiTheme="minorEastAsia" w:eastAsiaTheme="minorEastAsia"/>
                <w:kern w:val="0"/>
                <w:sz w:val="22"/>
                <w:szCs w:val="22"/>
              </w:rPr>
              <w:t>5</w:t>
            </w:r>
            <w:r>
              <w:rPr>
                <w:rFonts w:asciiTheme="minorEastAsia" w:hAnsiTheme="minorEastAsia" w:eastAsiaTheme="minorEastAsia"/>
                <w:kern w:val="0"/>
                <w:sz w:val="22"/>
                <w:szCs w:val="22"/>
              </w:rPr>
              <w:t>.</w:t>
            </w:r>
            <w:r>
              <w:rPr>
                <w:rFonts w:hint="eastAsia" w:asciiTheme="minorEastAsia" w:hAnsiTheme="minorEastAsia" w:eastAsiaTheme="minorEastAsia"/>
                <w:kern w:val="0"/>
                <w:sz w:val="22"/>
                <w:szCs w:val="22"/>
              </w:rPr>
              <w:t>6</w:t>
            </w:r>
          </w:p>
        </w:tc>
        <w:tc>
          <w:tcPr>
            <w:tcW w:w="2551" w:type="dxa"/>
            <w:tcBorders>
              <w:top w:val="nil"/>
              <w:left w:val="nil"/>
              <w:bottom w:val="single" w:color="auto" w:sz="4" w:space="0"/>
              <w:right w:val="single" w:color="auto" w:sz="4" w:space="0"/>
            </w:tcBorders>
            <w:vAlign w:val="center"/>
          </w:tcPr>
          <w:p w14:paraId="0363C81B">
            <w:pPr>
              <w:widowControl/>
              <w:jc w:val="left"/>
              <w:rPr>
                <w:rFonts w:asciiTheme="minorEastAsia" w:hAnsiTheme="minorEastAsia" w:eastAsiaTheme="minorEastAsia"/>
                <w:sz w:val="22"/>
                <w:szCs w:val="22"/>
              </w:rPr>
            </w:pPr>
            <w:r>
              <w:rPr>
                <w:rFonts w:hint="eastAsia" w:asciiTheme="minorEastAsia" w:hAnsiTheme="minorEastAsia" w:eastAsiaTheme="minorEastAsia"/>
                <w:sz w:val="22"/>
                <w:szCs w:val="22"/>
              </w:rPr>
              <w:t>海缆允许最大悬跨长度</w:t>
            </w:r>
          </w:p>
        </w:tc>
        <w:tc>
          <w:tcPr>
            <w:tcW w:w="2410" w:type="dxa"/>
            <w:tcBorders>
              <w:top w:val="nil"/>
              <w:left w:val="nil"/>
              <w:bottom w:val="single" w:color="auto" w:sz="4" w:space="0"/>
              <w:right w:val="single" w:color="auto" w:sz="4" w:space="0"/>
            </w:tcBorders>
            <w:vAlign w:val="center"/>
          </w:tcPr>
          <w:p w14:paraId="26005B9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76C6C15D">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41F5033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F8A687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投标方填写（文字型）</w:t>
            </w:r>
          </w:p>
        </w:tc>
        <w:tc>
          <w:tcPr>
            <w:tcW w:w="1134" w:type="dxa"/>
            <w:tcBorders>
              <w:top w:val="nil"/>
              <w:left w:val="nil"/>
              <w:bottom w:val="single" w:color="auto" w:sz="4" w:space="0"/>
              <w:right w:val="single" w:color="auto" w:sz="4" w:space="0"/>
            </w:tcBorders>
            <w:vAlign w:val="center"/>
          </w:tcPr>
          <w:p w14:paraId="2BD6A29B">
            <w:pPr>
              <w:widowControl/>
              <w:jc w:val="center"/>
              <w:rPr>
                <w:rFonts w:asciiTheme="minorEastAsia" w:hAnsiTheme="minorEastAsia" w:eastAsiaTheme="minorEastAsia"/>
                <w:kern w:val="0"/>
                <w:sz w:val="22"/>
                <w:szCs w:val="22"/>
              </w:rPr>
            </w:pPr>
          </w:p>
        </w:tc>
        <w:tc>
          <w:tcPr>
            <w:tcW w:w="1233" w:type="dxa"/>
            <w:tcBorders>
              <w:top w:val="nil"/>
              <w:left w:val="nil"/>
              <w:bottom w:val="single" w:color="auto" w:sz="4" w:space="0"/>
              <w:right w:val="single" w:color="auto" w:sz="4" w:space="0"/>
            </w:tcBorders>
            <w:vAlign w:val="center"/>
          </w:tcPr>
          <w:p w14:paraId="6428D412">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0D5CA67C">
            <w:pPr>
              <w:widowControl/>
              <w:jc w:val="center"/>
              <w:rPr>
                <w:rFonts w:asciiTheme="minorEastAsia" w:hAnsiTheme="minorEastAsia" w:eastAsiaTheme="minorEastAsia"/>
                <w:kern w:val="0"/>
                <w:sz w:val="22"/>
                <w:szCs w:val="22"/>
              </w:rPr>
            </w:pPr>
          </w:p>
        </w:tc>
      </w:tr>
      <w:tr w14:paraId="3EF562B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5A9C8BC7">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2</w:t>
            </w:r>
          </w:p>
        </w:tc>
        <w:tc>
          <w:tcPr>
            <w:tcW w:w="13514" w:type="dxa"/>
            <w:gridSpan w:val="8"/>
            <w:tcBorders>
              <w:top w:val="nil"/>
              <w:left w:val="nil"/>
              <w:bottom w:val="single" w:color="auto" w:sz="4" w:space="0"/>
              <w:right w:val="single" w:color="auto" w:sz="4" w:space="0"/>
            </w:tcBorders>
            <w:vAlign w:val="center"/>
          </w:tcPr>
          <w:p w14:paraId="42AB415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主要电气性能参数</w:t>
            </w:r>
          </w:p>
        </w:tc>
      </w:tr>
      <w:tr w14:paraId="142E528C">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6D9F434">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2.1</w:t>
            </w:r>
          </w:p>
        </w:tc>
        <w:tc>
          <w:tcPr>
            <w:tcW w:w="2551" w:type="dxa"/>
            <w:tcBorders>
              <w:top w:val="nil"/>
              <w:left w:val="nil"/>
              <w:bottom w:val="single" w:color="auto" w:sz="4" w:space="0"/>
              <w:right w:val="single" w:color="auto" w:sz="4" w:space="0"/>
            </w:tcBorders>
            <w:vAlign w:val="center"/>
          </w:tcPr>
          <w:p w14:paraId="527A5F48">
            <w:pPr>
              <w:widowControl/>
              <w:jc w:val="left"/>
              <w:rPr>
                <w:rFonts w:asciiTheme="minorEastAsia" w:hAnsiTheme="minorEastAsia" w:eastAsiaTheme="minorEastAsia"/>
                <w:kern w:val="0"/>
                <w:sz w:val="22"/>
                <w:szCs w:val="22"/>
              </w:rPr>
            </w:pPr>
            <w:r>
              <w:rPr>
                <w:rFonts w:asciiTheme="minorEastAsia" w:hAnsiTheme="minorEastAsia" w:eastAsiaTheme="minorEastAsia"/>
                <w:kern w:val="0"/>
                <w:sz w:val="22"/>
                <w:szCs w:val="22"/>
              </w:rPr>
              <w:t>20</w:t>
            </w:r>
            <w:r>
              <w:rPr>
                <w:rFonts w:hint="eastAsia" w:asciiTheme="minorEastAsia" w:hAnsiTheme="minorEastAsia" w:eastAsiaTheme="minorEastAsia"/>
                <w:kern w:val="0"/>
                <w:sz w:val="22"/>
                <w:szCs w:val="22"/>
              </w:rPr>
              <w:t>℃导体最大直流电阻（Ω</w:t>
            </w:r>
            <w:r>
              <w:rPr>
                <w:rFonts w:asciiTheme="minorEastAsia" w:hAnsiTheme="minorEastAsia" w:eastAsiaTheme="minorEastAsia"/>
                <w:kern w:val="0"/>
                <w:sz w:val="22"/>
                <w:szCs w:val="22"/>
              </w:rPr>
              <w:t>/km</w:t>
            </w:r>
            <w:r>
              <w:rPr>
                <w:rFonts w:hint="eastAsia" w:asciiTheme="minorEastAsia" w:hAnsiTheme="minorEastAsia" w:eastAsiaTheme="minorEastAsia"/>
                <w:kern w:val="0"/>
                <w:sz w:val="22"/>
                <w:szCs w:val="22"/>
              </w:rPr>
              <w:t>）</w:t>
            </w:r>
          </w:p>
        </w:tc>
        <w:tc>
          <w:tcPr>
            <w:tcW w:w="2410" w:type="dxa"/>
            <w:tcBorders>
              <w:top w:val="nil"/>
              <w:left w:val="nil"/>
              <w:bottom w:val="single" w:color="auto" w:sz="4" w:space="0"/>
              <w:right w:val="single" w:color="auto" w:sz="4" w:space="0"/>
            </w:tcBorders>
            <w:vAlign w:val="center"/>
          </w:tcPr>
          <w:p w14:paraId="3BA638A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0.0</w:t>
            </w:r>
            <w:r>
              <w:rPr>
                <w:rFonts w:asciiTheme="minorEastAsia" w:hAnsiTheme="minorEastAsia" w:eastAsiaTheme="minorEastAsia"/>
                <w:kern w:val="0"/>
                <w:sz w:val="22"/>
                <w:szCs w:val="22"/>
              </w:rPr>
              <w:t>176</w:t>
            </w:r>
            <w:r>
              <w:rPr>
                <w:rFonts w:hint="eastAsia" w:asciiTheme="minorEastAsia" w:hAnsiTheme="minorEastAsia" w:eastAsiaTheme="minorEastAsia"/>
                <w:kern w:val="0"/>
                <w:sz w:val="22"/>
                <w:szCs w:val="22"/>
              </w:rPr>
              <w:t>（</w:t>
            </w:r>
            <w:r>
              <w:rPr>
                <w:rFonts w:asciiTheme="minorEastAsia" w:hAnsiTheme="minorEastAsia" w:eastAsiaTheme="minorEastAsia"/>
                <w:kern w:val="0"/>
                <w:sz w:val="22"/>
                <w:szCs w:val="22"/>
              </w:rPr>
              <w:t>100</w:t>
            </w:r>
            <w:r>
              <w:rPr>
                <w:rFonts w:hint="eastAsia" w:asciiTheme="minorEastAsia" w:hAnsiTheme="minorEastAsia" w:eastAsiaTheme="minorEastAsia"/>
                <w:kern w:val="0"/>
                <w:sz w:val="22"/>
                <w:szCs w:val="22"/>
              </w:rPr>
              <w:t>0截面）</w:t>
            </w:r>
          </w:p>
        </w:tc>
        <w:tc>
          <w:tcPr>
            <w:tcW w:w="1417" w:type="dxa"/>
            <w:tcBorders>
              <w:top w:val="nil"/>
              <w:left w:val="nil"/>
              <w:bottom w:val="single" w:color="auto" w:sz="4" w:space="0"/>
              <w:right w:val="single" w:color="auto" w:sz="4" w:space="0"/>
            </w:tcBorders>
            <w:vAlign w:val="center"/>
          </w:tcPr>
          <w:p w14:paraId="72D937C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123E0C4A">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≤0.0</w:t>
            </w:r>
            <w:r>
              <w:rPr>
                <w:rFonts w:hint="eastAsia" w:asciiTheme="minorEastAsia" w:hAnsiTheme="minorEastAsia" w:eastAsiaTheme="minorEastAsia"/>
                <w:kern w:val="0"/>
                <w:sz w:val="22"/>
                <w:szCs w:val="22"/>
              </w:rPr>
              <w:t>176</w:t>
            </w:r>
          </w:p>
        </w:tc>
        <w:tc>
          <w:tcPr>
            <w:tcW w:w="1559" w:type="dxa"/>
            <w:tcBorders>
              <w:top w:val="nil"/>
              <w:left w:val="nil"/>
              <w:bottom w:val="single" w:color="auto" w:sz="4" w:space="0"/>
              <w:right w:val="single" w:color="auto" w:sz="4" w:space="0"/>
            </w:tcBorders>
            <w:vAlign w:val="center"/>
          </w:tcPr>
          <w:p w14:paraId="716A268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105428D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检测报告</w:t>
            </w:r>
          </w:p>
        </w:tc>
        <w:tc>
          <w:tcPr>
            <w:tcW w:w="1233" w:type="dxa"/>
            <w:tcBorders>
              <w:top w:val="nil"/>
              <w:left w:val="nil"/>
              <w:bottom w:val="single" w:color="auto" w:sz="4" w:space="0"/>
              <w:right w:val="single" w:color="auto" w:sz="4" w:space="0"/>
            </w:tcBorders>
            <w:vAlign w:val="center"/>
          </w:tcPr>
          <w:p w14:paraId="07AF6AE5">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FA47BCD">
            <w:pPr>
              <w:widowControl/>
              <w:jc w:val="center"/>
              <w:rPr>
                <w:rFonts w:asciiTheme="minorEastAsia" w:hAnsiTheme="minorEastAsia" w:eastAsiaTheme="minorEastAsia"/>
                <w:kern w:val="0"/>
                <w:sz w:val="22"/>
                <w:szCs w:val="22"/>
              </w:rPr>
            </w:pPr>
          </w:p>
        </w:tc>
      </w:tr>
      <w:tr w14:paraId="5854EF78">
        <w:tblPrEx>
          <w:tblCellMar>
            <w:top w:w="0" w:type="dxa"/>
            <w:left w:w="108" w:type="dxa"/>
            <w:bottom w:w="0" w:type="dxa"/>
            <w:right w:w="108" w:type="dxa"/>
          </w:tblCellMar>
        </w:tblPrEx>
        <w:trPr>
          <w:trHeight w:val="285" w:hRule="atLeast"/>
        </w:trPr>
        <w:tc>
          <w:tcPr>
            <w:tcW w:w="1135" w:type="dxa"/>
            <w:tcBorders>
              <w:top w:val="nil"/>
              <w:left w:val="single" w:color="auto" w:sz="4" w:space="0"/>
              <w:bottom w:val="single" w:color="auto" w:sz="4" w:space="0"/>
              <w:right w:val="single" w:color="auto" w:sz="4" w:space="0"/>
            </w:tcBorders>
            <w:vAlign w:val="center"/>
          </w:tcPr>
          <w:p w14:paraId="50218E1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2.2</w:t>
            </w:r>
          </w:p>
        </w:tc>
        <w:tc>
          <w:tcPr>
            <w:tcW w:w="2551" w:type="dxa"/>
            <w:tcBorders>
              <w:top w:val="nil"/>
              <w:left w:val="nil"/>
              <w:bottom w:val="single" w:color="auto" w:sz="4" w:space="0"/>
              <w:right w:val="single" w:color="auto" w:sz="4" w:space="0"/>
            </w:tcBorders>
            <w:vAlign w:val="center"/>
          </w:tcPr>
          <w:p w14:paraId="3253E769">
            <w:pPr>
              <w:widowControl/>
              <w:jc w:val="left"/>
              <w:rPr>
                <w:rFonts w:asciiTheme="minorEastAsia" w:hAnsiTheme="minorEastAsia" w:eastAsiaTheme="minorEastAsia"/>
                <w:kern w:val="0"/>
                <w:sz w:val="22"/>
                <w:szCs w:val="22"/>
              </w:rPr>
            </w:pPr>
            <w:r>
              <w:rPr>
                <w:rFonts w:asciiTheme="minorEastAsia" w:hAnsiTheme="minorEastAsia" w:eastAsiaTheme="minorEastAsia"/>
                <w:kern w:val="0"/>
                <w:sz w:val="22"/>
                <w:szCs w:val="22"/>
              </w:rPr>
              <w:t>90</w:t>
            </w:r>
            <w:r>
              <w:rPr>
                <w:rFonts w:hint="eastAsia" w:asciiTheme="minorEastAsia" w:hAnsiTheme="minorEastAsia" w:eastAsiaTheme="minorEastAsia"/>
                <w:kern w:val="0"/>
                <w:sz w:val="22"/>
                <w:szCs w:val="22"/>
              </w:rPr>
              <w:t>℃导体最大交流电阻</w:t>
            </w:r>
          </w:p>
        </w:tc>
        <w:tc>
          <w:tcPr>
            <w:tcW w:w="2410" w:type="dxa"/>
            <w:tcBorders>
              <w:top w:val="nil"/>
              <w:left w:val="nil"/>
              <w:bottom w:val="single" w:color="auto" w:sz="4" w:space="0"/>
              <w:right w:val="single" w:color="auto" w:sz="4" w:space="0"/>
            </w:tcBorders>
            <w:vAlign w:val="center"/>
          </w:tcPr>
          <w:p w14:paraId="57E17AB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002CA016">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4B061FEB">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5034F7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投标方填写（文字型）</w:t>
            </w:r>
          </w:p>
        </w:tc>
        <w:tc>
          <w:tcPr>
            <w:tcW w:w="1134" w:type="dxa"/>
            <w:tcBorders>
              <w:top w:val="nil"/>
              <w:left w:val="nil"/>
              <w:bottom w:val="single" w:color="auto" w:sz="4" w:space="0"/>
              <w:right w:val="single" w:color="auto" w:sz="4" w:space="0"/>
            </w:tcBorders>
            <w:vAlign w:val="center"/>
          </w:tcPr>
          <w:p w14:paraId="2B0D63D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3BBB6155">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1E91BEE4">
            <w:pPr>
              <w:widowControl/>
              <w:jc w:val="center"/>
              <w:rPr>
                <w:rFonts w:asciiTheme="minorEastAsia" w:hAnsiTheme="minorEastAsia" w:eastAsiaTheme="minorEastAsia"/>
                <w:kern w:val="0"/>
                <w:sz w:val="22"/>
                <w:szCs w:val="22"/>
              </w:rPr>
            </w:pPr>
          </w:p>
        </w:tc>
      </w:tr>
      <w:tr w14:paraId="4D5DC6B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D73A2B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2.3</w:t>
            </w:r>
          </w:p>
        </w:tc>
        <w:tc>
          <w:tcPr>
            <w:tcW w:w="2551" w:type="dxa"/>
            <w:tcBorders>
              <w:top w:val="nil"/>
              <w:left w:val="nil"/>
              <w:bottom w:val="single" w:color="auto" w:sz="4" w:space="0"/>
              <w:right w:val="single" w:color="auto" w:sz="4" w:space="0"/>
            </w:tcBorders>
            <w:vAlign w:val="center"/>
          </w:tcPr>
          <w:p w14:paraId="683705D3">
            <w:pPr>
              <w:widowControl/>
              <w:jc w:val="left"/>
              <w:rPr>
                <w:rFonts w:asciiTheme="minorEastAsia" w:hAnsiTheme="minorEastAsia" w:eastAsiaTheme="minorEastAsia"/>
                <w:kern w:val="0"/>
                <w:sz w:val="22"/>
                <w:szCs w:val="22"/>
              </w:rPr>
            </w:pPr>
            <w:r>
              <w:rPr>
                <w:rFonts w:asciiTheme="minorEastAsia" w:hAnsiTheme="minorEastAsia" w:eastAsiaTheme="minorEastAsia"/>
                <w:kern w:val="0"/>
                <w:sz w:val="22"/>
                <w:szCs w:val="22"/>
              </w:rPr>
              <w:t>20</w:t>
            </w:r>
            <w:r>
              <w:rPr>
                <w:rFonts w:hint="eastAsia" w:asciiTheme="minorEastAsia" w:hAnsiTheme="minorEastAsia" w:eastAsiaTheme="minorEastAsia"/>
                <w:kern w:val="0"/>
                <w:sz w:val="22"/>
                <w:szCs w:val="22"/>
              </w:rPr>
              <w:t>℃金属套最大直流电阻</w:t>
            </w:r>
          </w:p>
        </w:tc>
        <w:tc>
          <w:tcPr>
            <w:tcW w:w="2410" w:type="dxa"/>
            <w:tcBorders>
              <w:top w:val="nil"/>
              <w:left w:val="nil"/>
              <w:bottom w:val="single" w:color="auto" w:sz="4" w:space="0"/>
              <w:right w:val="single" w:color="auto" w:sz="4" w:space="0"/>
            </w:tcBorders>
            <w:vAlign w:val="center"/>
          </w:tcPr>
          <w:p w14:paraId="21E74F5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41DB6E5C">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1A258A4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2D368AE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207A9F5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1B3FE95C">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DE82198">
            <w:pPr>
              <w:widowControl/>
              <w:jc w:val="center"/>
              <w:rPr>
                <w:rFonts w:asciiTheme="minorEastAsia" w:hAnsiTheme="minorEastAsia" w:eastAsiaTheme="minorEastAsia"/>
                <w:kern w:val="0"/>
                <w:sz w:val="22"/>
                <w:szCs w:val="22"/>
              </w:rPr>
            </w:pPr>
          </w:p>
        </w:tc>
      </w:tr>
      <w:tr w14:paraId="62E1292A">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19E510D">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2.4</w:t>
            </w:r>
          </w:p>
        </w:tc>
        <w:tc>
          <w:tcPr>
            <w:tcW w:w="2551" w:type="dxa"/>
            <w:tcBorders>
              <w:top w:val="nil"/>
              <w:left w:val="nil"/>
              <w:bottom w:val="single" w:color="auto" w:sz="4" w:space="0"/>
              <w:right w:val="single" w:color="auto" w:sz="4" w:space="0"/>
            </w:tcBorders>
            <w:vAlign w:val="center"/>
          </w:tcPr>
          <w:p w14:paraId="51981406">
            <w:pPr>
              <w:widowControl/>
              <w:jc w:val="left"/>
              <w:rPr>
                <w:rFonts w:asciiTheme="minorEastAsia" w:hAnsiTheme="minorEastAsia" w:eastAsiaTheme="minorEastAsia"/>
                <w:kern w:val="0"/>
                <w:sz w:val="22"/>
                <w:szCs w:val="22"/>
              </w:rPr>
            </w:pPr>
            <w:r>
              <w:rPr>
                <w:rFonts w:asciiTheme="minorEastAsia" w:hAnsiTheme="minorEastAsia" w:eastAsiaTheme="minorEastAsia"/>
                <w:kern w:val="0"/>
                <w:sz w:val="22"/>
                <w:szCs w:val="22"/>
              </w:rPr>
              <w:t>90</w:t>
            </w:r>
            <w:r>
              <w:rPr>
                <w:rFonts w:hint="eastAsia" w:asciiTheme="minorEastAsia" w:hAnsiTheme="minorEastAsia" w:eastAsiaTheme="minorEastAsia"/>
                <w:kern w:val="0"/>
                <w:sz w:val="22"/>
                <w:szCs w:val="22"/>
              </w:rPr>
              <w:t>℃导体半导电屏蔽层的电阻率</w:t>
            </w:r>
          </w:p>
        </w:tc>
        <w:tc>
          <w:tcPr>
            <w:tcW w:w="2410" w:type="dxa"/>
            <w:tcBorders>
              <w:top w:val="nil"/>
              <w:left w:val="nil"/>
              <w:bottom w:val="single" w:color="auto" w:sz="4" w:space="0"/>
              <w:right w:val="single" w:color="auto" w:sz="4" w:space="0"/>
            </w:tcBorders>
            <w:vAlign w:val="center"/>
          </w:tcPr>
          <w:p w14:paraId="5244FBC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≤1000Ω</w:t>
            </w:r>
            <w:r>
              <w:rPr>
                <w:rFonts w:asciiTheme="minorEastAsia" w:hAnsiTheme="minorEastAsia" w:eastAsiaTheme="minorEastAsia"/>
                <w:kern w:val="0"/>
                <w:sz w:val="22"/>
                <w:szCs w:val="22"/>
              </w:rPr>
              <w:t>.m</w:t>
            </w:r>
          </w:p>
        </w:tc>
        <w:tc>
          <w:tcPr>
            <w:tcW w:w="1417" w:type="dxa"/>
            <w:tcBorders>
              <w:top w:val="nil"/>
              <w:left w:val="nil"/>
              <w:bottom w:val="single" w:color="auto" w:sz="4" w:space="0"/>
              <w:right w:val="single" w:color="auto" w:sz="4" w:space="0"/>
            </w:tcBorders>
            <w:vAlign w:val="center"/>
          </w:tcPr>
          <w:p w14:paraId="3B7BD3B7">
            <w:pPr>
              <w:widowControl/>
              <w:jc w:val="center"/>
              <w:rPr>
                <w:rFonts w:asciiTheme="minorEastAsia" w:hAnsiTheme="minorEastAsia" w:eastAsiaTheme="minorEastAsia"/>
                <w:kern w:val="0"/>
                <w:sz w:val="22"/>
                <w:szCs w:val="22"/>
              </w:rPr>
            </w:pPr>
            <w:r>
              <w:rPr>
                <w:rFonts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1875E5D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7DFEC16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314E0F3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1AA99A01">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785CB9C">
            <w:pPr>
              <w:widowControl/>
              <w:jc w:val="center"/>
              <w:rPr>
                <w:rFonts w:asciiTheme="minorEastAsia" w:hAnsiTheme="minorEastAsia" w:eastAsiaTheme="minorEastAsia"/>
                <w:kern w:val="0"/>
                <w:sz w:val="22"/>
                <w:szCs w:val="22"/>
              </w:rPr>
            </w:pPr>
          </w:p>
        </w:tc>
      </w:tr>
      <w:tr w14:paraId="70E1C6A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72F51615">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2.5</w:t>
            </w:r>
          </w:p>
        </w:tc>
        <w:tc>
          <w:tcPr>
            <w:tcW w:w="2551" w:type="dxa"/>
            <w:tcBorders>
              <w:top w:val="nil"/>
              <w:left w:val="nil"/>
              <w:bottom w:val="single" w:color="auto" w:sz="4" w:space="0"/>
              <w:right w:val="single" w:color="auto" w:sz="4" w:space="0"/>
            </w:tcBorders>
            <w:vAlign w:val="center"/>
          </w:tcPr>
          <w:p w14:paraId="3F5D1E10">
            <w:pPr>
              <w:widowControl/>
              <w:jc w:val="left"/>
              <w:rPr>
                <w:rFonts w:asciiTheme="minorEastAsia" w:hAnsiTheme="minorEastAsia" w:eastAsiaTheme="minorEastAsia"/>
                <w:kern w:val="0"/>
                <w:sz w:val="22"/>
                <w:szCs w:val="22"/>
              </w:rPr>
            </w:pPr>
            <w:r>
              <w:rPr>
                <w:rFonts w:asciiTheme="minorEastAsia" w:hAnsiTheme="minorEastAsia" w:eastAsiaTheme="minorEastAsia"/>
                <w:kern w:val="0"/>
                <w:sz w:val="22"/>
                <w:szCs w:val="22"/>
              </w:rPr>
              <w:t>90</w:t>
            </w:r>
            <w:r>
              <w:rPr>
                <w:rFonts w:hint="eastAsia" w:asciiTheme="minorEastAsia" w:hAnsiTheme="minorEastAsia" w:eastAsiaTheme="minorEastAsia"/>
                <w:kern w:val="0"/>
                <w:sz w:val="22"/>
                <w:szCs w:val="22"/>
              </w:rPr>
              <w:t>℃绝缘半导电屏蔽层的电阻率</w:t>
            </w:r>
          </w:p>
        </w:tc>
        <w:tc>
          <w:tcPr>
            <w:tcW w:w="2410" w:type="dxa"/>
            <w:tcBorders>
              <w:top w:val="nil"/>
              <w:left w:val="nil"/>
              <w:bottom w:val="single" w:color="auto" w:sz="4" w:space="0"/>
              <w:right w:val="single" w:color="auto" w:sz="4" w:space="0"/>
            </w:tcBorders>
            <w:vAlign w:val="center"/>
          </w:tcPr>
          <w:p w14:paraId="72571E2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≤500Ω</w:t>
            </w:r>
            <w:r>
              <w:rPr>
                <w:rFonts w:asciiTheme="minorEastAsia" w:hAnsiTheme="minorEastAsia" w:eastAsiaTheme="minorEastAsia"/>
                <w:kern w:val="0"/>
                <w:sz w:val="22"/>
                <w:szCs w:val="22"/>
              </w:rPr>
              <w:t>.m</w:t>
            </w:r>
          </w:p>
        </w:tc>
        <w:tc>
          <w:tcPr>
            <w:tcW w:w="1417" w:type="dxa"/>
            <w:tcBorders>
              <w:top w:val="nil"/>
              <w:left w:val="nil"/>
              <w:bottom w:val="single" w:color="auto" w:sz="4" w:space="0"/>
              <w:right w:val="single" w:color="auto" w:sz="4" w:space="0"/>
            </w:tcBorders>
            <w:vAlign w:val="center"/>
          </w:tcPr>
          <w:p w14:paraId="132CD647">
            <w:pPr>
              <w:widowControl/>
              <w:jc w:val="center"/>
              <w:rPr>
                <w:rFonts w:asciiTheme="minorEastAsia" w:hAnsiTheme="minorEastAsia" w:eastAsiaTheme="minorEastAsia"/>
                <w:kern w:val="0"/>
                <w:sz w:val="22"/>
                <w:szCs w:val="22"/>
              </w:rPr>
            </w:pPr>
            <w:r>
              <w:rPr>
                <w:rFonts w:asciiTheme="minorEastAsia" w:hAnsiTheme="minorEastAsia" w:eastAsiaTheme="minorEastAsia"/>
                <w:bCs/>
                <w:kern w:val="0"/>
                <w:sz w:val="22"/>
                <w:szCs w:val="22"/>
              </w:rPr>
              <w:t>投标方</w:t>
            </w:r>
            <w:r>
              <w:rPr>
                <w:rFonts w:hint="eastAsia" w:asciiTheme="minorEastAsia" w:hAnsiTheme="minorEastAsia" w:eastAsiaTheme="minorEastAsia"/>
                <w:bCs/>
                <w:kern w:val="0"/>
                <w:sz w:val="22"/>
                <w:szCs w:val="22"/>
              </w:rPr>
              <w:t>响应</w:t>
            </w:r>
          </w:p>
        </w:tc>
        <w:tc>
          <w:tcPr>
            <w:tcW w:w="1843" w:type="dxa"/>
            <w:tcBorders>
              <w:top w:val="nil"/>
              <w:left w:val="nil"/>
              <w:bottom w:val="single" w:color="auto" w:sz="4" w:space="0"/>
              <w:right w:val="single" w:color="auto" w:sz="4" w:space="0"/>
            </w:tcBorders>
            <w:vAlign w:val="center"/>
          </w:tcPr>
          <w:p w14:paraId="3A250B1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3A26DB5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7FB8EFE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74D8F25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41D704D9">
            <w:pPr>
              <w:widowControl/>
              <w:jc w:val="center"/>
              <w:rPr>
                <w:rFonts w:asciiTheme="minorEastAsia" w:hAnsiTheme="minorEastAsia" w:eastAsiaTheme="minorEastAsia"/>
                <w:kern w:val="0"/>
                <w:sz w:val="22"/>
                <w:szCs w:val="22"/>
              </w:rPr>
            </w:pPr>
          </w:p>
        </w:tc>
      </w:tr>
      <w:tr w14:paraId="3EFE21FF">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08FF6DA">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2.6</w:t>
            </w:r>
          </w:p>
        </w:tc>
        <w:tc>
          <w:tcPr>
            <w:tcW w:w="2551" w:type="dxa"/>
            <w:tcBorders>
              <w:top w:val="nil"/>
              <w:left w:val="nil"/>
              <w:bottom w:val="single" w:color="auto" w:sz="4" w:space="0"/>
              <w:right w:val="single" w:color="auto" w:sz="4" w:space="0"/>
            </w:tcBorders>
            <w:vAlign w:val="center"/>
          </w:tcPr>
          <w:p w14:paraId="4DFDC390">
            <w:pPr>
              <w:widowControl/>
              <w:jc w:val="left"/>
              <w:rPr>
                <w:rFonts w:asciiTheme="minorEastAsia" w:hAnsiTheme="minorEastAsia" w:eastAsiaTheme="minorEastAsia"/>
                <w:kern w:val="0"/>
                <w:sz w:val="22"/>
                <w:szCs w:val="22"/>
              </w:rPr>
            </w:pPr>
            <w:r>
              <w:rPr>
                <w:rFonts w:hint="eastAsia" w:asciiTheme="minorEastAsia" w:hAnsiTheme="minorEastAsia" w:eastAsiaTheme="minorEastAsia"/>
                <w:sz w:val="22"/>
                <w:szCs w:val="22"/>
              </w:rPr>
              <w:t>局部放电（灵敏度5</w:t>
            </w:r>
            <w:r>
              <w:rPr>
                <w:rFonts w:asciiTheme="minorEastAsia" w:hAnsiTheme="minorEastAsia" w:eastAsiaTheme="minorEastAsia"/>
                <w:sz w:val="22"/>
                <w:szCs w:val="22"/>
              </w:rPr>
              <w:t>p</w:t>
            </w:r>
            <w:r>
              <w:rPr>
                <w:rFonts w:hint="eastAsia" w:asciiTheme="minorEastAsia" w:hAnsiTheme="minorEastAsia" w:eastAsiaTheme="minorEastAsia"/>
                <w:sz w:val="22"/>
                <w:szCs w:val="22"/>
              </w:rPr>
              <w:t>C或更优，1.5U</w:t>
            </w:r>
            <w:r>
              <w:rPr>
                <w:rFonts w:hint="eastAsia" w:asciiTheme="minorEastAsia" w:hAnsiTheme="minorEastAsia" w:eastAsiaTheme="minorEastAsia"/>
                <w:sz w:val="22"/>
                <w:szCs w:val="22"/>
                <w:vertAlign w:val="subscript"/>
              </w:rPr>
              <w:t>0</w:t>
            </w:r>
            <w:r>
              <w:rPr>
                <w:rFonts w:hint="eastAsia" w:asciiTheme="minorEastAsia" w:hAnsiTheme="minorEastAsia" w:eastAsiaTheme="minorEastAsia"/>
                <w:sz w:val="22"/>
                <w:szCs w:val="22"/>
              </w:rPr>
              <w:t>下）</w:t>
            </w:r>
          </w:p>
        </w:tc>
        <w:tc>
          <w:tcPr>
            <w:tcW w:w="2410" w:type="dxa"/>
            <w:tcBorders>
              <w:top w:val="nil"/>
              <w:left w:val="nil"/>
              <w:bottom w:val="single" w:color="auto" w:sz="4" w:space="0"/>
              <w:right w:val="single" w:color="auto" w:sz="4" w:space="0"/>
            </w:tcBorders>
            <w:vAlign w:val="center"/>
          </w:tcPr>
          <w:p w14:paraId="1B44584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无可检测出的放电</w:t>
            </w:r>
          </w:p>
        </w:tc>
        <w:tc>
          <w:tcPr>
            <w:tcW w:w="1417" w:type="dxa"/>
            <w:tcBorders>
              <w:top w:val="nil"/>
              <w:left w:val="nil"/>
              <w:bottom w:val="single" w:color="auto" w:sz="4" w:space="0"/>
              <w:right w:val="single" w:color="auto" w:sz="4" w:space="0"/>
            </w:tcBorders>
            <w:vAlign w:val="center"/>
          </w:tcPr>
          <w:p w14:paraId="27FAB9D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58B91D9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0B1F11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5579FBA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43B74341">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89BE070">
            <w:pPr>
              <w:widowControl/>
              <w:jc w:val="center"/>
              <w:rPr>
                <w:rFonts w:asciiTheme="minorEastAsia" w:hAnsiTheme="minorEastAsia" w:eastAsiaTheme="minorEastAsia"/>
                <w:kern w:val="0"/>
                <w:sz w:val="22"/>
                <w:szCs w:val="22"/>
              </w:rPr>
            </w:pPr>
          </w:p>
        </w:tc>
      </w:tr>
      <w:tr w14:paraId="23EACFF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66B1066">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2.7</w:t>
            </w:r>
          </w:p>
        </w:tc>
        <w:tc>
          <w:tcPr>
            <w:tcW w:w="2551" w:type="dxa"/>
            <w:tcBorders>
              <w:top w:val="nil"/>
              <w:left w:val="nil"/>
              <w:bottom w:val="single" w:color="auto" w:sz="4" w:space="0"/>
              <w:right w:val="single" w:color="auto" w:sz="4" w:space="0"/>
            </w:tcBorders>
            <w:vAlign w:val="center"/>
          </w:tcPr>
          <w:p w14:paraId="4460EDF3">
            <w:pPr>
              <w:widowControl/>
              <w:jc w:val="left"/>
              <w:rPr>
                <w:rFonts w:asciiTheme="minorEastAsia" w:hAnsiTheme="minorEastAsia" w:eastAsiaTheme="minorEastAsia"/>
                <w:kern w:val="0"/>
                <w:sz w:val="22"/>
                <w:szCs w:val="22"/>
              </w:rPr>
            </w:pPr>
            <w:r>
              <w:rPr>
                <w:rFonts w:hint="eastAsia" w:asciiTheme="minorEastAsia" w:hAnsiTheme="minorEastAsia" w:eastAsiaTheme="minorEastAsia"/>
                <w:sz w:val="22"/>
                <w:szCs w:val="22"/>
              </w:rPr>
              <w:t>tanδ（导体温度95</w:t>
            </w:r>
            <w:r>
              <w:rPr>
                <w:rFonts w:asciiTheme="minorEastAsia" w:hAnsiTheme="minorEastAsia" w:eastAsiaTheme="minorEastAsia"/>
                <w:sz w:val="22"/>
                <w:szCs w:val="22"/>
              </w:rPr>
              <w:sym w:font="Symbol" w:char="F0B0"/>
            </w:r>
            <w:r>
              <w:rPr>
                <w:rFonts w:hint="eastAsia" w:asciiTheme="minorEastAsia" w:hAnsiTheme="minorEastAsia" w:eastAsiaTheme="minorEastAsia"/>
                <w:sz w:val="22"/>
                <w:szCs w:val="22"/>
              </w:rPr>
              <w:t>C～100</w:t>
            </w:r>
            <w:r>
              <w:rPr>
                <w:rFonts w:asciiTheme="minorEastAsia" w:hAnsiTheme="minorEastAsia" w:eastAsiaTheme="minorEastAsia"/>
                <w:sz w:val="22"/>
                <w:szCs w:val="22"/>
              </w:rPr>
              <w:sym w:font="Symbol" w:char="F0B0"/>
            </w:r>
            <w:r>
              <w:rPr>
                <w:rFonts w:hint="eastAsia" w:asciiTheme="minorEastAsia" w:hAnsiTheme="minorEastAsia" w:eastAsiaTheme="minorEastAsia"/>
                <w:sz w:val="22"/>
                <w:szCs w:val="22"/>
              </w:rPr>
              <w:t>C，U</w:t>
            </w:r>
            <w:r>
              <w:rPr>
                <w:rFonts w:hint="eastAsia" w:asciiTheme="minorEastAsia" w:hAnsiTheme="minorEastAsia" w:eastAsiaTheme="minorEastAsia"/>
                <w:sz w:val="22"/>
                <w:szCs w:val="22"/>
                <w:vertAlign w:val="subscript"/>
              </w:rPr>
              <w:t>0</w:t>
            </w:r>
            <w:r>
              <w:rPr>
                <w:rFonts w:hint="eastAsia" w:asciiTheme="minorEastAsia" w:hAnsiTheme="minorEastAsia" w:eastAsiaTheme="minorEastAsia"/>
                <w:sz w:val="22"/>
                <w:szCs w:val="22"/>
              </w:rPr>
              <w:t>下）</w:t>
            </w:r>
          </w:p>
        </w:tc>
        <w:tc>
          <w:tcPr>
            <w:tcW w:w="2410" w:type="dxa"/>
            <w:tcBorders>
              <w:top w:val="nil"/>
              <w:left w:val="nil"/>
              <w:bottom w:val="single" w:color="auto" w:sz="4" w:space="0"/>
              <w:right w:val="single" w:color="auto" w:sz="4" w:space="0"/>
            </w:tcBorders>
            <w:vAlign w:val="center"/>
          </w:tcPr>
          <w:p w14:paraId="5595556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≤8</w:t>
            </w:r>
            <w:r>
              <w:rPr>
                <w:rFonts w:hint="eastAsia" w:cs="宋体" w:asciiTheme="minorEastAsia" w:hAnsiTheme="minorEastAsia" w:eastAsiaTheme="minorEastAsia"/>
                <w:kern w:val="0"/>
                <w:sz w:val="22"/>
                <w:szCs w:val="22"/>
              </w:rPr>
              <w:t>×10</w:t>
            </w:r>
            <w:r>
              <w:rPr>
                <w:rFonts w:hint="eastAsia" w:cs="宋体" w:asciiTheme="minorEastAsia" w:hAnsiTheme="minorEastAsia" w:eastAsiaTheme="minorEastAsia"/>
                <w:kern w:val="0"/>
                <w:sz w:val="22"/>
                <w:szCs w:val="22"/>
                <w:vertAlign w:val="superscript"/>
              </w:rPr>
              <w:t>-4</w:t>
            </w:r>
          </w:p>
        </w:tc>
        <w:tc>
          <w:tcPr>
            <w:tcW w:w="1417" w:type="dxa"/>
            <w:tcBorders>
              <w:top w:val="nil"/>
              <w:left w:val="nil"/>
              <w:bottom w:val="single" w:color="auto" w:sz="4" w:space="0"/>
              <w:right w:val="single" w:color="auto" w:sz="4" w:space="0"/>
            </w:tcBorders>
            <w:vAlign w:val="center"/>
          </w:tcPr>
          <w:p w14:paraId="5CFA06E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7EE734B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6DD384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6FC5BF4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1047264A">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14949A29">
            <w:pPr>
              <w:widowControl/>
              <w:jc w:val="center"/>
              <w:rPr>
                <w:rFonts w:asciiTheme="minorEastAsia" w:hAnsiTheme="minorEastAsia" w:eastAsiaTheme="minorEastAsia"/>
                <w:kern w:val="0"/>
                <w:sz w:val="22"/>
                <w:szCs w:val="22"/>
                <w:highlight w:val="yellow"/>
              </w:rPr>
            </w:pPr>
          </w:p>
        </w:tc>
      </w:tr>
      <w:tr w14:paraId="00F1381E">
        <w:tblPrEx>
          <w:tblCellMar>
            <w:top w:w="0" w:type="dxa"/>
            <w:left w:w="108" w:type="dxa"/>
            <w:bottom w:w="0" w:type="dxa"/>
            <w:right w:w="108" w:type="dxa"/>
          </w:tblCellMar>
        </w:tblPrEx>
        <w:trPr>
          <w:trHeight w:val="634" w:hRule="atLeast"/>
        </w:trPr>
        <w:tc>
          <w:tcPr>
            <w:tcW w:w="1135" w:type="dxa"/>
            <w:tcBorders>
              <w:top w:val="nil"/>
              <w:left w:val="single" w:color="auto" w:sz="4" w:space="0"/>
              <w:bottom w:val="single" w:color="auto" w:sz="4" w:space="0"/>
              <w:right w:val="single" w:color="auto" w:sz="4" w:space="0"/>
            </w:tcBorders>
            <w:vAlign w:val="center"/>
          </w:tcPr>
          <w:p w14:paraId="023A067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2.8</w:t>
            </w:r>
          </w:p>
        </w:tc>
        <w:tc>
          <w:tcPr>
            <w:tcW w:w="2551" w:type="dxa"/>
            <w:tcBorders>
              <w:top w:val="nil"/>
              <w:left w:val="nil"/>
              <w:bottom w:val="single" w:color="auto" w:sz="4" w:space="0"/>
              <w:right w:val="single" w:color="auto" w:sz="4" w:space="0"/>
            </w:tcBorders>
            <w:vAlign w:val="center"/>
          </w:tcPr>
          <w:p w14:paraId="07179A44">
            <w:pPr>
              <w:widowControl/>
              <w:jc w:val="left"/>
              <w:rPr>
                <w:rFonts w:asciiTheme="minorEastAsia" w:hAnsiTheme="minorEastAsia" w:eastAsiaTheme="minorEastAsia"/>
                <w:sz w:val="22"/>
                <w:szCs w:val="22"/>
              </w:rPr>
            </w:pPr>
            <w:r>
              <w:rPr>
                <w:rFonts w:hint="eastAsia" w:asciiTheme="minorEastAsia" w:hAnsiTheme="minorEastAsia" w:eastAsiaTheme="minorEastAsia"/>
                <w:sz w:val="22"/>
                <w:szCs w:val="22"/>
              </w:rPr>
              <w:t>雷电冲击试验（导体温度95</w:t>
            </w:r>
            <w:r>
              <w:rPr>
                <w:rFonts w:asciiTheme="minorEastAsia" w:hAnsiTheme="minorEastAsia" w:eastAsiaTheme="minorEastAsia"/>
                <w:sz w:val="22"/>
                <w:szCs w:val="22"/>
              </w:rPr>
              <w:sym w:font="Symbol" w:char="F0B0"/>
            </w:r>
            <w:r>
              <w:rPr>
                <w:rFonts w:hint="eastAsia" w:asciiTheme="minorEastAsia" w:hAnsiTheme="minorEastAsia" w:eastAsiaTheme="minorEastAsia"/>
                <w:sz w:val="22"/>
                <w:szCs w:val="22"/>
              </w:rPr>
              <w:t>C～100</w:t>
            </w:r>
            <w:r>
              <w:rPr>
                <w:rFonts w:asciiTheme="minorEastAsia" w:hAnsiTheme="minorEastAsia" w:eastAsiaTheme="minorEastAsia"/>
                <w:sz w:val="22"/>
                <w:szCs w:val="22"/>
              </w:rPr>
              <w:sym w:font="Symbol" w:char="F0B0"/>
            </w:r>
            <w:r>
              <w:rPr>
                <w:rFonts w:hint="eastAsia" w:asciiTheme="minorEastAsia" w:hAnsiTheme="minorEastAsia" w:eastAsiaTheme="minorEastAsia"/>
                <w:sz w:val="22"/>
                <w:szCs w:val="22"/>
              </w:rPr>
              <w:t>C下）</w:t>
            </w:r>
          </w:p>
        </w:tc>
        <w:tc>
          <w:tcPr>
            <w:tcW w:w="2410" w:type="dxa"/>
            <w:tcBorders>
              <w:top w:val="nil"/>
              <w:left w:val="nil"/>
              <w:bottom w:val="single" w:color="auto" w:sz="4" w:space="0"/>
              <w:right w:val="single" w:color="auto" w:sz="4" w:space="0"/>
            </w:tcBorders>
            <w:vAlign w:val="center"/>
          </w:tcPr>
          <w:p w14:paraId="2F85E6AB">
            <w:pPr>
              <w:widowControl/>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±1550</w:t>
            </w:r>
            <w:r>
              <w:rPr>
                <w:rFonts w:asciiTheme="minorEastAsia" w:hAnsiTheme="minorEastAsia" w:eastAsiaTheme="minorEastAsia"/>
                <w:sz w:val="22"/>
                <w:szCs w:val="22"/>
              </w:rPr>
              <w:t>kV</w:t>
            </w:r>
            <w:r>
              <w:rPr>
                <w:rFonts w:hint="eastAsia" w:asciiTheme="minorEastAsia" w:hAnsiTheme="minorEastAsia" w:eastAsiaTheme="minorEastAsia"/>
                <w:sz w:val="22"/>
                <w:szCs w:val="22"/>
              </w:rPr>
              <w:t>/各10次</w:t>
            </w:r>
          </w:p>
        </w:tc>
        <w:tc>
          <w:tcPr>
            <w:tcW w:w="1417" w:type="dxa"/>
            <w:tcBorders>
              <w:top w:val="nil"/>
              <w:left w:val="nil"/>
              <w:bottom w:val="single" w:color="auto" w:sz="4" w:space="0"/>
              <w:right w:val="single" w:color="auto" w:sz="4" w:space="0"/>
            </w:tcBorders>
            <w:vAlign w:val="center"/>
          </w:tcPr>
          <w:p w14:paraId="3EEEEEED">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单一</w:t>
            </w:r>
          </w:p>
        </w:tc>
        <w:tc>
          <w:tcPr>
            <w:tcW w:w="1843" w:type="dxa"/>
            <w:tcBorders>
              <w:top w:val="nil"/>
              <w:left w:val="nil"/>
              <w:bottom w:val="single" w:color="auto" w:sz="4" w:space="0"/>
              <w:right w:val="single" w:color="auto" w:sz="4" w:space="0"/>
            </w:tcBorders>
            <w:vAlign w:val="center"/>
          </w:tcPr>
          <w:p w14:paraId="6F50C94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0945D25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vAlign w:val="center"/>
          </w:tcPr>
          <w:p w14:paraId="56A2A2F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38532F15">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A41FF6F">
            <w:pPr>
              <w:widowControl/>
              <w:jc w:val="center"/>
              <w:rPr>
                <w:rFonts w:asciiTheme="minorEastAsia" w:hAnsiTheme="minorEastAsia" w:eastAsiaTheme="minorEastAsia"/>
                <w:kern w:val="0"/>
                <w:sz w:val="22"/>
                <w:szCs w:val="22"/>
              </w:rPr>
            </w:pPr>
          </w:p>
        </w:tc>
      </w:tr>
      <w:tr w14:paraId="01371159">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410294D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2.9</w:t>
            </w:r>
          </w:p>
        </w:tc>
        <w:tc>
          <w:tcPr>
            <w:tcW w:w="2551" w:type="dxa"/>
            <w:tcBorders>
              <w:top w:val="nil"/>
              <w:left w:val="nil"/>
              <w:bottom w:val="single" w:color="auto" w:sz="4" w:space="0"/>
              <w:right w:val="single" w:color="auto" w:sz="4" w:space="0"/>
            </w:tcBorders>
            <w:vAlign w:val="center"/>
          </w:tcPr>
          <w:p w14:paraId="1B15C472">
            <w:pPr>
              <w:rPr>
                <w:rFonts w:asciiTheme="minorEastAsia" w:hAnsiTheme="minorEastAsia" w:eastAsiaTheme="minorEastAsia"/>
                <w:sz w:val="22"/>
                <w:szCs w:val="22"/>
              </w:rPr>
            </w:pPr>
            <w:r>
              <w:rPr>
                <w:rFonts w:hint="eastAsia" w:asciiTheme="minorEastAsia" w:hAnsiTheme="minorEastAsia" w:eastAsiaTheme="minorEastAsia"/>
                <w:sz w:val="22"/>
                <w:szCs w:val="22"/>
              </w:rPr>
              <w:t>电缆电容</w:t>
            </w:r>
          </w:p>
        </w:tc>
        <w:tc>
          <w:tcPr>
            <w:tcW w:w="2410" w:type="dxa"/>
            <w:tcBorders>
              <w:top w:val="nil"/>
              <w:left w:val="nil"/>
              <w:bottom w:val="single" w:color="auto" w:sz="4" w:space="0"/>
              <w:right w:val="single" w:color="auto" w:sz="4" w:space="0"/>
            </w:tcBorders>
            <w:vAlign w:val="center"/>
          </w:tcPr>
          <w:p w14:paraId="2D1E0668">
            <w:pPr>
              <w:widowControl/>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w:t>
            </w:r>
          </w:p>
        </w:tc>
        <w:tc>
          <w:tcPr>
            <w:tcW w:w="1417" w:type="dxa"/>
            <w:tcBorders>
              <w:top w:val="nil"/>
              <w:left w:val="nil"/>
              <w:bottom w:val="single" w:color="auto" w:sz="4" w:space="0"/>
              <w:right w:val="single" w:color="auto" w:sz="4" w:space="0"/>
            </w:tcBorders>
            <w:vAlign w:val="center"/>
          </w:tcPr>
          <w:p w14:paraId="73E89813">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3D1EF80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81D15C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3EDA58B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5989B533">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12F94E21">
            <w:pPr>
              <w:widowControl/>
              <w:jc w:val="center"/>
              <w:rPr>
                <w:rFonts w:asciiTheme="minorEastAsia" w:hAnsiTheme="minorEastAsia" w:eastAsiaTheme="minorEastAsia"/>
                <w:kern w:val="0"/>
                <w:sz w:val="22"/>
                <w:szCs w:val="22"/>
              </w:rPr>
            </w:pPr>
          </w:p>
        </w:tc>
      </w:tr>
      <w:tr w14:paraId="0612E32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8A1302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2.10</w:t>
            </w:r>
          </w:p>
        </w:tc>
        <w:tc>
          <w:tcPr>
            <w:tcW w:w="2551" w:type="dxa"/>
            <w:tcBorders>
              <w:top w:val="nil"/>
              <w:left w:val="nil"/>
              <w:bottom w:val="single" w:color="auto" w:sz="4" w:space="0"/>
              <w:right w:val="single" w:color="auto" w:sz="4" w:space="0"/>
            </w:tcBorders>
            <w:vAlign w:val="center"/>
          </w:tcPr>
          <w:p w14:paraId="1AC0A063">
            <w:pPr>
              <w:rPr>
                <w:rFonts w:asciiTheme="minorEastAsia" w:hAnsiTheme="minorEastAsia" w:eastAsiaTheme="minorEastAsia"/>
                <w:sz w:val="22"/>
                <w:szCs w:val="22"/>
              </w:rPr>
            </w:pPr>
            <w:r>
              <w:rPr>
                <w:rFonts w:hint="eastAsia" w:asciiTheme="minorEastAsia" w:hAnsiTheme="minorEastAsia" w:eastAsiaTheme="minorEastAsia"/>
                <w:sz w:val="22"/>
                <w:szCs w:val="22"/>
              </w:rPr>
              <w:t>出厂工频电压试验</w:t>
            </w:r>
          </w:p>
        </w:tc>
        <w:tc>
          <w:tcPr>
            <w:tcW w:w="2410" w:type="dxa"/>
            <w:tcBorders>
              <w:top w:val="nil"/>
              <w:left w:val="nil"/>
              <w:bottom w:val="single" w:color="auto" w:sz="4" w:space="0"/>
              <w:right w:val="single" w:color="auto" w:sz="4" w:space="0"/>
            </w:tcBorders>
            <w:vAlign w:val="center"/>
          </w:tcPr>
          <w:p w14:paraId="6AD5A398">
            <w:pPr>
              <w:widowControl/>
              <w:spacing w:before="240"/>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每根交货电缆应经受 2U</w:t>
            </w:r>
            <w:r>
              <w:rPr>
                <w:rFonts w:asciiTheme="minorEastAsia" w:hAnsiTheme="minorEastAsia" w:eastAsiaTheme="minorEastAsia"/>
                <w:sz w:val="22"/>
                <w:szCs w:val="22"/>
                <w:vertAlign w:val="subscript"/>
              </w:rPr>
              <w:t>0</w:t>
            </w:r>
            <w:r>
              <w:rPr>
                <w:rFonts w:hint="eastAsia" w:asciiTheme="minorEastAsia" w:hAnsiTheme="minorEastAsia" w:eastAsiaTheme="minorEastAsia"/>
                <w:sz w:val="22"/>
                <w:szCs w:val="22"/>
              </w:rPr>
              <w:t>, 60 min频率不低于10Hz的交流电压试验。</w:t>
            </w:r>
          </w:p>
        </w:tc>
        <w:tc>
          <w:tcPr>
            <w:tcW w:w="1417" w:type="dxa"/>
            <w:tcBorders>
              <w:top w:val="nil"/>
              <w:left w:val="nil"/>
              <w:bottom w:val="single" w:color="auto" w:sz="4" w:space="0"/>
              <w:right w:val="single" w:color="auto" w:sz="4" w:space="0"/>
            </w:tcBorders>
            <w:vAlign w:val="center"/>
          </w:tcPr>
          <w:p w14:paraId="20F1EFD0">
            <w:pPr>
              <w:widowControl/>
              <w:jc w:val="center"/>
              <w:rPr>
                <w:rFonts w:asciiTheme="minorEastAsia" w:hAnsiTheme="minorEastAsia" w:eastAsiaTheme="minorEastAsia"/>
                <w:bCs/>
                <w:kern w:val="0"/>
                <w:sz w:val="22"/>
                <w:szCs w:val="22"/>
              </w:rPr>
            </w:pPr>
            <w:r>
              <w:rPr>
                <w:rFonts w:asciiTheme="minorEastAsia" w:hAnsiTheme="minorEastAsia" w:eastAsiaTheme="minorEastAsia"/>
                <w:bCs/>
                <w:kern w:val="0"/>
                <w:sz w:val="22"/>
                <w:szCs w:val="22"/>
              </w:rPr>
              <w:t>单一</w:t>
            </w:r>
          </w:p>
        </w:tc>
        <w:tc>
          <w:tcPr>
            <w:tcW w:w="1843" w:type="dxa"/>
            <w:tcBorders>
              <w:top w:val="nil"/>
              <w:left w:val="nil"/>
              <w:bottom w:val="single" w:color="auto" w:sz="4" w:space="0"/>
              <w:right w:val="single" w:color="auto" w:sz="4" w:space="0"/>
            </w:tcBorders>
            <w:vAlign w:val="center"/>
          </w:tcPr>
          <w:p w14:paraId="7C89C01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4B9C62F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vAlign w:val="center"/>
          </w:tcPr>
          <w:p w14:paraId="498E7C5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7A442BA7">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44BAC04">
            <w:pPr>
              <w:widowControl/>
              <w:jc w:val="center"/>
              <w:rPr>
                <w:rFonts w:asciiTheme="minorEastAsia" w:hAnsiTheme="minorEastAsia" w:eastAsiaTheme="minorEastAsia"/>
                <w:kern w:val="0"/>
                <w:sz w:val="22"/>
                <w:szCs w:val="22"/>
              </w:rPr>
            </w:pPr>
          </w:p>
        </w:tc>
      </w:tr>
      <w:tr w14:paraId="36954E9B">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DA136D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2.11</w:t>
            </w:r>
          </w:p>
        </w:tc>
        <w:tc>
          <w:tcPr>
            <w:tcW w:w="2551" w:type="dxa"/>
            <w:tcBorders>
              <w:top w:val="nil"/>
              <w:left w:val="nil"/>
              <w:bottom w:val="single" w:color="auto" w:sz="4" w:space="0"/>
              <w:right w:val="single" w:color="auto" w:sz="4" w:space="0"/>
            </w:tcBorders>
            <w:vAlign w:val="center"/>
          </w:tcPr>
          <w:p w14:paraId="4CC2CB79">
            <w:pPr>
              <w:rPr>
                <w:rFonts w:asciiTheme="minorEastAsia" w:hAnsiTheme="minorEastAsia" w:eastAsiaTheme="minorEastAsia"/>
                <w:sz w:val="22"/>
                <w:szCs w:val="22"/>
              </w:rPr>
            </w:pPr>
            <w:r>
              <w:rPr>
                <w:rFonts w:hint="eastAsia" w:asciiTheme="minorEastAsia" w:hAnsiTheme="minorEastAsia" w:eastAsiaTheme="minorEastAsia"/>
                <w:sz w:val="22"/>
                <w:szCs w:val="22"/>
              </w:rPr>
              <w:t>安装后工频电压试验</w:t>
            </w:r>
          </w:p>
        </w:tc>
        <w:tc>
          <w:tcPr>
            <w:tcW w:w="2410" w:type="dxa"/>
            <w:tcBorders>
              <w:top w:val="nil"/>
              <w:left w:val="nil"/>
              <w:bottom w:val="single" w:color="auto" w:sz="4" w:space="0"/>
              <w:right w:val="single" w:color="auto" w:sz="4" w:space="0"/>
            </w:tcBorders>
            <w:vAlign w:val="center"/>
          </w:tcPr>
          <w:p w14:paraId="6804BF37">
            <w:pPr>
              <w:widowControl/>
              <w:jc w:val="center"/>
              <w:rPr>
                <w:rFonts w:asciiTheme="minorEastAsia" w:hAnsiTheme="minorEastAsia" w:eastAsiaTheme="minorEastAsia"/>
                <w:sz w:val="22"/>
                <w:szCs w:val="22"/>
              </w:rPr>
            </w:pPr>
            <w:r>
              <w:rPr>
                <w:rFonts w:asciiTheme="minorEastAsia" w:hAnsiTheme="minorEastAsia" w:eastAsiaTheme="minorEastAsia"/>
                <w:sz w:val="22"/>
                <w:szCs w:val="22"/>
              </w:rPr>
              <w:t>493kV/1h</w:t>
            </w:r>
            <w:r>
              <w:rPr>
                <w:rFonts w:hint="eastAsia" w:asciiTheme="minorEastAsia" w:hAnsiTheme="minorEastAsia" w:eastAsiaTheme="minorEastAsia"/>
                <w:sz w:val="22"/>
                <w:szCs w:val="22"/>
              </w:rPr>
              <w:t>或290kV/24h但应优先选择493/1h方式</w:t>
            </w:r>
          </w:p>
        </w:tc>
        <w:tc>
          <w:tcPr>
            <w:tcW w:w="1417" w:type="dxa"/>
            <w:tcBorders>
              <w:top w:val="nil"/>
              <w:left w:val="nil"/>
              <w:bottom w:val="single" w:color="auto" w:sz="4" w:space="0"/>
              <w:right w:val="single" w:color="auto" w:sz="4" w:space="0"/>
            </w:tcBorders>
            <w:vAlign w:val="center"/>
          </w:tcPr>
          <w:p w14:paraId="19288E27">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43E23A9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8EEBD8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vAlign w:val="center"/>
          </w:tcPr>
          <w:p w14:paraId="59EA860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15241F59">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5D34F48">
            <w:pPr>
              <w:widowControl/>
              <w:jc w:val="center"/>
              <w:rPr>
                <w:rFonts w:asciiTheme="minorEastAsia" w:hAnsiTheme="minorEastAsia" w:eastAsiaTheme="minorEastAsia"/>
                <w:kern w:val="0"/>
                <w:sz w:val="22"/>
                <w:szCs w:val="22"/>
              </w:rPr>
            </w:pPr>
          </w:p>
        </w:tc>
      </w:tr>
      <w:tr w14:paraId="4B6915BD">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8F554CC">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rPr>
              <w:t>2.12</w:t>
            </w:r>
          </w:p>
        </w:tc>
        <w:tc>
          <w:tcPr>
            <w:tcW w:w="2551" w:type="dxa"/>
            <w:tcBorders>
              <w:top w:val="nil"/>
              <w:left w:val="nil"/>
              <w:bottom w:val="single" w:color="auto" w:sz="4" w:space="0"/>
              <w:right w:val="single" w:color="auto" w:sz="4" w:space="0"/>
            </w:tcBorders>
            <w:vAlign w:val="center"/>
          </w:tcPr>
          <w:p w14:paraId="16C2CA56">
            <w:pPr>
              <w:rPr>
                <w:rFonts w:asciiTheme="minorEastAsia" w:hAnsiTheme="minorEastAsia" w:eastAsiaTheme="minorEastAsia"/>
                <w:sz w:val="22"/>
                <w:szCs w:val="22"/>
              </w:rPr>
            </w:pPr>
            <w:r>
              <w:rPr>
                <w:rFonts w:hint="eastAsia" w:asciiTheme="minorEastAsia" w:hAnsiTheme="minorEastAsia" w:eastAsiaTheme="minorEastAsia"/>
                <w:sz w:val="22"/>
                <w:szCs w:val="22"/>
              </w:rPr>
              <w:t>23℃半导电外护套的电阻率测量</w:t>
            </w:r>
          </w:p>
        </w:tc>
        <w:tc>
          <w:tcPr>
            <w:tcW w:w="2410" w:type="dxa"/>
            <w:tcBorders>
              <w:top w:val="nil"/>
              <w:left w:val="nil"/>
              <w:bottom w:val="single" w:color="auto" w:sz="4" w:space="0"/>
              <w:right w:val="single" w:color="auto" w:sz="4" w:space="0"/>
            </w:tcBorders>
            <w:vAlign w:val="center"/>
          </w:tcPr>
          <w:p w14:paraId="49D90FDF">
            <w:pPr>
              <w:jc w:val="center"/>
              <w:rPr>
                <w:rFonts w:asciiTheme="minorEastAsia" w:hAnsiTheme="minorEastAsia" w:eastAsiaTheme="minorEastAsia"/>
                <w:sz w:val="22"/>
                <w:szCs w:val="22"/>
              </w:rPr>
            </w:pPr>
            <w:r>
              <w:rPr>
                <w:rFonts w:asciiTheme="minorEastAsia" w:hAnsiTheme="minorEastAsia" w:eastAsiaTheme="minorEastAsia"/>
                <w:sz w:val="22"/>
                <w:szCs w:val="22"/>
              </w:rPr>
              <w:t>≤1.0Ω*m</w:t>
            </w:r>
          </w:p>
        </w:tc>
        <w:tc>
          <w:tcPr>
            <w:tcW w:w="1417" w:type="dxa"/>
            <w:tcBorders>
              <w:top w:val="nil"/>
              <w:left w:val="nil"/>
              <w:bottom w:val="single" w:color="auto" w:sz="4" w:space="0"/>
              <w:right w:val="single" w:color="auto" w:sz="4" w:space="0"/>
            </w:tcBorders>
            <w:vAlign w:val="center"/>
          </w:tcPr>
          <w:p w14:paraId="2742B48E">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45157D8F">
            <w:pPr>
              <w:widowControl/>
              <w:jc w:val="center"/>
              <w:rPr>
                <w:rFonts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vAlign w:val="center"/>
          </w:tcPr>
          <w:p w14:paraId="647EA5D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69AD59EF">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检测报告</w:t>
            </w:r>
          </w:p>
        </w:tc>
        <w:tc>
          <w:tcPr>
            <w:tcW w:w="1233" w:type="dxa"/>
            <w:tcBorders>
              <w:top w:val="nil"/>
              <w:left w:val="nil"/>
              <w:bottom w:val="single" w:color="auto" w:sz="4" w:space="0"/>
              <w:right w:val="single" w:color="auto" w:sz="4" w:space="0"/>
            </w:tcBorders>
            <w:vAlign w:val="center"/>
          </w:tcPr>
          <w:p w14:paraId="3A601970">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13BCC1F2">
            <w:pPr>
              <w:widowControl/>
              <w:jc w:val="center"/>
              <w:rPr>
                <w:rFonts w:asciiTheme="minorEastAsia" w:hAnsiTheme="minorEastAsia" w:eastAsiaTheme="minorEastAsia"/>
                <w:kern w:val="0"/>
                <w:sz w:val="22"/>
                <w:szCs w:val="22"/>
              </w:rPr>
            </w:pPr>
          </w:p>
        </w:tc>
      </w:tr>
      <w:tr w14:paraId="6216B5E8">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973CFA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2.13</w:t>
            </w:r>
          </w:p>
        </w:tc>
        <w:tc>
          <w:tcPr>
            <w:tcW w:w="2551" w:type="dxa"/>
            <w:tcBorders>
              <w:top w:val="nil"/>
              <w:left w:val="nil"/>
              <w:bottom w:val="single" w:color="auto" w:sz="4" w:space="0"/>
              <w:right w:val="single" w:color="auto" w:sz="4" w:space="0"/>
            </w:tcBorders>
            <w:vAlign w:val="center"/>
          </w:tcPr>
          <w:p w14:paraId="0AF2D56D">
            <w:pPr>
              <w:rPr>
                <w:rFonts w:asciiTheme="minorEastAsia" w:hAnsiTheme="minorEastAsia" w:eastAsiaTheme="minorEastAsia"/>
                <w:sz w:val="22"/>
                <w:szCs w:val="22"/>
              </w:rPr>
            </w:pPr>
            <w:r>
              <w:rPr>
                <w:rFonts w:hint="eastAsia" w:asciiTheme="minorEastAsia" w:hAnsiTheme="minorEastAsia" w:eastAsiaTheme="minorEastAsia"/>
                <w:sz w:val="22"/>
                <w:szCs w:val="22"/>
              </w:rPr>
              <w:t>海缆损耗</w:t>
            </w:r>
          </w:p>
        </w:tc>
        <w:tc>
          <w:tcPr>
            <w:tcW w:w="2410" w:type="dxa"/>
            <w:tcBorders>
              <w:top w:val="nil"/>
              <w:left w:val="nil"/>
              <w:bottom w:val="single" w:color="auto" w:sz="4" w:space="0"/>
              <w:right w:val="single" w:color="auto" w:sz="4" w:space="0"/>
            </w:tcBorders>
            <w:vAlign w:val="center"/>
          </w:tcPr>
          <w:p w14:paraId="20F26535">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≤1</w:t>
            </w:r>
            <w:r>
              <w:rPr>
                <w:rFonts w:asciiTheme="minorEastAsia" w:hAnsiTheme="minorEastAsia" w:eastAsiaTheme="minorEastAsia"/>
                <w:sz w:val="22"/>
                <w:szCs w:val="22"/>
              </w:rPr>
              <w:t>1</w:t>
            </w:r>
            <w:r>
              <w:rPr>
                <w:rFonts w:hint="eastAsia" w:asciiTheme="minorEastAsia" w:hAnsiTheme="minorEastAsia" w:eastAsiaTheme="minorEastAsia"/>
                <w:sz w:val="22"/>
                <w:szCs w:val="22"/>
              </w:rPr>
              <w:t>0</w:t>
            </w:r>
            <w:r>
              <w:t>kW/km</w:t>
            </w:r>
          </w:p>
        </w:tc>
        <w:tc>
          <w:tcPr>
            <w:tcW w:w="1417" w:type="dxa"/>
            <w:tcBorders>
              <w:top w:val="nil"/>
              <w:left w:val="nil"/>
              <w:bottom w:val="single" w:color="auto" w:sz="4" w:space="0"/>
              <w:right w:val="single" w:color="auto" w:sz="4" w:space="0"/>
            </w:tcBorders>
            <w:vAlign w:val="center"/>
          </w:tcPr>
          <w:p w14:paraId="0E2154FC">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2FC5F9E6">
            <w:pPr>
              <w:widowControl/>
              <w:jc w:val="center"/>
              <w:rPr>
                <w:rFonts w:asciiTheme="minorEastAsia" w:hAnsiTheme="minorEastAsia" w:eastAsiaTheme="minorEastAsia"/>
                <w:sz w:val="22"/>
                <w:szCs w:val="22"/>
              </w:rPr>
            </w:pPr>
          </w:p>
        </w:tc>
        <w:tc>
          <w:tcPr>
            <w:tcW w:w="1559" w:type="dxa"/>
            <w:tcBorders>
              <w:top w:val="nil"/>
              <w:left w:val="nil"/>
              <w:bottom w:val="single" w:color="auto" w:sz="4" w:space="0"/>
              <w:right w:val="single" w:color="auto" w:sz="4" w:space="0"/>
            </w:tcBorders>
            <w:vAlign w:val="center"/>
          </w:tcPr>
          <w:p w14:paraId="5910C8C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73F3DE3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海缆损耗计算书</w:t>
            </w:r>
          </w:p>
        </w:tc>
        <w:tc>
          <w:tcPr>
            <w:tcW w:w="1233" w:type="dxa"/>
            <w:tcBorders>
              <w:top w:val="nil"/>
              <w:left w:val="nil"/>
              <w:bottom w:val="single" w:color="auto" w:sz="4" w:space="0"/>
              <w:right w:val="single" w:color="auto" w:sz="4" w:space="0"/>
            </w:tcBorders>
            <w:vAlign w:val="center"/>
          </w:tcPr>
          <w:p w14:paraId="6DA11FAC">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59490A23">
            <w:pPr>
              <w:widowControl/>
              <w:jc w:val="center"/>
              <w:rPr>
                <w:rFonts w:asciiTheme="minorEastAsia" w:hAnsiTheme="minorEastAsia" w:eastAsiaTheme="minorEastAsia"/>
                <w:kern w:val="0"/>
                <w:sz w:val="22"/>
                <w:szCs w:val="22"/>
              </w:rPr>
            </w:pPr>
          </w:p>
        </w:tc>
      </w:tr>
      <w:tr w14:paraId="20EC63CE">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1C4D734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w:t>
            </w:r>
          </w:p>
        </w:tc>
        <w:tc>
          <w:tcPr>
            <w:tcW w:w="13514" w:type="dxa"/>
            <w:gridSpan w:val="8"/>
            <w:tcBorders>
              <w:top w:val="nil"/>
              <w:left w:val="nil"/>
              <w:bottom w:val="single" w:color="auto" w:sz="4" w:space="0"/>
              <w:right w:val="single" w:color="auto" w:sz="4" w:space="0"/>
            </w:tcBorders>
            <w:vAlign w:val="center"/>
          </w:tcPr>
          <w:p w14:paraId="624C3725">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制作工艺</w:t>
            </w:r>
          </w:p>
        </w:tc>
      </w:tr>
      <w:tr w14:paraId="17D407C5">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27BD95C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3.1</w:t>
            </w:r>
          </w:p>
        </w:tc>
        <w:tc>
          <w:tcPr>
            <w:tcW w:w="2551" w:type="dxa"/>
            <w:tcBorders>
              <w:top w:val="nil"/>
              <w:left w:val="nil"/>
              <w:bottom w:val="single" w:color="auto" w:sz="4" w:space="0"/>
              <w:right w:val="single" w:color="auto" w:sz="4" w:space="0"/>
            </w:tcBorders>
            <w:vAlign w:val="center"/>
          </w:tcPr>
          <w:p w14:paraId="2F26BE45">
            <w:pPr>
              <w:rPr>
                <w:rFonts w:asciiTheme="minorEastAsia" w:hAnsiTheme="minorEastAsia" w:eastAsiaTheme="minorEastAsia"/>
                <w:sz w:val="22"/>
                <w:szCs w:val="22"/>
              </w:rPr>
            </w:pPr>
            <w:r>
              <w:rPr>
                <w:rFonts w:hint="eastAsia" w:asciiTheme="minorEastAsia" w:hAnsiTheme="minorEastAsia" w:eastAsiaTheme="minorEastAsia"/>
                <w:sz w:val="22"/>
                <w:szCs w:val="22"/>
              </w:rPr>
              <w:t>除气温度</w:t>
            </w:r>
          </w:p>
        </w:tc>
        <w:tc>
          <w:tcPr>
            <w:tcW w:w="2410" w:type="dxa"/>
            <w:tcBorders>
              <w:top w:val="nil"/>
              <w:left w:val="nil"/>
              <w:bottom w:val="single" w:color="auto" w:sz="4" w:space="0"/>
              <w:right w:val="single" w:color="auto" w:sz="4" w:space="0"/>
            </w:tcBorders>
          </w:tcPr>
          <w:p w14:paraId="7C5E1688">
            <w:pPr>
              <w:jc w:val="center"/>
              <w:rPr>
                <w:rFonts w:asciiTheme="minorEastAsia" w:hAnsiTheme="minorEastAsia" w:eastAsiaTheme="minorEastAsia"/>
                <w:sz w:val="22"/>
                <w:szCs w:val="22"/>
              </w:rPr>
            </w:pPr>
            <w:r>
              <w:rPr>
                <w:rFonts w:asciiTheme="minorEastAsia" w:hAnsiTheme="minorEastAsia" w:eastAsiaTheme="minorEastAsia"/>
                <w:sz w:val="22"/>
                <w:szCs w:val="22"/>
              </w:rPr>
              <w:t>/</w:t>
            </w:r>
          </w:p>
        </w:tc>
        <w:tc>
          <w:tcPr>
            <w:tcW w:w="1417" w:type="dxa"/>
            <w:tcBorders>
              <w:top w:val="nil"/>
              <w:left w:val="nil"/>
              <w:bottom w:val="single" w:color="auto" w:sz="4" w:space="0"/>
              <w:right w:val="single" w:color="auto" w:sz="4" w:space="0"/>
            </w:tcBorders>
            <w:vAlign w:val="center"/>
          </w:tcPr>
          <w:p w14:paraId="40936BD2">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729C406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F5FF64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4F77DEA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44A4A26D">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7AF80490">
            <w:pPr>
              <w:widowControl/>
              <w:jc w:val="center"/>
              <w:rPr>
                <w:rFonts w:asciiTheme="minorEastAsia" w:hAnsiTheme="minorEastAsia" w:eastAsiaTheme="minorEastAsia"/>
                <w:kern w:val="0"/>
                <w:sz w:val="22"/>
                <w:szCs w:val="22"/>
              </w:rPr>
            </w:pPr>
          </w:p>
        </w:tc>
      </w:tr>
      <w:tr w14:paraId="7DB6ED33">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3C3AC2F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3.2</w:t>
            </w:r>
          </w:p>
        </w:tc>
        <w:tc>
          <w:tcPr>
            <w:tcW w:w="2551" w:type="dxa"/>
            <w:tcBorders>
              <w:top w:val="nil"/>
              <w:left w:val="nil"/>
              <w:bottom w:val="single" w:color="auto" w:sz="4" w:space="0"/>
              <w:right w:val="single" w:color="auto" w:sz="4" w:space="0"/>
            </w:tcBorders>
            <w:vAlign w:val="center"/>
          </w:tcPr>
          <w:p w14:paraId="35576D7B">
            <w:pPr>
              <w:rPr>
                <w:rFonts w:asciiTheme="minorEastAsia" w:hAnsiTheme="minorEastAsia" w:eastAsiaTheme="minorEastAsia"/>
                <w:sz w:val="22"/>
                <w:szCs w:val="22"/>
              </w:rPr>
            </w:pPr>
            <w:r>
              <w:rPr>
                <w:rFonts w:hint="eastAsia" w:asciiTheme="minorEastAsia" w:hAnsiTheme="minorEastAsia" w:eastAsiaTheme="minorEastAsia"/>
                <w:sz w:val="22"/>
                <w:szCs w:val="22"/>
              </w:rPr>
              <w:t>除气时间</w:t>
            </w:r>
          </w:p>
        </w:tc>
        <w:tc>
          <w:tcPr>
            <w:tcW w:w="2410" w:type="dxa"/>
            <w:tcBorders>
              <w:top w:val="nil"/>
              <w:left w:val="nil"/>
              <w:bottom w:val="single" w:color="auto" w:sz="4" w:space="0"/>
              <w:right w:val="single" w:color="auto" w:sz="4" w:space="0"/>
            </w:tcBorders>
          </w:tcPr>
          <w:p w14:paraId="760FCE0A">
            <w:pPr>
              <w:jc w:val="center"/>
              <w:rPr>
                <w:rFonts w:asciiTheme="minorEastAsia" w:hAnsiTheme="minorEastAsia" w:eastAsiaTheme="minorEastAsia"/>
                <w:sz w:val="22"/>
                <w:szCs w:val="22"/>
              </w:rPr>
            </w:pPr>
            <w:r>
              <w:rPr>
                <w:rFonts w:asciiTheme="minorEastAsia" w:hAnsiTheme="minorEastAsia" w:eastAsiaTheme="minorEastAsia"/>
                <w:sz w:val="22"/>
                <w:szCs w:val="22"/>
              </w:rPr>
              <w:t>/</w:t>
            </w:r>
          </w:p>
        </w:tc>
        <w:tc>
          <w:tcPr>
            <w:tcW w:w="1417" w:type="dxa"/>
            <w:tcBorders>
              <w:top w:val="nil"/>
              <w:left w:val="nil"/>
              <w:bottom w:val="single" w:color="auto" w:sz="4" w:space="0"/>
              <w:right w:val="single" w:color="auto" w:sz="4" w:space="0"/>
            </w:tcBorders>
            <w:vAlign w:val="center"/>
          </w:tcPr>
          <w:p w14:paraId="576044FA">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投标方提供</w:t>
            </w:r>
          </w:p>
        </w:tc>
        <w:tc>
          <w:tcPr>
            <w:tcW w:w="1843" w:type="dxa"/>
            <w:tcBorders>
              <w:top w:val="nil"/>
              <w:left w:val="nil"/>
              <w:bottom w:val="single" w:color="auto" w:sz="4" w:space="0"/>
              <w:right w:val="single" w:color="auto" w:sz="4" w:space="0"/>
            </w:tcBorders>
            <w:vAlign w:val="center"/>
          </w:tcPr>
          <w:p w14:paraId="234301A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CA39E3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投标方填写（文本型）</w:t>
            </w:r>
          </w:p>
        </w:tc>
        <w:tc>
          <w:tcPr>
            <w:tcW w:w="1134" w:type="dxa"/>
            <w:tcBorders>
              <w:top w:val="nil"/>
              <w:left w:val="nil"/>
              <w:bottom w:val="single" w:color="auto" w:sz="4" w:space="0"/>
              <w:right w:val="single" w:color="auto" w:sz="4" w:space="0"/>
            </w:tcBorders>
            <w:vAlign w:val="center"/>
          </w:tcPr>
          <w:p w14:paraId="0BFA6EF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233" w:type="dxa"/>
            <w:tcBorders>
              <w:top w:val="nil"/>
              <w:left w:val="nil"/>
              <w:bottom w:val="single" w:color="auto" w:sz="4" w:space="0"/>
              <w:right w:val="single" w:color="auto" w:sz="4" w:space="0"/>
            </w:tcBorders>
            <w:vAlign w:val="center"/>
          </w:tcPr>
          <w:p w14:paraId="217ED2CB">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196974EA">
            <w:pPr>
              <w:widowControl/>
              <w:jc w:val="center"/>
              <w:rPr>
                <w:rFonts w:asciiTheme="minorEastAsia" w:hAnsiTheme="minorEastAsia" w:eastAsiaTheme="minorEastAsia"/>
                <w:kern w:val="0"/>
                <w:sz w:val="22"/>
                <w:szCs w:val="22"/>
              </w:rPr>
            </w:pPr>
          </w:p>
        </w:tc>
      </w:tr>
      <w:tr w14:paraId="304F1DA4">
        <w:tblPrEx>
          <w:tblCellMar>
            <w:top w:w="0" w:type="dxa"/>
            <w:left w:w="108" w:type="dxa"/>
            <w:bottom w:w="0" w:type="dxa"/>
            <w:right w:w="108" w:type="dxa"/>
          </w:tblCellMar>
        </w:tblPrEx>
        <w:trPr>
          <w:trHeight w:val="330" w:hRule="atLeast"/>
        </w:trPr>
        <w:tc>
          <w:tcPr>
            <w:tcW w:w="1135" w:type="dxa"/>
            <w:tcBorders>
              <w:top w:val="nil"/>
              <w:left w:val="single" w:color="auto" w:sz="4" w:space="0"/>
              <w:bottom w:val="single" w:color="auto" w:sz="4" w:space="0"/>
              <w:right w:val="single" w:color="auto" w:sz="4" w:space="0"/>
            </w:tcBorders>
            <w:vAlign w:val="center"/>
          </w:tcPr>
          <w:p w14:paraId="6DB6C692">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3.3</w:t>
            </w:r>
          </w:p>
        </w:tc>
        <w:tc>
          <w:tcPr>
            <w:tcW w:w="2551" w:type="dxa"/>
            <w:tcBorders>
              <w:top w:val="nil"/>
              <w:left w:val="nil"/>
              <w:bottom w:val="single" w:color="auto" w:sz="4" w:space="0"/>
              <w:right w:val="single" w:color="auto" w:sz="4" w:space="0"/>
            </w:tcBorders>
            <w:vAlign w:val="center"/>
          </w:tcPr>
          <w:p w14:paraId="17ECB16C">
            <w:pPr>
              <w:rPr>
                <w:rFonts w:asciiTheme="minorEastAsia" w:hAnsiTheme="minorEastAsia" w:eastAsiaTheme="minorEastAsia"/>
                <w:sz w:val="22"/>
                <w:szCs w:val="22"/>
              </w:rPr>
            </w:pPr>
            <w:r>
              <w:rPr>
                <w:rFonts w:hint="eastAsia" w:asciiTheme="minorEastAsia" w:hAnsiTheme="minorEastAsia" w:eastAsiaTheme="minorEastAsia"/>
                <w:sz w:val="22"/>
                <w:szCs w:val="22"/>
              </w:rPr>
              <w:t>交联工艺</w:t>
            </w:r>
          </w:p>
        </w:tc>
        <w:tc>
          <w:tcPr>
            <w:tcW w:w="2410" w:type="dxa"/>
            <w:tcBorders>
              <w:top w:val="nil"/>
              <w:left w:val="nil"/>
              <w:bottom w:val="single" w:color="auto" w:sz="4" w:space="0"/>
              <w:right w:val="single" w:color="auto" w:sz="4" w:space="0"/>
            </w:tcBorders>
            <w:vAlign w:val="center"/>
          </w:tcPr>
          <w:p w14:paraId="6E5F42BD">
            <w:pPr>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w:t>
            </w:r>
          </w:p>
        </w:tc>
        <w:tc>
          <w:tcPr>
            <w:tcW w:w="1417" w:type="dxa"/>
            <w:tcBorders>
              <w:top w:val="nil"/>
              <w:left w:val="nil"/>
              <w:bottom w:val="single" w:color="auto" w:sz="4" w:space="0"/>
              <w:right w:val="single" w:color="auto" w:sz="4" w:space="0"/>
            </w:tcBorders>
            <w:vAlign w:val="center"/>
          </w:tcPr>
          <w:p w14:paraId="579049F0">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单一</w:t>
            </w:r>
          </w:p>
        </w:tc>
        <w:tc>
          <w:tcPr>
            <w:tcW w:w="1843" w:type="dxa"/>
            <w:tcBorders>
              <w:top w:val="nil"/>
              <w:left w:val="nil"/>
              <w:bottom w:val="single" w:color="auto" w:sz="4" w:space="0"/>
              <w:right w:val="single" w:color="auto" w:sz="4" w:space="0"/>
            </w:tcBorders>
            <w:vAlign w:val="center"/>
          </w:tcPr>
          <w:p w14:paraId="5571710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立塔干式（VCV）</w:t>
            </w:r>
          </w:p>
        </w:tc>
        <w:tc>
          <w:tcPr>
            <w:tcW w:w="1559" w:type="dxa"/>
            <w:tcBorders>
              <w:top w:val="nil"/>
              <w:left w:val="nil"/>
              <w:bottom w:val="single" w:color="auto" w:sz="4" w:space="0"/>
              <w:right w:val="single" w:color="auto" w:sz="4" w:space="0"/>
            </w:tcBorders>
            <w:vAlign w:val="center"/>
          </w:tcPr>
          <w:p w14:paraId="7C08EDA7">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134" w:type="dxa"/>
            <w:tcBorders>
              <w:top w:val="nil"/>
              <w:left w:val="nil"/>
              <w:bottom w:val="single" w:color="auto" w:sz="4" w:space="0"/>
              <w:right w:val="single" w:color="auto" w:sz="4" w:space="0"/>
            </w:tcBorders>
            <w:vAlign w:val="center"/>
          </w:tcPr>
          <w:p w14:paraId="7D922C01">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设备或工艺图片文件</w:t>
            </w:r>
          </w:p>
        </w:tc>
        <w:tc>
          <w:tcPr>
            <w:tcW w:w="1233" w:type="dxa"/>
            <w:tcBorders>
              <w:top w:val="nil"/>
              <w:left w:val="nil"/>
              <w:bottom w:val="single" w:color="auto" w:sz="4" w:space="0"/>
              <w:right w:val="single" w:color="auto" w:sz="4" w:space="0"/>
            </w:tcBorders>
            <w:vAlign w:val="center"/>
          </w:tcPr>
          <w:p w14:paraId="6BAF2AC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3A0A1833">
            <w:pPr>
              <w:widowControl/>
              <w:jc w:val="center"/>
              <w:rPr>
                <w:rFonts w:asciiTheme="minorEastAsia" w:hAnsiTheme="minorEastAsia" w:eastAsiaTheme="minorEastAsia"/>
                <w:kern w:val="0"/>
                <w:sz w:val="22"/>
                <w:szCs w:val="22"/>
              </w:rPr>
            </w:pPr>
          </w:p>
        </w:tc>
      </w:tr>
    </w:tbl>
    <w:p w14:paraId="6630F07F">
      <w:pPr>
        <w:jc w:val="center"/>
        <w:rPr>
          <w:rFonts w:asciiTheme="minorEastAsia" w:hAnsiTheme="minorEastAsia" w:eastAsiaTheme="minorEastAsia"/>
          <w:sz w:val="22"/>
          <w:szCs w:val="22"/>
        </w:rPr>
      </w:pPr>
    </w:p>
    <w:p w14:paraId="7E8722C2">
      <w:pPr>
        <w:tabs>
          <w:tab w:val="left" w:pos="1470"/>
        </w:tabs>
      </w:pPr>
    </w:p>
    <w:p w14:paraId="214D5886">
      <w:pPr>
        <w:tabs>
          <w:tab w:val="left" w:pos="1470"/>
        </w:tabs>
        <w:sectPr>
          <w:footerReference r:id="rId11" w:type="default"/>
          <w:pgSz w:w="16838" w:h="11906" w:orient="landscape"/>
          <w:pgMar w:top="1418" w:right="1134" w:bottom="1418" w:left="1418" w:header="851" w:footer="992" w:gutter="0"/>
          <w:cols w:space="720" w:num="1"/>
          <w:docGrid w:type="linesAndChars" w:linePitch="312" w:charSpace="0"/>
        </w:sectPr>
      </w:pPr>
      <w:r>
        <w:tab/>
      </w:r>
    </w:p>
    <w:p w14:paraId="2F49E3D3">
      <w:pPr>
        <w:jc w:val="center"/>
        <w:rPr>
          <w:rFonts w:asciiTheme="minorEastAsia" w:hAnsiTheme="minorEastAsia" w:eastAsiaTheme="minorEastAsia"/>
          <w:sz w:val="22"/>
          <w:szCs w:val="22"/>
        </w:rPr>
      </w:pPr>
      <w:r>
        <w:rPr>
          <w:rFonts w:asciiTheme="minorEastAsia" w:hAnsiTheme="minorEastAsia" w:eastAsiaTheme="minorEastAsia"/>
          <w:sz w:val="22"/>
          <w:szCs w:val="22"/>
        </w:rPr>
        <w:t>表</w:t>
      </w:r>
      <w:r>
        <w:rPr>
          <w:rFonts w:hint="eastAsia" w:asciiTheme="minorEastAsia" w:hAnsiTheme="minorEastAsia" w:eastAsiaTheme="minorEastAsia"/>
          <w:sz w:val="22"/>
          <w:szCs w:val="22"/>
        </w:rPr>
        <w:t>6</w:t>
      </w:r>
      <w:r>
        <w:rPr>
          <w:rFonts w:asciiTheme="minorEastAsia" w:hAnsiTheme="minorEastAsia" w:eastAsiaTheme="minorEastAsia"/>
          <w:sz w:val="22"/>
          <w:szCs w:val="22"/>
        </w:rPr>
        <w:t>.7-2   500kV</w:t>
      </w:r>
      <w:r>
        <w:rPr>
          <w:rFonts w:hint="eastAsia" w:asciiTheme="minorEastAsia" w:hAnsiTheme="minorEastAsia" w:eastAsiaTheme="minorEastAsia"/>
          <w:sz w:val="22"/>
          <w:szCs w:val="22"/>
        </w:rPr>
        <w:t>海底电缆绝缘料</w:t>
      </w:r>
      <w:r>
        <w:rPr>
          <w:rFonts w:asciiTheme="minorEastAsia" w:hAnsiTheme="minorEastAsia" w:eastAsiaTheme="minorEastAsia"/>
          <w:sz w:val="22"/>
          <w:szCs w:val="22"/>
        </w:rPr>
        <w:t>参数表（投标方填写）</w:t>
      </w:r>
    </w:p>
    <w:tbl>
      <w:tblPr>
        <w:tblStyle w:val="85"/>
        <w:tblW w:w="14649" w:type="dxa"/>
        <w:tblInd w:w="-147" w:type="dxa"/>
        <w:tblLayout w:type="fixed"/>
        <w:tblCellMar>
          <w:top w:w="0" w:type="dxa"/>
          <w:left w:w="108" w:type="dxa"/>
          <w:bottom w:w="0" w:type="dxa"/>
          <w:right w:w="108" w:type="dxa"/>
        </w:tblCellMar>
      </w:tblPr>
      <w:tblGrid>
        <w:gridCol w:w="1076"/>
        <w:gridCol w:w="2610"/>
        <w:gridCol w:w="2410"/>
        <w:gridCol w:w="1417"/>
        <w:gridCol w:w="1843"/>
        <w:gridCol w:w="1559"/>
        <w:gridCol w:w="1134"/>
        <w:gridCol w:w="1233"/>
        <w:gridCol w:w="1367"/>
      </w:tblGrid>
      <w:tr w14:paraId="5682922A">
        <w:tblPrEx>
          <w:tblCellMar>
            <w:top w:w="0" w:type="dxa"/>
            <w:left w:w="108" w:type="dxa"/>
            <w:bottom w:w="0" w:type="dxa"/>
            <w:right w:w="108" w:type="dxa"/>
          </w:tblCellMar>
        </w:tblPrEx>
        <w:trPr>
          <w:trHeight w:val="330" w:hRule="atLeast"/>
          <w:tblHeader/>
        </w:trPr>
        <w:tc>
          <w:tcPr>
            <w:tcW w:w="1076" w:type="dxa"/>
            <w:tcBorders>
              <w:top w:val="single" w:color="auto" w:sz="4" w:space="0"/>
              <w:left w:val="single" w:color="auto" w:sz="4" w:space="0"/>
              <w:bottom w:val="single" w:color="auto" w:sz="4" w:space="0"/>
              <w:right w:val="single" w:color="auto" w:sz="4" w:space="0"/>
            </w:tcBorders>
            <w:vAlign w:val="center"/>
          </w:tcPr>
          <w:p w14:paraId="40B5D2A5">
            <w:pPr>
              <w:widowControl/>
              <w:jc w:val="left"/>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序号</w:t>
            </w:r>
          </w:p>
        </w:tc>
        <w:tc>
          <w:tcPr>
            <w:tcW w:w="2610" w:type="dxa"/>
            <w:tcBorders>
              <w:top w:val="single" w:color="auto" w:sz="4" w:space="0"/>
              <w:left w:val="nil"/>
              <w:bottom w:val="single" w:color="auto" w:sz="4" w:space="0"/>
              <w:right w:val="single" w:color="auto" w:sz="4" w:space="0"/>
            </w:tcBorders>
            <w:vAlign w:val="center"/>
          </w:tcPr>
          <w:p w14:paraId="1A5ED83D">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参数类型</w:t>
            </w:r>
          </w:p>
        </w:tc>
        <w:tc>
          <w:tcPr>
            <w:tcW w:w="2410" w:type="dxa"/>
            <w:tcBorders>
              <w:top w:val="single" w:color="auto" w:sz="4" w:space="0"/>
              <w:left w:val="nil"/>
              <w:bottom w:val="single" w:color="auto" w:sz="4" w:space="0"/>
              <w:right w:val="single" w:color="auto" w:sz="4" w:space="0"/>
            </w:tcBorders>
            <w:vAlign w:val="center"/>
          </w:tcPr>
          <w:p w14:paraId="439A5CE6">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标准参数值</w:t>
            </w:r>
          </w:p>
        </w:tc>
        <w:tc>
          <w:tcPr>
            <w:tcW w:w="1417" w:type="dxa"/>
            <w:tcBorders>
              <w:top w:val="single" w:color="auto" w:sz="4" w:space="0"/>
              <w:left w:val="nil"/>
              <w:bottom w:val="single" w:color="auto" w:sz="4" w:space="0"/>
              <w:right w:val="single" w:color="auto" w:sz="4" w:space="0"/>
            </w:tcBorders>
            <w:vAlign w:val="center"/>
          </w:tcPr>
          <w:p w14:paraId="13EABB00">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标准值特性</w:t>
            </w:r>
          </w:p>
        </w:tc>
        <w:tc>
          <w:tcPr>
            <w:tcW w:w="1843" w:type="dxa"/>
            <w:tcBorders>
              <w:top w:val="single" w:color="auto" w:sz="4" w:space="0"/>
              <w:left w:val="nil"/>
              <w:bottom w:val="single" w:color="auto" w:sz="4" w:space="0"/>
              <w:right w:val="single" w:color="auto" w:sz="4" w:space="0"/>
            </w:tcBorders>
            <w:vAlign w:val="center"/>
          </w:tcPr>
          <w:p w14:paraId="2F14A181">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项目单位要求值</w:t>
            </w:r>
          </w:p>
        </w:tc>
        <w:tc>
          <w:tcPr>
            <w:tcW w:w="1559" w:type="dxa"/>
            <w:tcBorders>
              <w:top w:val="single" w:color="auto" w:sz="4" w:space="0"/>
              <w:left w:val="nil"/>
              <w:bottom w:val="single" w:color="auto" w:sz="4" w:space="0"/>
              <w:right w:val="single" w:color="auto" w:sz="4" w:space="0"/>
            </w:tcBorders>
            <w:vAlign w:val="center"/>
          </w:tcPr>
          <w:p w14:paraId="458495AC">
            <w:pPr>
              <w:widowControl/>
              <w:jc w:val="center"/>
              <w:rPr>
                <w:rFonts w:asciiTheme="minorEastAsia" w:hAnsiTheme="minorEastAsia" w:eastAsiaTheme="minorEastAsia"/>
                <w:b/>
                <w:kern w:val="0"/>
                <w:sz w:val="22"/>
                <w:szCs w:val="22"/>
              </w:rPr>
            </w:pPr>
            <w:r>
              <w:rPr>
                <w:rFonts w:asciiTheme="minorEastAsia" w:hAnsiTheme="minorEastAsia" w:eastAsiaTheme="minorEastAsia"/>
                <w:b/>
                <w:kern w:val="0"/>
                <w:sz w:val="22"/>
                <w:szCs w:val="22"/>
              </w:rPr>
              <w:t>投标方响应值</w:t>
            </w:r>
          </w:p>
        </w:tc>
        <w:tc>
          <w:tcPr>
            <w:tcW w:w="1134" w:type="dxa"/>
            <w:tcBorders>
              <w:top w:val="single" w:color="auto" w:sz="4" w:space="0"/>
              <w:left w:val="nil"/>
              <w:bottom w:val="single" w:color="auto" w:sz="4" w:space="0"/>
              <w:right w:val="single" w:color="auto" w:sz="4" w:space="0"/>
            </w:tcBorders>
            <w:vAlign w:val="center"/>
          </w:tcPr>
          <w:p w14:paraId="0A6ED016">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
                <w:kern w:val="0"/>
                <w:sz w:val="22"/>
                <w:szCs w:val="22"/>
              </w:rPr>
              <w:t>证明材料</w:t>
            </w:r>
          </w:p>
        </w:tc>
        <w:tc>
          <w:tcPr>
            <w:tcW w:w="1233" w:type="dxa"/>
            <w:tcBorders>
              <w:top w:val="single" w:color="auto" w:sz="4" w:space="0"/>
              <w:left w:val="nil"/>
              <w:bottom w:val="single" w:color="auto" w:sz="4" w:space="0"/>
              <w:right w:val="single" w:color="auto" w:sz="4" w:space="0"/>
            </w:tcBorders>
            <w:vAlign w:val="center"/>
          </w:tcPr>
          <w:p w14:paraId="5831A559">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
                <w:kern w:val="0"/>
                <w:sz w:val="22"/>
                <w:szCs w:val="22"/>
              </w:rPr>
              <w:t>偏差说明</w:t>
            </w:r>
          </w:p>
        </w:tc>
        <w:tc>
          <w:tcPr>
            <w:tcW w:w="1367" w:type="dxa"/>
            <w:tcBorders>
              <w:top w:val="single" w:color="auto" w:sz="4" w:space="0"/>
              <w:left w:val="nil"/>
              <w:bottom w:val="single" w:color="auto" w:sz="4" w:space="0"/>
              <w:right w:val="single" w:color="auto" w:sz="4" w:space="0"/>
            </w:tcBorders>
            <w:vAlign w:val="center"/>
          </w:tcPr>
          <w:p w14:paraId="03A11A82">
            <w:pPr>
              <w:widowControl/>
              <w:jc w:val="center"/>
              <w:rPr>
                <w:rFonts w:asciiTheme="minorEastAsia" w:hAnsiTheme="minorEastAsia" w:eastAsiaTheme="minorEastAsia"/>
                <w:bCs/>
                <w:kern w:val="0"/>
                <w:sz w:val="22"/>
                <w:szCs w:val="22"/>
              </w:rPr>
            </w:pPr>
            <w:r>
              <w:rPr>
                <w:rFonts w:hint="eastAsia" w:asciiTheme="minorEastAsia" w:hAnsiTheme="minorEastAsia" w:eastAsiaTheme="minorEastAsia"/>
                <w:b/>
                <w:kern w:val="0"/>
                <w:sz w:val="22"/>
                <w:szCs w:val="22"/>
              </w:rPr>
              <w:t>评标专家审核</w:t>
            </w:r>
          </w:p>
        </w:tc>
      </w:tr>
      <w:tr w14:paraId="78CE37C7">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6A2E4426">
            <w:pPr>
              <w:autoSpaceDE w:val="0"/>
              <w:autoSpaceDN w:val="0"/>
              <w:adjustRightInd w:val="0"/>
              <w:ind w:right="-108"/>
              <w:jc w:val="center"/>
              <w:rPr>
                <w:rFonts w:cs="宋体" w:asciiTheme="minorEastAsia" w:hAnsiTheme="minorEastAsia" w:eastAsiaTheme="minorEastAsia"/>
                <w:kern w:val="0"/>
                <w:sz w:val="22"/>
                <w:szCs w:val="22"/>
                <w:lang w:val="zh-CN"/>
              </w:rPr>
            </w:pPr>
            <w:r>
              <w:rPr>
                <w:rFonts w:hint="eastAsia" w:cs="宋体" w:asciiTheme="minorEastAsia" w:hAnsiTheme="minorEastAsia" w:eastAsiaTheme="minorEastAsia"/>
                <w:kern w:val="0"/>
                <w:sz w:val="22"/>
                <w:szCs w:val="22"/>
                <w:lang w:val="zh-CN"/>
              </w:rPr>
              <w:t>1</w:t>
            </w:r>
          </w:p>
        </w:tc>
        <w:tc>
          <w:tcPr>
            <w:tcW w:w="13573" w:type="dxa"/>
            <w:gridSpan w:val="8"/>
            <w:tcBorders>
              <w:top w:val="nil"/>
              <w:left w:val="nil"/>
              <w:bottom w:val="single" w:color="auto" w:sz="4" w:space="0"/>
              <w:right w:val="single" w:color="auto" w:sz="4" w:space="0"/>
            </w:tcBorders>
            <w:vAlign w:val="center"/>
          </w:tcPr>
          <w:p w14:paraId="0BF95F6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
                <w:kern w:val="0"/>
                <w:sz w:val="22"/>
                <w:szCs w:val="22"/>
              </w:rPr>
              <w:t>交联聚乙烯绝缘料性能</w:t>
            </w:r>
          </w:p>
        </w:tc>
      </w:tr>
      <w:tr w14:paraId="199143CC">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1A3EB812">
            <w:pPr>
              <w:autoSpaceDE w:val="0"/>
              <w:autoSpaceDN w:val="0"/>
              <w:adjustRightInd w:val="0"/>
              <w:ind w:right="-108"/>
              <w:jc w:val="center"/>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lang w:val="zh-CN"/>
              </w:rPr>
              <w:t>1.</w:t>
            </w:r>
            <w:r>
              <w:rPr>
                <w:rFonts w:cs="宋体" w:asciiTheme="minorEastAsia" w:hAnsiTheme="minorEastAsia" w:eastAsiaTheme="minorEastAsia"/>
                <w:kern w:val="0"/>
                <w:sz w:val="22"/>
                <w:szCs w:val="22"/>
                <w:lang w:val="zh-CN"/>
              </w:rPr>
              <w:t>1</w:t>
            </w:r>
          </w:p>
        </w:tc>
        <w:tc>
          <w:tcPr>
            <w:tcW w:w="2610" w:type="dxa"/>
            <w:tcBorders>
              <w:top w:val="nil"/>
              <w:left w:val="nil"/>
              <w:bottom w:val="single" w:color="auto" w:sz="4" w:space="0"/>
              <w:right w:val="single" w:color="auto" w:sz="4" w:space="0"/>
            </w:tcBorders>
            <w:vAlign w:val="center"/>
          </w:tcPr>
          <w:p w14:paraId="732837DE">
            <w:pPr>
              <w:autoSpaceDE w:val="0"/>
              <w:autoSpaceDN w:val="0"/>
              <w:adjustRightInd w:val="0"/>
              <w:rPr>
                <w:rFonts w:asciiTheme="minorEastAsia" w:hAnsiTheme="minorEastAsia" w:eastAsiaTheme="minorEastAsia"/>
                <w:kern w:val="0"/>
                <w:sz w:val="22"/>
                <w:szCs w:val="22"/>
              </w:rPr>
            </w:pPr>
            <w:r>
              <w:rPr>
                <w:rFonts w:hint="eastAsia" w:asciiTheme="minorEastAsia" w:hAnsiTheme="minorEastAsia" w:eastAsiaTheme="minorEastAsia"/>
                <w:sz w:val="22"/>
                <w:szCs w:val="22"/>
              </w:rPr>
              <w:t>外观</w:t>
            </w:r>
          </w:p>
        </w:tc>
        <w:tc>
          <w:tcPr>
            <w:tcW w:w="2410" w:type="dxa"/>
            <w:tcBorders>
              <w:top w:val="nil"/>
              <w:left w:val="nil"/>
              <w:bottom w:val="single" w:color="auto" w:sz="4" w:space="0"/>
              <w:right w:val="single" w:color="auto" w:sz="4" w:space="0"/>
            </w:tcBorders>
            <w:vAlign w:val="center"/>
          </w:tcPr>
          <w:p w14:paraId="68F43BBA">
            <w:pPr>
              <w:autoSpaceDE w:val="0"/>
              <w:autoSpaceDN w:val="0"/>
              <w:adjustRightInd w:val="0"/>
              <w:ind w:left="-107" w:right="-108"/>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p>
        </w:tc>
        <w:tc>
          <w:tcPr>
            <w:tcW w:w="1417" w:type="dxa"/>
            <w:tcBorders>
              <w:top w:val="nil"/>
              <w:left w:val="nil"/>
              <w:bottom w:val="single" w:color="auto" w:sz="4" w:space="0"/>
              <w:right w:val="single" w:color="auto" w:sz="4" w:space="0"/>
            </w:tcBorders>
            <w:vAlign w:val="center"/>
          </w:tcPr>
          <w:p w14:paraId="7CA446FA">
            <w:pPr>
              <w:autoSpaceDE w:val="0"/>
              <w:autoSpaceDN w:val="0"/>
              <w:adjustRightInd w:val="0"/>
              <w:ind w:right="-108"/>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4543E10D">
            <w:pPr>
              <w:widowControl/>
              <w:jc w:val="center"/>
              <w:rPr>
                <w:rFonts w:asciiTheme="minorEastAsia" w:hAnsiTheme="minorEastAsia" w:eastAsiaTheme="minorEastAsia"/>
                <w:kern w:val="0"/>
                <w:sz w:val="22"/>
                <w:szCs w:val="22"/>
              </w:rPr>
            </w:pPr>
            <w:r>
              <w:rPr>
                <w:rFonts w:asciiTheme="minorEastAsia" w:hAnsiTheme="minorEastAsia" w:eastAsiaTheme="minorEastAsia"/>
                <w:kern w:val="0"/>
                <w:sz w:val="22"/>
                <w:szCs w:val="22"/>
                <w:lang w:val="zh-CN"/>
              </w:rPr>
              <w:t>绝缘料应呈颗粒状，色泽和颗粒大小应均匀，颗粒间不应有明显粉末状物质。</w:t>
            </w:r>
          </w:p>
        </w:tc>
        <w:tc>
          <w:tcPr>
            <w:tcW w:w="1559" w:type="dxa"/>
            <w:tcBorders>
              <w:top w:val="nil"/>
              <w:left w:val="nil"/>
              <w:bottom w:val="single" w:color="auto" w:sz="4" w:space="0"/>
              <w:right w:val="single" w:color="auto" w:sz="4" w:space="0"/>
            </w:tcBorders>
            <w:vAlign w:val="center"/>
          </w:tcPr>
          <w:p w14:paraId="581D8FDB">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投标方填写（文本</w:t>
            </w:r>
            <w:r>
              <w:rPr>
                <w:rFonts w:asciiTheme="minorEastAsia" w:hAnsiTheme="minorEastAsia" w:eastAsiaTheme="minorEastAsia"/>
                <w:bCs/>
                <w:kern w:val="0"/>
                <w:sz w:val="22"/>
                <w:szCs w:val="22"/>
              </w:rPr>
              <w:t>型</w:t>
            </w:r>
            <w:r>
              <w:rPr>
                <w:rFonts w:hint="eastAsia" w:asciiTheme="minorEastAsia" w:hAnsiTheme="minorEastAsia" w:eastAsiaTheme="minorEastAsia"/>
                <w:bCs/>
                <w:kern w:val="0"/>
                <w:sz w:val="22"/>
                <w:szCs w:val="22"/>
              </w:rPr>
              <w:t>）</w:t>
            </w:r>
          </w:p>
        </w:tc>
        <w:tc>
          <w:tcPr>
            <w:tcW w:w="1134" w:type="dxa"/>
            <w:tcBorders>
              <w:top w:val="nil"/>
              <w:left w:val="nil"/>
              <w:bottom w:val="single" w:color="auto" w:sz="4" w:space="0"/>
              <w:right w:val="single" w:color="auto" w:sz="4" w:space="0"/>
            </w:tcBorders>
            <w:vAlign w:val="center"/>
          </w:tcPr>
          <w:p w14:paraId="0124A020">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tcPr>
          <w:p w14:paraId="751F9DC0">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58F3BC72">
            <w:pPr>
              <w:widowControl/>
              <w:jc w:val="center"/>
              <w:rPr>
                <w:rFonts w:asciiTheme="minorEastAsia" w:hAnsiTheme="minorEastAsia" w:eastAsiaTheme="minorEastAsia"/>
                <w:kern w:val="0"/>
                <w:sz w:val="22"/>
                <w:szCs w:val="22"/>
              </w:rPr>
            </w:pPr>
          </w:p>
        </w:tc>
      </w:tr>
      <w:tr w14:paraId="0E7CC95F">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74E2AF8A">
            <w:pPr>
              <w:autoSpaceDE w:val="0"/>
              <w:autoSpaceDN w:val="0"/>
              <w:adjustRightInd w:val="0"/>
              <w:ind w:right="-108"/>
              <w:jc w:val="center"/>
              <w:rPr>
                <w:rFonts w:asciiTheme="minorEastAsia" w:hAnsiTheme="minorEastAsia" w:eastAsiaTheme="minorEastAsia"/>
                <w:kern w:val="0"/>
                <w:sz w:val="22"/>
                <w:szCs w:val="22"/>
              </w:rPr>
            </w:pPr>
            <w:r>
              <w:rPr>
                <w:rFonts w:cs="宋体" w:asciiTheme="minorEastAsia" w:hAnsiTheme="minorEastAsia" w:eastAsiaTheme="minorEastAsia"/>
                <w:kern w:val="0"/>
                <w:sz w:val="22"/>
                <w:szCs w:val="22"/>
              </w:rPr>
              <w:t>1.</w:t>
            </w:r>
            <w:r>
              <w:rPr>
                <w:rFonts w:hint="eastAsia" w:cs="宋体" w:asciiTheme="minorEastAsia" w:hAnsiTheme="minorEastAsia" w:eastAsiaTheme="minorEastAsia"/>
                <w:kern w:val="0"/>
                <w:sz w:val="22"/>
                <w:szCs w:val="22"/>
              </w:rPr>
              <w:t>2</w:t>
            </w:r>
          </w:p>
        </w:tc>
        <w:tc>
          <w:tcPr>
            <w:tcW w:w="2610" w:type="dxa"/>
            <w:tcBorders>
              <w:top w:val="nil"/>
              <w:left w:val="nil"/>
              <w:bottom w:val="single" w:color="auto" w:sz="4" w:space="0"/>
              <w:right w:val="single" w:color="auto" w:sz="4" w:space="0"/>
            </w:tcBorders>
            <w:vAlign w:val="center"/>
          </w:tcPr>
          <w:p w14:paraId="37753772">
            <w:pPr>
              <w:autoSpaceDE w:val="0"/>
              <w:autoSpaceDN w:val="0"/>
              <w:adjustRightInd w:val="0"/>
              <w:ind w:right="-108"/>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lang w:val="zh-CN"/>
              </w:rPr>
              <w:t>抗张强度（</w:t>
            </w:r>
            <w:r>
              <w:rPr>
                <w:rFonts w:cs="宋体" w:asciiTheme="minorEastAsia" w:hAnsiTheme="minorEastAsia" w:eastAsiaTheme="minorEastAsia"/>
                <w:kern w:val="0"/>
                <w:sz w:val="22"/>
                <w:szCs w:val="22"/>
                <w:lang w:val="zh-CN"/>
              </w:rPr>
              <w:t>MPa</w:t>
            </w:r>
            <w:r>
              <w:rPr>
                <w:rFonts w:hint="eastAsia" w:cs="宋体" w:asciiTheme="minorEastAsia" w:hAnsiTheme="minorEastAsia" w:eastAsiaTheme="minorEastAsia"/>
                <w:kern w:val="0"/>
                <w:sz w:val="22"/>
                <w:szCs w:val="22"/>
                <w:lang w:val="zh-CN"/>
              </w:rPr>
              <w:t>）</w:t>
            </w:r>
          </w:p>
        </w:tc>
        <w:tc>
          <w:tcPr>
            <w:tcW w:w="2410" w:type="dxa"/>
            <w:tcBorders>
              <w:top w:val="nil"/>
              <w:left w:val="nil"/>
              <w:bottom w:val="single" w:color="auto" w:sz="4" w:space="0"/>
              <w:right w:val="single" w:color="auto" w:sz="4" w:space="0"/>
            </w:tcBorders>
            <w:vAlign w:val="center"/>
          </w:tcPr>
          <w:p w14:paraId="26DCE310">
            <w:pPr>
              <w:autoSpaceDE w:val="0"/>
              <w:autoSpaceDN w:val="0"/>
              <w:adjustRightInd w:val="0"/>
              <w:ind w:left="-107" w:right="-108"/>
              <w:jc w:val="center"/>
              <w:rPr>
                <w:rFonts w:asciiTheme="minorEastAsia" w:hAnsiTheme="minorEastAsia" w:eastAsiaTheme="minorEastAsia"/>
                <w:kern w:val="0"/>
                <w:sz w:val="22"/>
                <w:szCs w:val="22"/>
              </w:rPr>
            </w:pPr>
            <w:r>
              <w:rPr>
                <w:rFonts w:cs="Arial" w:asciiTheme="minorEastAsia" w:hAnsiTheme="minorEastAsia" w:eastAsiaTheme="minorEastAsia"/>
                <w:sz w:val="22"/>
                <w:szCs w:val="22"/>
              </w:rPr>
              <w:t>≥</w:t>
            </w:r>
            <w:r>
              <w:rPr>
                <w:rFonts w:asciiTheme="minorEastAsia" w:hAnsiTheme="minorEastAsia" w:eastAsiaTheme="minorEastAsia"/>
                <w:sz w:val="22"/>
                <w:szCs w:val="22"/>
              </w:rPr>
              <w:t>17.0</w:t>
            </w:r>
          </w:p>
        </w:tc>
        <w:tc>
          <w:tcPr>
            <w:tcW w:w="1417" w:type="dxa"/>
            <w:tcBorders>
              <w:top w:val="nil"/>
              <w:left w:val="nil"/>
              <w:bottom w:val="single" w:color="auto" w:sz="4" w:space="0"/>
              <w:right w:val="single" w:color="auto" w:sz="4" w:space="0"/>
            </w:tcBorders>
            <w:vAlign w:val="center"/>
          </w:tcPr>
          <w:p w14:paraId="02FF9DB4">
            <w:pPr>
              <w:autoSpaceDE w:val="0"/>
              <w:autoSpaceDN w:val="0"/>
              <w:adjustRightInd w:val="0"/>
              <w:ind w:left="-108" w:right="-108" w:firstLine="125" w:firstLineChars="57"/>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2351C168">
            <w:pPr>
              <w:widowControl/>
              <w:jc w:val="center"/>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1275836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413F0858">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tcPr>
          <w:p w14:paraId="2A2FF076">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0C28A634">
            <w:pPr>
              <w:widowControl/>
              <w:jc w:val="center"/>
              <w:rPr>
                <w:rFonts w:asciiTheme="minorEastAsia" w:hAnsiTheme="minorEastAsia" w:eastAsiaTheme="minorEastAsia"/>
                <w:kern w:val="0"/>
                <w:sz w:val="22"/>
                <w:szCs w:val="22"/>
              </w:rPr>
            </w:pPr>
          </w:p>
        </w:tc>
      </w:tr>
      <w:tr w14:paraId="7600B220">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644608FE">
            <w:pPr>
              <w:autoSpaceDE w:val="0"/>
              <w:autoSpaceDN w:val="0"/>
              <w:adjustRightInd w:val="0"/>
              <w:ind w:right="-108"/>
              <w:jc w:val="center"/>
              <w:rPr>
                <w:rFonts w:asciiTheme="minorEastAsia" w:hAnsiTheme="minorEastAsia" w:eastAsiaTheme="minorEastAsia"/>
                <w:kern w:val="0"/>
                <w:sz w:val="22"/>
                <w:szCs w:val="22"/>
              </w:rPr>
            </w:pPr>
            <w:r>
              <w:rPr>
                <w:rFonts w:cs="宋体" w:asciiTheme="minorEastAsia" w:hAnsiTheme="minorEastAsia" w:eastAsiaTheme="minorEastAsia"/>
                <w:kern w:val="0"/>
                <w:sz w:val="22"/>
                <w:szCs w:val="22"/>
                <w:lang w:val="zh-CN"/>
              </w:rPr>
              <w:t>1.3</w:t>
            </w:r>
          </w:p>
        </w:tc>
        <w:tc>
          <w:tcPr>
            <w:tcW w:w="2610" w:type="dxa"/>
            <w:tcBorders>
              <w:top w:val="nil"/>
              <w:left w:val="nil"/>
              <w:bottom w:val="single" w:color="auto" w:sz="4" w:space="0"/>
              <w:right w:val="single" w:color="auto" w:sz="4" w:space="0"/>
            </w:tcBorders>
            <w:vAlign w:val="center"/>
          </w:tcPr>
          <w:p w14:paraId="6DD3DD0D">
            <w:pPr>
              <w:autoSpaceDE w:val="0"/>
              <w:autoSpaceDN w:val="0"/>
              <w:adjustRightInd w:val="0"/>
              <w:ind w:right="-108"/>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lang w:val="zh-CN"/>
              </w:rPr>
              <w:t>断裂伸长率（</w:t>
            </w:r>
            <w:r>
              <w:rPr>
                <w:rFonts w:cs="宋体" w:asciiTheme="minorEastAsia" w:hAnsiTheme="minorEastAsia" w:eastAsiaTheme="minorEastAsia"/>
                <w:kern w:val="0"/>
                <w:sz w:val="22"/>
                <w:szCs w:val="22"/>
                <w:lang w:val="zh-CN"/>
              </w:rPr>
              <w:t>%</w:t>
            </w:r>
            <w:r>
              <w:rPr>
                <w:rFonts w:hint="eastAsia" w:cs="宋体" w:asciiTheme="minorEastAsia" w:hAnsiTheme="minorEastAsia" w:eastAsiaTheme="minorEastAsia"/>
                <w:kern w:val="0"/>
                <w:sz w:val="22"/>
                <w:szCs w:val="22"/>
                <w:lang w:val="zh-CN"/>
              </w:rPr>
              <w:t>）</w:t>
            </w:r>
          </w:p>
        </w:tc>
        <w:tc>
          <w:tcPr>
            <w:tcW w:w="2410" w:type="dxa"/>
            <w:tcBorders>
              <w:top w:val="nil"/>
              <w:left w:val="nil"/>
              <w:bottom w:val="single" w:color="auto" w:sz="4" w:space="0"/>
              <w:right w:val="single" w:color="auto" w:sz="4" w:space="0"/>
            </w:tcBorders>
            <w:vAlign w:val="center"/>
          </w:tcPr>
          <w:p w14:paraId="73D42153">
            <w:pPr>
              <w:autoSpaceDE w:val="0"/>
              <w:autoSpaceDN w:val="0"/>
              <w:adjustRightInd w:val="0"/>
              <w:ind w:left="-107" w:right="-108"/>
              <w:jc w:val="center"/>
              <w:rPr>
                <w:rFonts w:asciiTheme="minorEastAsia" w:hAnsiTheme="minorEastAsia" w:eastAsiaTheme="minorEastAsia"/>
                <w:kern w:val="0"/>
                <w:sz w:val="22"/>
                <w:szCs w:val="22"/>
              </w:rPr>
            </w:pPr>
            <w:r>
              <w:rPr>
                <w:rFonts w:cs="Arial" w:asciiTheme="minorEastAsia" w:hAnsiTheme="minorEastAsia" w:eastAsiaTheme="minorEastAsia"/>
                <w:sz w:val="22"/>
                <w:szCs w:val="22"/>
              </w:rPr>
              <w:t>≥</w:t>
            </w:r>
            <w:r>
              <w:rPr>
                <w:rFonts w:hint="eastAsia" w:asciiTheme="minorEastAsia" w:hAnsiTheme="minorEastAsia" w:eastAsiaTheme="minorEastAsia"/>
                <w:sz w:val="22"/>
                <w:szCs w:val="22"/>
              </w:rPr>
              <w:t>500</w:t>
            </w:r>
          </w:p>
        </w:tc>
        <w:tc>
          <w:tcPr>
            <w:tcW w:w="1417" w:type="dxa"/>
            <w:tcBorders>
              <w:top w:val="nil"/>
              <w:left w:val="nil"/>
              <w:bottom w:val="single" w:color="auto" w:sz="4" w:space="0"/>
              <w:right w:val="single" w:color="auto" w:sz="4" w:space="0"/>
            </w:tcBorders>
            <w:vAlign w:val="center"/>
          </w:tcPr>
          <w:p w14:paraId="2C0F52AF">
            <w:pPr>
              <w:autoSpaceDE w:val="0"/>
              <w:autoSpaceDN w:val="0"/>
              <w:adjustRightInd w:val="0"/>
              <w:ind w:left="-108" w:right="-108" w:firstLine="125" w:firstLineChars="57"/>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62E3BBD8">
            <w:pPr>
              <w:widowControl/>
              <w:jc w:val="center"/>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5AA371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7E115814">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tcPr>
          <w:p w14:paraId="7A6D03D4">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4338D2ED">
            <w:pPr>
              <w:widowControl/>
              <w:jc w:val="center"/>
              <w:rPr>
                <w:rFonts w:asciiTheme="minorEastAsia" w:hAnsiTheme="minorEastAsia" w:eastAsiaTheme="minorEastAsia"/>
                <w:kern w:val="0"/>
                <w:sz w:val="22"/>
                <w:szCs w:val="22"/>
              </w:rPr>
            </w:pPr>
          </w:p>
        </w:tc>
      </w:tr>
      <w:tr w14:paraId="2CD210B5">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13BE6246">
            <w:pPr>
              <w:autoSpaceDE w:val="0"/>
              <w:autoSpaceDN w:val="0"/>
              <w:adjustRightInd w:val="0"/>
              <w:ind w:right="-108"/>
              <w:jc w:val="center"/>
              <w:rPr>
                <w:rFonts w:cs="宋体" w:asciiTheme="minorEastAsia" w:hAnsiTheme="minorEastAsia" w:eastAsiaTheme="minorEastAsia"/>
                <w:kern w:val="0"/>
                <w:sz w:val="22"/>
                <w:szCs w:val="22"/>
                <w:lang w:val="zh-CN"/>
              </w:rPr>
            </w:pPr>
            <w:r>
              <w:rPr>
                <w:rFonts w:cs="宋体" w:asciiTheme="minorEastAsia" w:hAnsiTheme="minorEastAsia" w:eastAsiaTheme="minorEastAsia"/>
                <w:kern w:val="0"/>
                <w:sz w:val="22"/>
                <w:szCs w:val="22"/>
                <w:lang w:val="zh-CN"/>
              </w:rPr>
              <w:t>1.4</w:t>
            </w:r>
          </w:p>
        </w:tc>
        <w:tc>
          <w:tcPr>
            <w:tcW w:w="2610" w:type="dxa"/>
            <w:tcBorders>
              <w:top w:val="nil"/>
              <w:left w:val="nil"/>
              <w:bottom w:val="single" w:color="auto" w:sz="4" w:space="0"/>
              <w:right w:val="single" w:color="auto" w:sz="4" w:space="0"/>
            </w:tcBorders>
            <w:vAlign w:val="center"/>
          </w:tcPr>
          <w:p w14:paraId="09CCD998">
            <w:pPr>
              <w:autoSpaceDE w:val="0"/>
              <w:autoSpaceDN w:val="0"/>
              <w:adjustRightInd w:val="0"/>
              <w:ind w:right="-108"/>
              <w:rPr>
                <w:rFonts w:cs="宋体" w:asciiTheme="minorEastAsia" w:hAnsiTheme="minorEastAsia" w:eastAsiaTheme="minorEastAsia"/>
                <w:kern w:val="0"/>
                <w:sz w:val="22"/>
                <w:szCs w:val="22"/>
                <w:lang w:val="zh-CN"/>
              </w:rPr>
            </w:pPr>
            <w:r>
              <w:rPr>
                <w:rFonts w:hint="eastAsia" w:cs="宋体" w:asciiTheme="minorEastAsia" w:hAnsiTheme="minorEastAsia" w:eastAsiaTheme="minorEastAsia"/>
                <w:kern w:val="0"/>
                <w:sz w:val="22"/>
                <w:szCs w:val="22"/>
                <w:lang w:val="zh-CN"/>
              </w:rPr>
              <w:t>介质损失角正切</w:t>
            </w:r>
          </w:p>
        </w:tc>
        <w:tc>
          <w:tcPr>
            <w:tcW w:w="2410" w:type="dxa"/>
            <w:tcBorders>
              <w:top w:val="nil"/>
              <w:left w:val="nil"/>
              <w:bottom w:val="single" w:color="auto" w:sz="4" w:space="0"/>
              <w:right w:val="single" w:color="auto" w:sz="4" w:space="0"/>
            </w:tcBorders>
            <w:vAlign w:val="center"/>
          </w:tcPr>
          <w:p w14:paraId="12C45E9C">
            <w:pPr>
              <w:autoSpaceDE w:val="0"/>
              <w:autoSpaceDN w:val="0"/>
              <w:adjustRightInd w:val="0"/>
              <w:ind w:left="-107" w:right="-108"/>
              <w:jc w:val="center"/>
              <w:rPr>
                <w:rFonts w:cs="Arial" w:asciiTheme="minorEastAsia" w:hAnsiTheme="minorEastAsia" w:eastAsiaTheme="minorEastAsia"/>
                <w:sz w:val="22"/>
                <w:szCs w:val="22"/>
              </w:rPr>
            </w:pPr>
            <w:r>
              <w:rPr>
                <w:rFonts w:asciiTheme="minorEastAsia" w:hAnsiTheme="minorEastAsia" w:eastAsiaTheme="minorEastAsia"/>
                <w:sz w:val="22"/>
                <w:szCs w:val="22"/>
              </w:rPr>
              <w:t>≤</w:t>
            </w:r>
            <w:r>
              <w:rPr>
                <w:rFonts w:hint="eastAsia" w:asciiTheme="minorEastAsia" w:hAnsiTheme="minorEastAsia" w:eastAsiaTheme="minorEastAsia"/>
                <w:sz w:val="22"/>
                <w:szCs w:val="22"/>
              </w:rPr>
              <w:t>3</w:t>
            </w:r>
            <w:r>
              <w:rPr>
                <w:rFonts w:asciiTheme="minorEastAsia" w:hAnsiTheme="minorEastAsia" w:eastAsiaTheme="minorEastAsia"/>
                <w:sz w:val="22"/>
                <w:szCs w:val="22"/>
              </w:rPr>
              <w:t>×10</w:t>
            </w:r>
            <w:r>
              <w:rPr>
                <w:rFonts w:asciiTheme="minorEastAsia" w:hAnsiTheme="minorEastAsia" w:eastAsiaTheme="minorEastAsia"/>
                <w:sz w:val="22"/>
                <w:szCs w:val="22"/>
                <w:vertAlign w:val="superscript"/>
              </w:rPr>
              <w:t>-4</w:t>
            </w:r>
          </w:p>
        </w:tc>
        <w:tc>
          <w:tcPr>
            <w:tcW w:w="1417" w:type="dxa"/>
            <w:tcBorders>
              <w:top w:val="nil"/>
              <w:left w:val="nil"/>
              <w:bottom w:val="single" w:color="auto" w:sz="4" w:space="0"/>
              <w:right w:val="single" w:color="auto" w:sz="4" w:space="0"/>
            </w:tcBorders>
            <w:vAlign w:val="center"/>
          </w:tcPr>
          <w:p w14:paraId="126E379A">
            <w:pPr>
              <w:autoSpaceDE w:val="0"/>
              <w:autoSpaceDN w:val="0"/>
              <w:adjustRightInd w:val="0"/>
              <w:ind w:left="-108" w:right="-108" w:firstLine="125" w:firstLineChars="57"/>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2957D9E0">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tcPr>
          <w:p w14:paraId="2A4E326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tcPr>
          <w:p w14:paraId="14F16774">
            <w:pPr>
              <w:widowControl/>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tcPr>
          <w:p w14:paraId="0C1A772E">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6E5ACF5D">
            <w:pPr>
              <w:widowControl/>
              <w:jc w:val="center"/>
              <w:rPr>
                <w:rFonts w:asciiTheme="minorEastAsia" w:hAnsiTheme="minorEastAsia" w:eastAsiaTheme="minorEastAsia"/>
                <w:kern w:val="0"/>
                <w:sz w:val="22"/>
                <w:szCs w:val="22"/>
              </w:rPr>
            </w:pPr>
          </w:p>
        </w:tc>
      </w:tr>
      <w:tr w14:paraId="1E2CC296">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11D7B537">
            <w:pPr>
              <w:autoSpaceDE w:val="0"/>
              <w:autoSpaceDN w:val="0"/>
              <w:adjustRightInd w:val="0"/>
              <w:ind w:right="-108"/>
              <w:jc w:val="center"/>
              <w:rPr>
                <w:rFonts w:cs="宋体" w:asciiTheme="minorEastAsia" w:hAnsiTheme="minorEastAsia" w:eastAsiaTheme="minorEastAsia"/>
                <w:kern w:val="0"/>
                <w:sz w:val="22"/>
                <w:szCs w:val="22"/>
                <w:lang w:val="zh-CN"/>
              </w:rPr>
            </w:pPr>
            <w:r>
              <w:rPr>
                <w:rFonts w:cs="宋体" w:asciiTheme="minorEastAsia" w:hAnsiTheme="minorEastAsia" w:eastAsiaTheme="minorEastAsia"/>
                <w:kern w:val="0"/>
                <w:sz w:val="22"/>
                <w:szCs w:val="22"/>
                <w:lang w:val="zh-CN"/>
              </w:rPr>
              <w:t>1.5</w:t>
            </w:r>
          </w:p>
        </w:tc>
        <w:tc>
          <w:tcPr>
            <w:tcW w:w="2610" w:type="dxa"/>
            <w:tcBorders>
              <w:top w:val="nil"/>
              <w:left w:val="nil"/>
              <w:bottom w:val="single" w:color="auto" w:sz="4" w:space="0"/>
              <w:right w:val="single" w:color="auto" w:sz="4" w:space="0"/>
            </w:tcBorders>
            <w:vAlign w:val="center"/>
          </w:tcPr>
          <w:p w14:paraId="1B4FC112">
            <w:pPr>
              <w:autoSpaceDE w:val="0"/>
              <w:autoSpaceDN w:val="0"/>
              <w:adjustRightInd w:val="0"/>
              <w:ind w:right="-108"/>
              <w:rPr>
                <w:rFonts w:cs="宋体" w:asciiTheme="minorEastAsia" w:hAnsiTheme="minorEastAsia" w:eastAsiaTheme="minorEastAsia"/>
                <w:kern w:val="0"/>
                <w:sz w:val="22"/>
                <w:szCs w:val="22"/>
                <w:lang w:val="zh-CN"/>
              </w:rPr>
            </w:pPr>
            <w:r>
              <w:rPr>
                <w:rFonts w:hint="eastAsia" w:cs="宋体" w:asciiTheme="minorEastAsia" w:hAnsiTheme="minorEastAsia" w:eastAsiaTheme="minorEastAsia"/>
                <w:kern w:val="0"/>
                <w:sz w:val="22"/>
                <w:szCs w:val="22"/>
                <w:lang w:val="zh-CN"/>
              </w:rPr>
              <w:t>相对介电常数</w:t>
            </w:r>
          </w:p>
        </w:tc>
        <w:tc>
          <w:tcPr>
            <w:tcW w:w="2410" w:type="dxa"/>
            <w:tcBorders>
              <w:top w:val="nil"/>
              <w:left w:val="nil"/>
              <w:bottom w:val="single" w:color="auto" w:sz="4" w:space="0"/>
              <w:right w:val="single" w:color="auto" w:sz="4" w:space="0"/>
            </w:tcBorders>
            <w:vAlign w:val="center"/>
          </w:tcPr>
          <w:p w14:paraId="5DAE8AF5">
            <w:pPr>
              <w:autoSpaceDE w:val="0"/>
              <w:autoSpaceDN w:val="0"/>
              <w:adjustRightInd w:val="0"/>
              <w:ind w:left="-107" w:right="-108"/>
              <w:jc w:val="center"/>
              <w:rPr>
                <w:rFonts w:cs="Arial" w:asciiTheme="minorEastAsia" w:hAnsiTheme="minorEastAsia" w:eastAsiaTheme="minorEastAsia"/>
                <w:sz w:val="22"/>
                <w:szCs w:val="22"/>
              </w:rPr>
            </w:pPr>
            <w:r>
              <w:rPr>
                <w:rFonts w:asciiTheme="minorEastAsia" w:hAnsiTheme="minorEastAsia" w:eastAsiaTheme="minorEastAsia"/>
                <w:sz w:val="22"/>
                <w:szCs w:val="22"/>
              </w:rPr>
              <w:t>≤2.35</w:t>
            </w:r>
          </w:p>
        </w:tc>
        <w:tc>
          <w:tcPr>
            <w:tcW w:w="1417" w:type="dxa"/>
            <w:tcBorders>
              <w:top w:val="nil"/>
              <w:left w:val="nil"/>
              <w:bottom w:val="single" w:color="auto" w:sz="4" w:space="0"/>
              <w:right w:val="single" w:color="auto" w:sz="4" w:space="0"/>
            </w:tcBorders>
            <w:vAlign w:val="center"/>
          </w:tcPr>
          <w:p w14:paraId="0C15B46B">
            <w:pPr>
              <w:autoSpaceDE w:val="0"/>
              <w:autoSpaceDN w:val="0"/>
              <w:adjustRightInd w:val="0"/>
              <w:ind w:left="-108" w:right="-108" w:firstLine="125" w:firstLineChars="57"/>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37B7376D">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tcPr>
          <w:p w14:paraId="0AD6202D">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tcPr>
          <w:p w14:paraId="539D0E13">
            <w:pPr>
              <w:widowControl/>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tcPr>
          <w:p w14:paraId="4B31E3CA">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53FCA402">
            <w:pPr>
              <w:widowControl/>
              <w:jc w:val="center"/>
              <w:rPr>
                <w:rFonts w:asciiTheme="minorEastAsia" w:hAnsiTheme="minorEastAsia" w:eastAsiaTheme="minorEastAsia"/>
                <w:kern w:val="0"/>
                <w:sz w:val="22"/>
                <w:szCs w:val="22"/>
              </w:rPr>
            </w:pPr>
          </w:p>
        </w:tc>
      </w:tr>
      <w:tr w14:paraId="01A1BDF9">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3631B083">
            <w:pPr>
              <w:autoSpaceDE w:val="0"/>
              <w:autoSpaceDN w:val="0"/>
              <w:adjustRightInd w:val="0"/>
              <w:ind w:right="-108"/>
              <w:jc w:val="center"/>
              <w:rPr>
                <w:rFonts w:cs="宋体" w:asciiTheme="minorEastAsia" w:hAnsiTheme="minorEastAsia" w:eastAsiaTheme="minorEastAsia"/>
                <w:kern w:val="0"/>
                <w:sz w:val="22"/>
                <w:szCs w:val="22"/>
                <w:lang w:val="zh-CN"/>
              </w:rPr>
            </w:pPr>
            <w:r>
              <w:rPr>
                <w:rFonts w:cs="宋体" w:asciiTheme="minorEastAsia" w:hAnsiTheme="minorEastAsia" w:eastAsiaTheme="minorEastAsia"/>
                <w:kern w:val="0"/>
                <w:sz w:val="22"/>
                <w:szCs w:val="22"/>
                <w:lang w:val="zh-CN"/>
              </w:rPr>
              <w:t>1.6</w:t>
            </w:r>
          </w:p>
        </w:tc>
        <w:tc>
          <w:tcPr>
            <w:tcW w:w="2610" w:type="dxa"/>
            <w:tcBorders>
              <w:top w:val="nil"/>
              <w:left w:val="nil"/>
              <w:bottom w:val="single" w:color="auto" w:sz="4" w:space="0"/>
              <w:right w:val="single" w:color="auto" w:sz="4" w:space="0"/>
            </w:tcBorders>
            <w:vAlign w:val="center"/>
          </w:tcPr>
          <w:p w14:paraId="2B4D5806">
            <w:pPr>
              <w:autoSpaceDE w:val="0"/>
              <w:autoSpaceDN w:val="0"/>
              <w:adjustRightInd w:val="0"/>
              <w:ind w:right="-108"/>
              <w:rPr>
                <w:rFonts w:cs="宋体" w:asciiTheme="minorEastAsia" w:hAnsiTheme="minorEastAsia" w:eastAsiaTheme="minorEastAsia"/>
                <w:kern w:val="0"/>
                <w:sz w:val="22"/>
                <w:szCs w:val="22"/>
                <w:lang w:val="zh-CN"/>
              </w:rPr>
            </w:pPr>
            <w:r>
              <w:rPr>
                <w:rFonts w:hint="eastAsia" w:cs="宋体" w:asciiTheme="minorEastAsia" w:hAnsiTheme="minorEastAsia" w:eastAsiaTheme="minorEastAsia"/>
                <w:kern w:val="0"/>
                <w:sz w:val="22"/>
                <w:szCs w:val="22"/>
                <w:lang w:val="zh-CN"/>
              </w:rPr>
              <w:t>体积电阻率（</w:t>
            </w:r>
            <w:r>
              <w:rPr>
                <w:rFonts w:cs="宋体" w:asciiTheme="minorEastAsia" w:hAnsiTheme="minorEastAsia" w:eastAsiaTheme="minorEastAsia"/>
                <w:kern w:val="0"/>
                <w:sz w:val="22"/>
                <w:szCs w:val="22"/>
                <w:lang w:val="zh-CN"/>
              </w:rPr>
              <w:t>2</w:t>
            </w:r>
            <w:r>
              <w:rPr>
                <w:rFonts w:hint="eastAsia" w:cs="宋体" w:asciiTheme="minorEastAsia" w:hAnsiTheme="minorEastAsia" w:eastAsiaTheme="minorEastAsia"/>
                <w:kern w:val="0"/>
                <w:sz w:val="22"/>
                <w:szCs w:val="22"/>
              </w:rPr>
              <w:t>3</w:t>
            </w:r>
            <w:r>
              <w:rPr>
                <w:rFonts w:hint="eastAsia" w:cs="宋体" w:asciiTheme="minorEastAsia" w:hAnsiTheme="minorEastAsia" w:eastAsiaTheme="minorEastAsia"/>
                <w:kern w:val="0"/>
                <w:sz w:val="22"/>
                <w:szCs w:val="22"/>
                <w:lang w:val="zh-CN"/>
              </w:rPr>
              <w:t>℃）（Ω</w:t>
            </w:r>
            <w:r>
              <w:rPr>
                <w:rFonts w:hint="eastAsia" w:cs="宋体" w:asciiTheme="minorEastAsia" w:hAnsiTheme="minorEastAsia" w:eastAsiaTheme="minorEastAsia"/>
                <w:kern w:val="0"/>
                <w:sz w:val="22"/>
                <w:szCs w:val="22"/>
                <w:lang w:val="zh-CN"/>
              </w:rPr>
              <w:sym w:font="Symbol" w:char="F0D7"/>
            </w:r>
            <w:r>
              <w:rPr>
                <w:rFonts w:cs="宋体" w:asciiTheme="minorEastAsia" w:hAnsiTheme="minorEastAsia" w:eastAsiaTheme="minorEastAsia"/>
                <w:kern w:val="0"/>
                <w:sz w:val="22"/>
                <w:szCs w:val="22"/>
                <w:lang w:val="zh-CN"/>
              </w:rPr>
              <w:t>m</w:t>
            </w:r>
            <w:r>
              <w:rPr>
                <w:rFonts w:hint="eastAsia" w:cs="宋体" w:asciiTheme="minorEastAsia" w:hAnsiTheme="minorEastAsia" w:eastAsiaTheme="minorEastAsia"/>
                <w:kern w:val="0"/>
                <w:sz w:val="22"/>
                <w:szCs w:val="22"/>
                <w:lang w:val="zh-CN"/>
              </w:rPr>
              <w:t>）</w:t>
            </w:r>
          </w:p>
        </w:tc>
        <w:tc>
          <w:tcPr>
            <w:tcW w:w="2410" w:type="dxa"/>
            <w:tcBorders>
              <w:top w:val="nil"/>
              <w:left w:val="nil"/>
              <w:bottom w:val="single" w:color="auto" w:sz="4" w:space="0"/>
              <w:right w:val="single" w:color="auto" w:sz="4" w:space="0"/>
            </w:tcBorders>
            <w:vAlign w:val="center"/>
          </w:tcPr>
          <w:p w14:paraId="5136AE21">
            <w:pPr>
              <w:autoSpaceDE w:val="0"/>
              <w:autoSpaceDN w:val="0"/>
              <w:adjustRightInd w:val="0"/>
              <w:ind w:left="-107" w:right="-108"/>
              <w:jc w:val="center"/>
              <w:rPr>
                <w:rFonts w:cs="Arial" w:asciiTheme="minorEastAsia" w:hAnsiTheme="minorEastAsia" w:eastAsiaTheme="minorEastAsia"/>
                <w:sz w:val="22"/>
                <w:szCs w:val="22"/>
              </w:rPr>
            </w:pPr>
            <w:r>
              <w:rPr>
                <w:rFonts w:asciiTheme="minorEastAsia" w:hAnsiTheme="minorEastAsia" w:eastAsiaTheme="minorEastAsia"/>
                <w:sz w:val="22"/>
                <w:szCs w:val="22"/>
              </w:rPr>
              <w:t>≥1×10</w:t>
            </w:r>
            <w:r>
              <w:rPr>
                <w:rFonts w:asciiTheme="minorEastAsia" w:hAnsiTheme="minorEastAsia" w:eastAsiaTheme="minorEastAsia"/>
                <w:sz w:val="22"/>
                <w:szCs w:val="22"/>
                <w:vertAlign w:val="superscript"/>
              </w:rPr>
              <w:t>14</w:t>
            </w:r>
          </w:p>
        </w:tc>
        <w:tc>
          <w:tcPr>
            <w:tcW w:w="1417" w:type="dxa"/>
            <w:tcBorders>
              <w:top w:val="nil"/>
              <w:left w:val="nil"/>
              <w:bottom w:val="single" w:color="auto" w:sz="4" w:space="0"/>
              <w:right w:val="single" w:color="auto" w:sz="4" w:space="0"/>
            </w:tcBorders>
            <w:vAlign w:val="center"/>
          </w:tcPr>
          <w:p w14:paraId="39C2FA8F">
            <w:pPr>
              <w:autoSpaceDE w:val="0"/>
              <w:autoSpaceDN w:val="0"/>
              <w:adjustRightInd w:val="0"/>
              <w:ind w:left="-108" w:right="-108" w:firstLine="125" w:firstLineChars="57"/>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0813203C">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60C860EE">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023B8114">
            <w:pPr>
              <w:widowControl/>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tcPr>
          <w:p w14:paraId="3FD37DFC">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2F94FC59">
            <w:pPr>
              <w:widowControl/>
              <w:jc w:val="center"/>
              <w:rPr>
                <w:rFonts w:asciiTheme="minorEastAsia" w:hAnsiTheme="minorEastAsia" w:eastAsiaTheme="minorEastAsia"/>
                <w:kern w:val="0"/>
                <w:sz w:val="22"/>
                <w:szCs w:val="22"/>
              </w:rPr>
            </w:pPr>
          </w:p>
        </w:tc>
      </w:tr>
      <w:tr w14:paraId="271D590B">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3501B28E">
            <w:pPr>
              <w:autoSpaceDE w:val="0"/>
              <w:autoSpaceDN w:val="0"/>
              <w:adjustRightInd w:val="0"/>
              <w:ind w:right="-108"/>
              <w:jc w:val="center"/>
              <w:rPr>
                <w:rFonts w:cs="宋体" w:asciiTheme="minorEastAsia" w:hAnsiTheme="minorEastAsia" w:eastAsiaTheme="minorEastAsia"/>
                <w:kern w:val="0"/>
                <w:sz w:val="22"/>
                <w:szCs w:val="22"/>
                <w:lang w:val="zh-CN"/>
              </w:rPr>
            </w:pPr>
            <w:r>
              <w:rPr>
                <w:rFonts w:cs="宋体" w:asciiTheme="minorEastAsia" w:hAnsiTheme="minorEastAsia" w:eastAsiaTheme="minorEastAsia"/>
                <w:kern w:val="0"/>
                <w:sz w:val="22"/>
                <w:szCs w:val="22"/>
                <w:lang w:val="zh-CN"/>
              </w:rPr>
              <w:t>1.7</w:t>
            </w:r>
          </w:p>
        </w:tc>
        <w:tc>
          <w:tcPr>
            <w:tcW w:w="2610" w:type="dxa"/>
            <w:tcBorders>
              <w:top w:val="nil"/>
              <w:left w:val="nil"/>
              <w:bottom w:val="single" w:color="auto" w:sz="4" w:space="0"/>
              <w:right w:val="single" w:color="auto" w:sz="4" w:space="0"/>
            </w:tcBorders>
            <w:vAlign w:val="center"/>
          </w:tcPr>
          <w:p w14:paraId="1D2BB4CD">
            <w:pPr>
              <w:autoSpaceDE w:val="0"/>
              <w:autoSpaceDN w:val="0"/>
              <w:adjustRightInd w:val="0"/>
              <w:ind w:right="-108"/>
              <w:rPr>
                <w:rFonts w:cs="宋体" w:asciiTheme="minorEastAsia" w:hAnsiTheme="minorEastAsia" w:eastAsiaTheme="minorEastAsia"/>
                <w:kern w:val="0"/>
                <w:sz w:val="22"/>
                <w:szCs w:val="22"/>
                <w:lang w:val="zh-CN"/>
              </w:rPr>
            </w:pPr>
            <w:r>
              <w:rPr>
                <w:rFonts w:hint="eastAsia" w:cs="宋体" w:asciiTheme="minorEastAsia" w:hAnsiTheme="minorEastAsia" w:eastAsiaTheme="minorEastAsia"/>
                <w:kern w:val="0"/>
                <w:sz w:val="22"/>
                <w:szCs w:val="22"/>
                <w:lang w:val="zh-CN"/>
              </w:rPr>
              <w:t>短时工频击穿强度（平板电极，直径</w:t>
            </w:r>
            <w:r>
              <w:rPr>
                <w:rFonts w:hint="eastAsia" w:cs="宋体" w:asciiTheme="minorEastAsia" w:hAnsiTheme="minorEastAsia" w:eastAsiaTheme="minorEastAsia"/>
                <w:kern w:val="0"/>
                <w:sz w:val="22"/>
                <w:szCs w:val="22"/>
              </w:rPr>
              <w:t>25mm，升压速率500V/s</w:t>
            </w:r>
            <w:r>
              <w:rPr>
                <w:rFonts w:hint="eastAsia" w:cs="宋体" w:asciiTheme="minorEastAsia" w:hAnsiTheme="minorEastAsia" w:eastAsiaTheme="minorEastAsia"/>
                <w:kern w:val="0"/>
                <w:sz w:val="22"/>
                <w:szCs w:val="22"/>
                <w:lang w:val="zh-CN"/>
              </w:rPr>
              <w:t>）（</w:t>
            </w:r>
            <w:r>
              <w:rPr>
                <w:rFonts w:cs="宋体" w:asciiTheme="minorEastAsia" w:hAnsiTheme="minorEastAsia" w:eastAsiaTheme="minorEastAsia"/>
                <w:kern w:val="0"/>
                <w:sz w:val="22"/>
                <w:szCs w:val="22"/>
                <w:lang w:val="zh-CN"/>
              </w:rPr>
              <w:t>kV/mm</w:t>
            </w:r>
            <w:r>
              <w:rPr>
                <w:rFonts w:hint="eastAsia" w:cs="宋体" w:asciiTheme="minorEastAsia" w:hAnsiTheme="minorEastAsia" w:eastAsiaTheme="minorEastAsia"/>
                <w:kern w:val="0"/>
                <w:sz w:val="22"/>
                <w:szCs w:val="22"/>
                <w:lang w:val="zh-CN"/>
              </w:rPr>
              <w:t>）</w:t>
            </w:r>
          </w:p>
        </w:tc>
        <w:tc>
          <w:tcPr>
            <w:tcW w:w="2410" w:type="dxa"/>
            <w:tcBorders>
              <w:top w:val="nil"/>
              <w:left w:val="nil"/>
              <w:bottom w:val="single" w:color="auto" w:sz="4" w:space="0"/>
              <w:right w:val="single" w:color="auto" w:sz="4" w:space="0"/>
            </w:tcBorders>
            <w:vAlign w:val="center"/>
          </w:tcPr>
          <w:p w14:paraId="30C3D8D4">
            <w:pPr>
              <w:autoSpaceDE w:val="0"/>
              <w:autoSpaceDN w:val="0"/>
              <w:adjustRightInd w:val="0"/>
              <w:ind w:left="-107" w:right="-108"/>
              <w:jc w:val="center"/>
              <w:rPr>
                <w:rFonts w:cs="Arial" w:asciiTheme="minorEastAsia" w:hAnsiTheme="minorEastAsia" w:eastAsiaTheme="minorEastAsia"/>
                <w:sz w:val="22"/>
                <w:szCs w:val="22"/>
              </w:rPr>
            </w:pPr>
            <w:r>
              <w:rPr>
                <w:rFonts w:cs="Arial" w:asciiTheme="minorEastAsia" w:hAnsiTheme="minorEastAsia" w:eastAsiaTheme="minorEastAsia"/>
                <w:sz w:val="22"/>
                <w:szCs w:val="22"/>
              </w:rPr>
              <w:t>≥</w:t>
            </w:r>
            <w:r>
              <w:rPr>
                <w:rFonts w:hint="eastAsia" w:asciiTheme="minorEastAsia" w:hAnsiTheme="minorEastAsia" w:eastAsiaTheme="minorEastAsia"/>
                <w:sz w:val="22"/>
                <w:szCs w:val="22"/>
              </w:rPr>
              <w:t>35</w:t>
            </w:r>
          </w:p>
        </w:tc>
        <w:tc>
          <w:tcPr>
            <w:tcW w:w="1417" w:type="dxa"/>
            <w:tcBorders>
              <w:top w:val="nil"/>
              <w:left w:val="nil"/>
              <w:bottom w:val="single" w:color="auto" w:sz="4" w:space="0"/>
              <w:right w:val="single" w:color="auto" w:sz="4" w:space="0"/>
            </w:tcBorders>
            <w:vAlign w:val="center"/>
          </w:tcPr>
          <w:p w14:paraId="64620F9F">
            <w:pPr>
              <w:autoSpaceDE w:val="0"/>
              <w:autoSpaceDN w:val="0"/>
              <w:adjustRightInd w:val="0"/>
              <w:ind w:left="-108" w:right="-108" w:firstLine="125" w:firstLineChars="57"/>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20FE3DB6">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54924356">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0A2E1A61">
            <w:pPr>
              <w:widowControl/>
              <w:jc w:val="center"/>
              <w:rPr>
                <w:rFonts w:asciiTheme="minorEastAsia" w:hAnsiTheme="minorEastAsia" w:eastAsiaTheme="minorEastAsia"/>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vAlign w:val="center"/>
          </w:tcPr>
          <w:p w14:paraId="25B6B070">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C9B912D">
            <w:pPr>
              <w:widowControl/>
              <w:jc w:val="center"/>
              <w:rPr>
                <w:rFonts w:asciiTheme="minorEastAsia" w:hAnsiTheme="minorEastAsia" w:eastAsiaTheme="minorEastAsia"/>
                <w:kern w:val="0"/>
                <w:sz w:val="22"/>
                <w:szCs w:val="22"/>
              </w:rPr>
            </w:pPr>
          </w:p>
        </w:tc>
      </w:tr>
      <w:tr w14:paraId="2F993586">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2BEDD1D7">
            <w:pPr>
              <w:autoSpaceDE w:val="0"/>
              <w:autoSpaceDN w:val="0"/>
              <w:adjustRightInd w:val="0"/>
              <w:ind w:right="-108"/>
              <w:jc w:val="center"/>
              <w:rPr>
                <w:rFonts w:cs="宋体" w:asciiTheme="minorEastAsia" w:hAnsiTheme="minorEastAsia" w:eastAsiaTheme="minorEastAsia"/>
                <w:kern w:val="0"/>
                <w:sz w:val="22"/>
                <w:szCs w:val="22"/>
                <w:lang w:val="zh-CN"/>
              </w:rPr>
            </w:pPr>
            <w:r>
              <w:rPr>
                <w:rFonts w:hint="eastAsia" w:cs="宋体" w:asciiTheme="minorEastAsia" w:hAnsiTheme="minorEastAsia" w:eastAsiaTheme="minorEastAsia"/>
                <w:kern w:val="0"/>
                <w:sz w:val="22"/>
                <w:szCs w:val="22"/>
                <w:lang w:val="zh-CN"/>
              </w:rPr>
              <w:t>1.8</w:t>
            </w:r>
          </w:p>
        </w:tc>
        <w:tc>
          <w:tcPr>
            <w:tcW w:w="2610" w:type="dxa"/>
            <w:tcBorders>
              <w:top w:val="nil"/>
              <w:left w:val="nil"/>
              <w:bottom w:val="single" w:color="auto" w:sz="4" w:space="0"/>
              <w:right w:val="single" w:color="auto" w:sz="4" w:space="0"/>
            </w:tcBorders>
            <w:vAlign w:val="center"/>
          </w:tcPr>
          <w:p w14:paraId="5D97EC96">
            <w:pPr>
              <w:autoSpaceDE w:val="0"/>
              <w:autoSpaceDN w:val="0"/>
              <w:adjustRightInd w:val="0"/>
              <w:ind w:right="-108"/>
              <w:rPr>
                <w:rFonts w:cs="宋体" w:asciiTheme="minorEastAsia" w:hAnsiTheme="minorEastAsia" w:eastAsiaTheme="minorEastAsia"/>
                <w:kern w:val="0"/>
                <w:sz w:val="22"/>
                <w:szCs w:val="22"/>
                <w:lang w:val="zh-CN"/>
              </w:rPr>
            </w:pPr>
            <w:r>
              <w:rPr>
                <w:rFonts w:hint="eastAsia" w:cs="宋体" w:asciiTheme="minorEastAsia" w:hAnsiTheme="minorEastAsia" w:eastAsiaTheme="minorEastAsia"/>
                <w:kern w:val="0"/>
                <w:sz w:val="22"/>
                <w:szCs w:val="22"/>
                <w:lang w:val="zh-CN"/>
              </w:rPr>
              <w:t>杂质最大尺寸（1000g样片中）</w:t>
            </w:r>
          </w:p>
        </w:tc>
        <w:tc>
          <w:tcPr>
            <w:tcW w:w="2410" w:type="dxa"/>
            <w:tcBorders>
              <w:top w:val="nil"/>
              <w:left w:val="nil"/>
              <w:bottom w:val="single" w:color="auto" w:sz="4" w:space="0"/>
              <w:right w:val="single" w:color="auto" w:sz="4" w:space="0"/>
            </w:tcBorders>
            <w:vAlign w:val="center"/>
          </w:tcPr>
          <w:p w14:paraId="285C1B46">
            <w:pPr>
              <w:autoSpaceDE w:val="0"/>
              <w:autoSpaceDN w:val="0"/>
              <w:adjustRightInd w:val="0"/>
              <w:ind w:left="-107" w:right="-108"/>
              <w:jc w:val="center"/>
              <w:rPr>
                <w:rFonts w:cs="Arial" w:asciiTheme="minorEastAsia" w:hAnsiTheme="minorEastAsia" w:eastAsiaTheme="minorEastAsia"/>
                <w:sz w:val="22"/>
                <w:szCs w:val="22"/>
              </w:rPr>
            </w:pPr>
            <w:r>
              <w:rPr>
                <w:rFonts w:hint="eastAsia" w:cs="Arial" w:asciiTheme="minorEastAsia" w:hAnsiTheme="minorEastAsia" w:eastAsiaTheme="minorEastAsia"/>
                <w:sz w:val="22"/>
                <w:szCs w:val="22"/>
              </w:rPr>
              <w:t>≤0.075</w:t>
            </w:r>
          </w:p>
        </w:tc>
        <w:tc>
          <w:tcPr>
            <w:tcW w:w="1417" w:type="dxa"/>
            <w:tcBorders>
              <w:top w:val="nil"/>
              <w:left w:val="nil"/>
              <w:bottom w:val="single" w:color="auto" w:sz="4" w:space="0"/>
              <w:right w:val="single" w:color="auto" w:sz="4" w:space="0"/>
            </w:tcBorders>
            <w:vAlign w:val="center"/>
          </w:tcPr>
          <w:p w14:paraId="708F0BAB">
            <w:pPr>
              <w:autoSpaceDE w:val="0"/>
              <w:autoSpaceDN w:val="0"/>
              <w:adjustRightInd w:val="0"/>
              <w:ind w:left="-108" w:right="-108" w:firstLine="125" w:firstLineChars="57"/>
              <w:rPr>
                <w:rFonts w:asciiTheme="minorEastAsia" w:hAnsiTheme="minorEastAsia" w:eastAsiaTheme="minorEastAsia"/>
                <w:bCs/>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tcPr>
          <w:p w14:paraId="3ABF84A6">
            <w:pPr>
              <w:widowControl/>
              <w:jc w:val="center"/>
              <w:rPr>
                <w:rFonts w:cs="宋体" w:asciiTheme="minorEastAsia" w:hAnsiTheme="minorEastAsia" w:eastAsiaTheme="minorEastAsia"/>
                <w:kern w:val="0"/>
                <w:sz w:val="22"/>
                <w:szCs w:val="22"/>
              </w:rPr>
            </w:pPr>
          </w:p>
        </w:tc>
        <w:tc>
          <w:tcPr>
            <w:tcW w:w="1559" w:type="dxa"/>
            <w:tcBorders>
              <w:top w:val="nil"/>
              <w:left w:val="nil"/>
              <w:bottom w:val="single" w:color="auto" w:sz="4" w:space="0"/>
              <w:right w:val="single" w:color="auto" w:sz="4" w:space="0"/>
            </w:tcBorders>
          </w:tcPr>
          <w:p w14:paraId="6050B2F0">
            <w:pPr>
              <w:widowControl/>
              <w:jc w:val="center"/>
              <w:rPr>
                <w:rFonts w:asciiTheme="minorEastAsia" w:hAnsiTheme="minorEastAsia" w:eastAsiaTheme="minorEastAsia"/>
                <w:kern w:val="0"/>
                <w:sz w:val="22"/>
                <w:szCs w:val="22"/>
              </w:rPr>
            </w:pPr>
          </w:p>
        </w:tc>
        <w:tc>
          <w:tcPr>
            <w:tcW w:w="1134" w:type="dxa"/>
            <w:tcBorders>
              <w:top w:val="nil"/>
              <w:left w:val="nil"/>
              <w:bottom w:val="single" w:color="auto" w:sz="4" w:space="0"/>
              <w:right w:val="single" w:color="auto" w:sz="4" w:space="0"/>
            </w:tcBorders>
          </w:tcPr>
          <w:p w14:paraId="12ED8AD7">
            <w:pPr>
              <w:widowControl/>
              <w:jc w:val="center"/>
              <w:rPr>
                <w:rFonts w:asciiTheme="minorEastAsia" w:hAnsiTheme="minorEastAsia" w:eastAsiaTheme="minorEastAsia"/>
                <w:sz w:val="22"/>
                <w:szCs w:val="22"/>
              </w:rPr>
            </w:pPr>
          </w:p>
        </w:tc>
        <w:tc>
          <w:tcPr>
            <w:tcW w:w="1233" w:type="dxa"/>
            <w:tcBorders>
              <w:top w:val="nil"/>
              <w:left w:val="nil"/>
              <w:bottom w:val="single" w:color="auto" w:sz="4" w:space="0"/>
              <w:right w:val="single" w:color="auto" w:sz="4" w:space="0"/>
            </w:tcBorders>
          </w:tcPr>
          <w:p w14:paraId="3DF411ED">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tcPr>
          <w:p w14:paraId="5760974C">
            <w:pPr>
              <w:widowControl/>
              <w:jc w:val="center"/>
              <w:rPr>
                <w:rFonts w:asciiTheme="minorEastAsia" w:hAnsiTheme="minorEastAsia" w:eastAsiaTheme="minorEastAsia"/>
                <w:kern w:val="0"/>
                <w:sz w:val="22"/>
                <w:szCs w:val="22"/>
              </w:rPr>
            </w:pPr>
          </w:p>
        </w:tc>
      </w:tr>
      <w:tr w14:paraId="69B71C84">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23A71346">
            <w:pPr>
              <w:autoSpaceDE w:val="0"/>
              <w:autoSpaceDN w:val="0"/>
              <w:adjustRightInd w:val="0"/>
              <w:ind w:right="-108"/>
              <w:jc w:val="center"/>
              <w:rPr>
                <w:rFonts w:asciiTheme="minorEastAsia" w:hAnsiTheme="minorEastAsia" w:eastAsiaTheme="minorEastAsia"/>
                <w:kern w:val="0"/>
                <w:sz w:val="22"/>
                <w:szCs w:val="22"/>
              </w:rPr>
            </w:pPr>
            <w:r>
              <w:rPr>
                <w:rFonts w:cs="宋体" w:asciiTheme="minorEastAsia" w:hAnsiTheme="minorEastAsia" w:eastAsiaTheme="minorEastAsia"/>
                <w:kern w:val="0"/>
                <w:sz w:val="22"/>
                <w:szCs w:val="22"/>
                <w:lang w:val="zh-CN"/>
              </w:rPr>
              <w:t>2</w:t>
            </w:r>
          </w:p>
        </w:tc>
        <w:tc>
          <w:tcPr>
            <w:tcW w:w="13573" w:type="dxa"/>
            <w:gridSpan w:val="8"/>
            <w:tcBorders>
              <w:top w:val="nil"/>
              <w:left w:val="nil"/>
              <w:bottom w:val="single" w:color="auto" w:sz="4" w:space="0"/>
              <w:right w:val="single" w:color="auto" w:sz="4" w:space="0"/>
            </w:tcBorders>
            <w:vAlign w:val="center"/>
          </w:tcPr>
          <w:p w14:paraId="5B9B23BE">
            <w:pPr>
              <w:widowControl/>
              <w:jc w:val="center"/>
              <w:rPr>
                <w:rFonts w:asciiTheme="minorEastAsia" w:hAnsiTheme="minorEastAsia" w:eastAsiaTheme="minorEastAsia"/>
                <w:b/>
                <w:kern w:val="0"/>
                <w:sz w:val="22"/>
                <w:szCs w:val="22"/>
              </w:rPr>
            </w:pPr>
            <w:r>
              <w:rPr>
                <w:rFonts w:hint="eastAsia" w:asciiTheme="minorEastAsia" w:hAnsiTheme="minorEastAsia" w:eastAsiaTheme="minorEastAsia"/>
                <w:b/>
                <w:kern w:val="0"/>
                <w:sz w:val="22"/>
                <w:szCs w:val="22"/>
              </w:rPr>
              <w:t>热延伸试验（</w:t>
            </w:r>
            <w:r>
              <w:rPr>
                <w:rFonts w:asciiTheme="minorEastAsia" w:hAnsiTheme="minorEastAsia" w:eastAsiaTheme="minorEastAsia"/>
                <w:b/>
                <w:kern w:val="0"/>
                <w:sz w:val="22"/>
                <w:szCs w:val="22"/>
              </w:rPr>
              <w:t>200</w:t>
            </w:r>
            <w:r>
              <w:rPr>
                <w:rFonts w:hint="eastAsia" w:asciiTheme="minorEastAsia" w:hAnsiTheme="minorEastAsia" w:eastAsiaTheme="minorEastAsia"/>
                <w:b/>
                <w:kern w:val="0"/>
                <w:sz w:val="22"/>
                <w:szCs w:val="22"/>
              </w:rPr>
              <w:t>℃，</w:t>
            </w:r>
            <w:r>
              <w:rPr>
                <w:rFonts w:asciiTheme="minorEastAsia" w:hAnsiTheme="minorEastAsia" w:eastAsiaTheme="minorEastAsia"/>
                <w:b/>
                <w:kern w:val="0"/>
                <w:sz w:val="22"/>
                <w:szCs w:val="22"/>
              </w:rPr>
              <w:t>0.2MPa</w:t>
            </w:r>
            <w:r>
              <w:rPr>
                <w:rFonts w:hint="eastAsia" w:asciiTheme="minorEastAsia" w:hAnsiTheme="minorEastAsia" w:eastAsiaTheme="minorEastAsia"/>
                <w:b/>
                <w:kern w:val="0"/>
                <w:sz w:val="22"/>
                <w:szCs w:val="22"/>
              </w:rPr>
              <w:t>）</w:t>
            </w:r>
          </w:p>
        </w:tc>
      </w:tr>
      <w:tr w14:paraId="6E3CB002">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30CDF4C2">
            <w:pPr>
              <w:autoSpaceDE w:val="0"/>
              <w:autoSpaceDN w:val="0"/>
              <w:adjustRightInd w:val="0"/>
              <w:ind w:right="-108"/>
              <w:jc w:val="center"/>
              <w:rPr>
                <w:rFonts w:asciiTheme="minorEastAsia" w:hAnsiTheme="minorEastAsia" w:eastAsiaTheme="minorEastAsia"/>
                <w:kern w:val="0"/>
                <w:sz w:val="22"/>
                <w:szCs w:val="22"/>
              </w:rPr>
            </w:pPr>
            <w:r>
              <w:rPr>
                <w:rFonts w:cs="宋体" w:asciiTheme="minorEastAsia" w:hAnsiTheme="minorEastAsia" w:eastAsiaTheme="minorEastAsia"/>
                <w:kern w:val="0"/>
                <w:sz w:val="22"/>
                <w:szCs w:val="22"/>
                <w:lang w:val="zh-CN"/>
              </w:rPr>
              <w:t>2.1</w:t>
            </w:r>
          </w:p>
        </w:tc>
        <w:tc>
          <w:tcPr>
            <w:tcW w:w="2610" w:type="dxa"/>
            <w:tcBorders>
              <w:top w:val="nil"/>
              <w:left w:val="nil"/>
              <w:bottom w:val="single" w:color="auto" w:sz="4" w:space="0"/>
              <w:right w:val="single" w:color="auto" w:sz="4" w:space="0"/>
            </w:tcBorders>
            <w:vAlign w:val="center"/>
          </w:tcPr>
          <w:p w14:paraId="6833732B">
            <w:pPr>
              <w:autoSpaceDE w:val="0"/>
              <w:autoSpaceDN w:val="0"/>
              <w:adjustRightInd w:val="0"/>
              <w:ind w:right="-108"/>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lang w:val="zh-CN"/>
              </w:rPr>
              <w:t>负荷下伸长率（</w:t>
            </w:r>
            <w:r>
              <w:rPr>
                <w:rFonts w:cs="宋体" w:asciiTheme="minorEastAsia" w:hAnsiTheme="minorEastAsia" w:eastAsiaTheme="minorEastAsia"/>
                <w:kern w:val="0"/>
                <w:sz w:val="22"/>
                <w:szCs w:val="22"/>
                <w:lang w:val="zh-CN"/>
              </w:rPr>
              <w:t>%</w:t>
            </w:r>
            <w:r>
              <w:rPr>
                <w:rFonts w:hint="eastAsia" w:cs="宋体" w:asciiTheme="minorEastAsia" w:hAnsiTheme="minorEastAsia" w:eastAsiaTheme="minorEastAsia"/>
                <w:kern w:val="0"/>
                <w:sz w:val="22"/>
                <w:szCs w:val="22"/>
                <w:lang w:val="zh-CN"/>
              </w:rPr>
              <w:t>）</w:t>
            </w:r>
          </w:p>
        </w:tc>
        <w:tc>
          <w:tcPr>
            <w:tcW w:w="2410" w:type="dxa"/>
            <w:tcBorders>
              <w:top w:val="nil"/>
              <w:left w:val="nil"/>
              <w:bottom w:val="single" w:color="auto" w:sz="4" w:space="0"/>
              <w:right w:val="single" w:color="auto" w:sz="4" w:space="0"/>
            </w:tcBorders>
            <w:vAlign w:val="center"/>
          </w:tcPr>
          <w:p w14:paraId="18D61768">
            <w:pPr>
              <w:autoSpaceDE w:val="0"/>
              <w:autoSpaceDN w:val="0"/>
              <w:adjustRightInd w:val="0"/>
              <w:ind w:left="-107" w:right="-108"/>
              <w:jc w:val="center"/>
              <w:rPr>
                <w:rFonts w:asciiTheme="minorEastAsia" w:hAnsiTheme="minorEastAsia" w:eastAsiaTheme="minorEastAsia"/>
                <w:kern w:val="0"/>
                <w:sz w:val="22"/>
                <w:szCs w:val="22"/>
              </w:rPr>
            </w:pPr>
            <w:r>
              <w:rPr>
                <w:rFonts w:asciiTheme="minorEastAsia" w:hAnsiTheme="minorEastAsia" w:eastAsiaTheme="minorEastAsia"/>
                <w:sz w:val="22"/>
                <w:szCs w:val="22"/>
              </w:rPr>
              <w:t>≤</w:t>
            </w:r>
            <w:r>
              <w:rPr>
                <w:rFonts w:hint="eastAsia" w:asciiTheme="minorEastAsia" w:hAnsiTheme="minorEastAsia" w:eastAsiaTheme="minorEastAsia"/>
                <w:sz w:val="22"/>
                <w:szCs w:val="22"/>
              </w:rPr>
              <w:t>8</w:t>
            </w:r>
            <w:r>
              <w:rPr>
                <w:rFonts w:asciiTheme="minorEastAsia" w:hAnsiTheme="minorEastAsia" w:eastAsiaTheme="minorEastAsia"/>
                <w:sz w:val="22"/>
                <w:szCs w:val="22"/>
              </w:rPr>
              <w:t>0</w:t>
            </w:r>
          </w:p>
        </w:tc>
        <w:tc>
          <w:tcPr>
            <w:tcW w:w="1417" w:type="dxa"/>
            <w:tcBorders>
              <w:top w:val="nil"/>
              <w:left w:val="nil"/>
              <w:bottom w:val="single" w:color="auto" w:sz="4" w:space="0"/>
              <w:right w:val="single" w:color="auto" w:sz="4" w:space="0"/>
            </w:tcBorders>
            <w:vAlign w:val="center"/>
          </w:tcPr>
          <w:p w14:paraId="684CC200">
            <w:pPr>
              <w:autoSpaceDE w:val="0"/>
              <w:autoSpaceDN w:val="0"/>
              <w:adjustRightInd w:val="0"/>
              <w:ind w:left="-108" w:right="-108" w:firstLine="125" w:firstLineChars="57"/>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63BB764E">
            <w:pPr>
              <w:widowControl/>
              <w:jc w:val="center"/>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29B6754A">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57BE6163">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vAlign w:val="center"/>
          </w:tcPr>
          <w:p w14:paraId="3DAAF413">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62623FF6">
            <w:pPr>
              <w:widowControl/>
              <w:jc w:val="center"/>
              <w:rPr>
                <w:rFonts w:asciiTheme="minorEastAsia" w:hAnsiTheme="minorEastAsia" w:eastAsiaTheme="minorEastAsia"/>
                <w:kern w:val="0"/>
                <w:sz w:val="22"/>
                <w:szCs w:val="22"/>
              </w:rPr>
            </w:pPr>
          </w:p>
        </w:tc>
      </w:tr>
      <w:tr w14:paraId="0A6D9F53">
        <w:tblPrEx>
          <w:tblCellMar>
            <w:top w:w="0" w:type="dxa"/>
            <w:left w:w="108" w:type="dxa"/>
            <w:bottom w:w="0" w:type="dxa"/>
            <w:right w:w="108" w:type="dxa"/>
          </w:tblCellMar>
        </w:tblPrEx>
        <w:trPr>
          <w:trHeight w:val="330" w:hRule="atLeast"/>
        </w:trPr>
        <w:tc>
          <w:tcPr>
            <w:tcW w:w="1076" w:type="dxa"/>
            <w:tcBorders>
              <w:top w:val="nil"/>
              <w:left w:val="single" w:color="auto" w:sz="4" w:space="0"/>
              <w:bottom w:val="single" w:color="auto" w:sz="4" w:space="0"/>
              <w:right w:val="single" w:color="auto" w:sz="4" w:space="0"/>
            </w:tcBorders>
            <w:vAlign w:val="center"/>
          </w:tcPr>
          <w:p w14:paraId="29392F4B">
            <w:pPr>
              <w:autoSpaceDE w:val="0"/>
              <w:autoSpaceDN w:val="0"/>
              <w:adjustRightInd w:val="0"/>
              <w:ind w:right="-108"/>
              <w:jc w:val="center"/>
              <w:rPr>
                <w:rFonts w:asciiTheme="minorEastAsia" w:hAnsiTheme="minorEastAsia" w:eastAsiaTheme="minorEastAsia"/>
                <w:kern w:val="0"/>
                <w:sz w:val="22"/>
                <w:szCs w:val="22"/>
              </w:rPr>
            </w:pPr>
            <w:r>
              <w:rPr>
                <w:rFonts w:cs="宋体" w:asciiTheme="minorEastAsia" w:hAnsiTheme="minorEastAsia" w:eastAsiaTheme="minorEastAsia"/>
                <w:kern w:val="0"/>
                <w:sz w:val="22"/>
                <w:szCs w:val="22"/>
                <w:lang w:val="zh-CN"/>
              </w:rPr>
              <w:t>2.2</w:t>
            </w:r>
          </w:p>
        </w:tc>
        <w:tc>
          <w:tcPr>
            <w:tcW w:w="2610" w:type="dxa"/>
            <w:tcBorders>
              <w:top w:val="nil"/>
              <w:left w:val="nil"/>
              <w:bottom w:val="single" w:color="auto" w:sz="4" w:space="0"/>
              <w:right w:val="single" w:color="auto" w:sz="4" w:space="0"/>
            </w:tcBorders>
            <w:vAlign w:val="center"/>
          </w:tcPr>
          <w:p w14:paraId="11D81FC0">
            <w:pPr>
              <w:autoSpaceDE w:val="0"/>
              <w:autoSpaceDN w:val="0"/>
              <w:adjustRightInd w:val="0"/>
              <w:ind w:right="-108"/>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lang w:val="zh-CN"/>
              </w:rPr>
              <w:t>冷却后永久变形（</w:t>
            </w:r>
            <w:r>
              <w:rPr>
                <w:rFonts w:cs="宋体" w:asciiTheme="minorEastAsia" w:hAnsiTheme="minorEastAsia" w:eastAsiaTheme="minorEastAsia"/>
                <w:kern w:val="0"/>
                <w:sz w:val="22"/>
                <w:szCs w:val="22"/>
                <w:lang w:val="zh-CN"/>
              </w:rPr>
              <w:t>%</w:t>
            </w:r>
            <w:r>
              <w:rPr>
                <w:rFonts w:hint="eastAsia" w:cs="宋体" w:asciiTheme="minorEastAsia" w:hAnsiTheme="minorEastAsia" w:eastAsiaTheme="minorEastAsia"/>
                <w:kern w:val="0"/>
                <w:sz w:val="22"/>
                <w:szCs w:val="22"/>
                <w:lang w:val="zh-CN"/>
              </w:rPr>
              <w:t>）</w:t>
            </w:r>
          </w:p>
        </w:tc>
        <w:tc>
          <w:tcPr>
            <w:tcW w:w="2410" w:type="dxa"/>
            <w:tcBorders>
              <w:top w:val="nil"/>
              <w:left w:val="nil"/>
              <w:bottom w:val="single" w:color="auto" w:sz="4" w:space="0"/>
              <w:right w:val="single" w:color="auto" w:sz="4" w:space="0"/>
            </w:tcBorders>
            <w:vAlign w:val="center"/>
          </w:tcPr>
          <w:p w14:paraId="2B46B183">
            <w:pPr>
              <w:autoSpaceDE w:val="0"/>
              <w:autoSpaceDN w:val="0"/>
              <w:adjustRightInd w:val="0"/>
              <w:ind w:left="-107" w:right="-108"/>
              <w:jc w:val="center"/>
              <w:rPr>
                <w:rFonts w:asciiTheme="minorEastAsia" w:hAnsiTheme="minorEastAsia" w:eastAsiaTheme="minorEastAsia"/>
                <w:kern w:val="0"/>
                <w:sz w:val="22"/>
                <w:szCs w:val="22"/>
              </w:rPr>
            </w:pPr>
            <w:r>
              <w:rPr>
                <w:rFonts w:asciiTheme="minorEastAsia" w:hAnsiTheme="minorEastAsia" w:eastAsiaTheme="minorEastAsia"/>
                <w:sz w:val="22"/>
                <w:szCs w:val="22"/>
              </w:rPr>
              <w:t>≤</w:t>
            </w:r>
            <w:r>
              <w:rPr>
                <w:rFonts w:hint="eastAsia" w:asciiTheme="minorEastAsia" w:hAnsiTheme="minorEastAsia" w:eastAsiaTheme="minorEastAsia"/>
                <w:sz w:val="22"/>
                <w:szCs w:val="22"/>
              </w:rPr>
              <w:t>5</w:t>
            </w:r>
          </w:p>
        </w:tc>
        <w:tc>
          <w:tcPr>
            <w:tcW w:w="1417" w:type="dxa"/>
            <w:tcBorders>
              <w:top w:val="nil"/>
              <w:left w:val="nil"/>
              <w:bottom w:val="single" w:color="auto" w:sz="4" w:space="0"/>
              <w:right w:val="single" w:color="auto" w:sz="4" w:space="0"/>
            </w:tcBorders>
            <w:vAlign w:val="center"/>
          </w:tcPr>
          <w:p w14:paraId="5214C13C">
            <w:pPr>
              <w:autoSpaceDE w:val="0"/>
              <w:autoSpaceDN w:val="0"/>
              <w:adjustRightInd w:val="0"/>
              <w:ind w:left="-108" w:right="-108" w:firstLine="125" w:firstLineChars="57"/>
              <w:rPr>
                <w:rFonts w:asciiTheme="minorEastAsia" w:hAnsiTheme="minorEastAsia" w:eastAsiaTheme="minorEastAsia"/>
                <w:kern w:val="0"/>
                <w:sz w:val="22"/>
                <w:szCs w:val="22"/>
              </w:rPr>
            </w:pPr>
            <w:r>
              <w:rPr>
                <w:rFonts w:hint="eastAsia" w:asciiTheme="minorEastAsia" w:hAnsiTheme="minorEastAsia" w:eastAsiaTheme="minorEastAsia"/>
                <w:bCs/>
                <w:kern w:val="0"/>
                <w:sz w:val="22"/>
                <w:szCs w:val="22"/>
              </w:rPr>
              <w:t>投标方响应</w:t>
            </w:r>
          </w:p>
        </w:tc>
        <w:tc>
          <w:tcPr>
            <w:tcW w:w="1843" w:type="dxa"/>
            <w:tcBorders>
              <w:top w:val="nil"/>
              <w:left w:val="nil"/>
              <w:bottom w:val="single" w:color="auto" w:sz="4" w:space="0"/>
              <w:right w:val="single" w:color="auto" w:sz="4" w:space="0"/>
            </w:tcBorders>
            <w:vAlign w:val="center"/>
          </w:tcPr>
          <w:p w14:paraId="0146020D">
            <w:pPr>
              <w:widowControl/>
              <w:jc w:val="center"/>
              <w:rPr>
                <w:rFonts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w:t>
            </w:r>
          </w:p>
        </w:tc>
        <w:tc>
          <w:tcPr>
            <w:tcW w:w="1559" w:type="dxa"/>
            <w:tcBorders>
              <w:top w:val="nil"/>
              <w:left w:val="nil"/>
              <w:bottom w:val="single" w:color="auto" w:sz="4" w:space="0"/>
              <w:right w:val="single" w:color="auto" w:sz="4" w:space="0"/>
            </w:tcBorders>
            <w:vAlign w:val="center"/>
          </w:tcPr>
          <w:p w14:paraId="75C96BBC">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投标方填写（数值型）</w:t>
            </w:r>
          </w:p>
        </w:tc>
        <w:tc>
          <w:tcPr>
            <w:tcW w:w="1134" w:type="dxa"/>
            <w:tcBorders>
              <w:top w:val="nil"/>
              <w:left w:val="nil"/>
              <w:bottom w:val="single" w:color="auto" w:sz="4" w:space="0"/>
              <w:right w:val="single" w:color="auto" w:sz="4" w:space="0"/>
            </w:tcBorders>
            <w:vAlign w:val="center"/>
          </w:tcPr>
          <w:p w14:paraId="4B370249">
            <w:pPr>
              <w:widowControl/>
              <w:jc w:val="center"/>
              <w:rPr>
                <w:rFonts w:asciiTheme="minorEastAsia" w:hAnsiTheme="minorEastAsia" w:eastAsiaTheme="minorEastAsia"/>
                <w:kern w:val="0"/>
                <w:sz w:val="22"/>
                <w:szCs w:val="22"/>
              </w:rPr>
            </w:pPr>
            <w:r>
              <w:rPr>
                <w:rFonts w:hint="eastAsia" w:asciiTheme="minorEastAsia" w:hAnsiTheme="minorEastAsia" w:eastAsiaTheme="minorEastAsia"/>
                <w:sz w:val="22"/>
                <w:szCs w:val="22"/>
              </w:rPr>
              <w:t>试验报告</w:t>
            </w:r>
          </w:p>
        </w:tc>
        <w:tc>
          <w:tcPr>
            <w:tcW w:w="1233" w:type="dxa"/>
            <w:tcBorders>
              <w:top w:val="nil"/>
              <w:left w:val="nil"/>
              <w:bottom w:val="single" w:color="auto" w:sz="4" w:space="0"/>
              <w:right w:val="single" w:color="auto" w:sz="4" w:space="0"/>
            </w:tcBorders>
            <w:vAlign w:val="center"/>
          </w:tcPr>
          <w:p w14:paraId="185F7A9F">
            <w:pPr>
              <w:widowControl/>
              <w:jc w:val="center"/>
              <w:rPr>
                <w:rFonts w:asciiTheme="minorEastAsia" w:hAnsiTheme="minorEastAsia" w:eastAsiaTheme="minorEastAsia"/>
                <w:kern w:val="0"/>
                <w:sz w:val="22"/>
                <w:szCs w:val="22"/>
              </w:rPr>
            </w:pPr>
          </w:p>
        </w:tc>
        <w:tc>
          <w:tcPr>
            <w:tcW w:w="1367" w:type="dxa"/>
            <w:tcBorders>
              <w:top w:val="nil"/>
              <w:left w:val="nil"/>
              <w:bottom w:val="single" w:color="auto" w:sz="4" w:space="0"/>
              <w:right w:val="single" w:color="auto" w:sz="4" w:space="0"/>
            </w:tcBorders>
            <w:vAlign w:val="center"/>
          </w:tcPr>
          <w:p w14:paraId="21EFDFE9">
            <w:pPr>
              <w:widowControl/>
              <w:jc w:val="center"/>
              <w:rPr>
                <w:rFonts w:asciiTheme="minorEastAsia" w:hAnsiTheme="minorEastAsia" w:eastAsiaTheme="minorEastAsia"/>
                <w:kern w:val="0"/>
                <w:sz w:val="22"/>
                <w:szCs w:val="22"/>
              </w:rPr>
            </w:pPr>
          </w:p>
        </w:tc>
      </w:tr>
    </w:tbl>
    <w:p w14:paraId="2A85F70A">
      <w:pPr>
        <w:jc w:val="center"/>
        <w:rPr>
          <w:szCs w:val="21"/>
        </w:rPr>
      </w:pPr>
    </w:p>
    <w:p w14:paraId="706303D6">
      <w:pPr>
        <w:jc w:val="center"/>
        <w:rPr>
          <w:szCs w:val="21"/>
        </w:rPr>
      </w:pPr>
      <w:r>
        <w:rPr>
          <w:szCs w:val="21"/>
        </w:rPr>
        <w:t>表</w:t>
      </w:r>
      <w:r>
        <w:rPr>
          <w:rFonts w:hint="eastAsia"/>
          <w:szCs w:val="21"/>
        </w:rPr>
        <w:t>6</w:t>
      </w:r>
      <w:r>
        <w:rPr>
          <w:szCs w:val="21"/>
        </w:rPr>
        <w:t>.7-</w:t>
      </w:r>
      <w:r>
        <w:rPr>
          <w:rFonts w:hint="eastAsia"/>
          <w:szCs w:val="21"/>
        </w:rPr>
        <w:t>3</w:t>
      </w:r>
      <w:r>
        <w:rPr>
          <w:szCs w:val="21"/>
        </w:rPr>
        <w:t xml:space="preserve">   500kV</w:t>
      </w:r>
      <w:r>
        <w:rPr>
          <w:rFonts w:hint="eastAsia"/>
          <w:szCs w:val="21"/>
        </w:rPr>
        <w:t>海底电缆绝缘混合料</w:t>
      </w:r>
      <w:r>
        <w:rPr>
          <w:szCs w:val="21"/>
        </w:rPr>
        <w:t>参数表（投标方填写）</w:t>
      </w:r>
    </w:p>
    <w:tbl>
      <w:tblPr>
        <w:tblStyle w:val="85"/>
        <w:tblW w:w="14502" w:type="dxa"/>
        <w:tblInd w:w="0" w:type="dxa"/>
        <w:tblLayout w:type="fixed"/>
        <w:tblCellMar>
          <w:top w:w="0" w:type="dxa"/>
          <w:left w:w="108" w:type="dxa"/>
          <w:bottom w:w="0" w:type="dxa"/>
          <w:right w:w="108" w:type="dxa"/>
        </w:tblCellMar>
      </w:tblPr>
      <w:tblGrid>
        <w:gridCol w:w="929"/>
        <w:gridCol w:w="3082"/>
        <w:gridCol w:w="2462"/>
        <w:gridCol w:w="1272"/>
        <w:gridCol w:w="1269"/>
        <w:gridCol w:w="1387"/>
        <w:gridCol w:w="1367"/>
        <w:gridCol w:w="1367"/>
        <w:gridCol w:w="1367"/>
      </w:tblGrid>
      <w:tr w14:paraId="06932FE3">
        <w:tblPrEx>
          <w:tblCellMar>
            <w:top w:w="0" w:type="dxa"/>
            <w:left w:w="108" w:type="dxa"/>
            <w:bottom w:w="0" w:type="dxa"/>
            <w:right w:w="108" w:type="dxa"/>
          </w:tblCellMar>
        </w:tblPrEx>
        <w:trPr>
          <w:trHeight w:val="330" w:hRule="atLeast"/>
          <w:tblHeader/>
        </w:trPr>
        <w:tc>
          <w:tcPr>
            <w:tcW w:w="929" w:type="dxa"/>
            <w:tcBorders>
              <w:top w:val="single" w:color="auto" w:sz="4" w:space="0"/>
              <w:left w:val="single" w:color="auto" w:sz="4" w:space="0"/>
              <w:bottom w:val="single" w:color="auto" w:sz="4" w:space="0"/>
              <w:right w:val="single" w:color="auto" w:sz="4" w:space="0"/>
            </w:tcBorders>
            <w:vAlign w:val="center"/>
          </w:tcPr>
          <w:p w14:paraId="21971457">
            <w:pPr>
              <w:widowControl/>
              <w:jc w:val="left"/>
              <w:rPr>
                <w:b/>
                <w:kern w:val="0"/>
                <w:szCs w:val="21"/>
              </w:rPr>
            </w:pPr>
            <w:r>
              <w:rPr>
                <w:b/>
                <w:kern w:val="0"/>
                <w:szCs w:val="21"/>
              </w:rPr>
              <w:t>序号</w:t>
            </w:r>
          </w:p>
        </w:tc>
        <w:tc>
          <w:tcPr>
            <w:tcW w:w="3082" w:type="dxa"/>
            <w:tcBorders>
              <w:top w:val="single" w:color="auto" w:sz="4" w:space="0"/>
              <w:left w:val="nil"/>
              <w:bottom w:val="single" w:color="auto" w:sz="4" w:space="0"/>
              <w:right w:val="single" w:color="auto" w:sz="4" w:space="0"/>
            </w:tcBorders>
            <w:vAlign w:val="center"/>
          </w:tcPr>
          <w:p w14:paraId="3BF42127">
            <w:pPr>
              <w:widowControl/>
              <w:jc w:val="center"/>
              <w:rPr>
                <w:b/>
                <w:kern w:val="0"/>
                <w:szCs w:val="21"/>
              </w:rPr>
            </w:pPr>
            <w:r>
              <w:rPr>
                <w:b/>
                <w:kern w:val="0"/>
                <w:szCs w:val="21"/>
              </w:rPr>
              <w:t>参数类型</w:t>
            </w:r>
          </w:p>
        </w:tc>
        <w:tc>
          <w:tcPr>
            <w:tcW w:w="2462" w:type="dxa"/>
            <w:tcBorders>
              <w:top w:val="single" w:color="auto" w:sz="4" w:space="0"/>
              <w:left w:val="nil"/>
              <w:bottom w:val="single" w:color="auto" w:sz="4" w:space="0"/>
              <w:right w:val="single" w:color="auto" w:sz="4" w:space="0"/>
            </w:tcBorders>
            <w:vAlign w:val="center"/>
          </w:tcPr>
          <w:p w14:paraId="1FA89CF4">
            <w:pPr>
              <w:widowControl/>
              <w:jc w:val="center"/>
              <w:rPr>
                <w:b/>
                <w:kern w:val="0"/>
                <w:szCs w:val="21"/>
              </w:rPr>
            </w:pPr>
            <w:r>
              <w:rPr>
                <w:b/>
                <w:kern w:val="0"/>
                <w:szCs w:val="21"/>
              </w:rPr>
              <w:t>标准参数值</w:t>
            </w:r>
          </w:p>
        </w:tc>
        <w:tc>
          <w:tcPr>
            <w:tcW w:w="1272" w:type="dxa"/>
            <w:tcBorders>
              <w:top w:val="single" w:color="auto" w:sz="4" w:space="0"/>
              <w:left w:val="nil"/>
              <w:bottom w:val="single" w:color="auto" w:sz="4" w:space="0"/>
              <w:right w:val="single" w:color="auto" w:sz="4" w:space="0"/>
            </w:tcBorders>
            <w:vAlign w:val="center"/>
          </w:tcPr>
          <w:p w14:paraId="2299F091">
            <w:pPr>
              <w:widowControl/>
              <w:jc w:val="center"/>
              <w:rPr>
                <w:b/>
                <w:kern w:val="0"/>
                <w:szCs w:val="21"/>
              </w:rPr>
            </w:pPr>
            <w:r>
              <w:rPr>
                <w:b/>
                <w:kern w:val="0"/>
                <w:szCs w:val="21"/>
              </w:rPr>
              <w:t>标准值特性</w:t>
            </w:r>
          </w:p>
        </w:tc>
        <w:tc>
          <w:tcPr>
            <w:tcW w:w="1269" w:type="dxa"/>
            <w:tcBorders>
              <w:top w:val="single" w:color="auto" w:sz="4" w:space="0"/>
              <w:left w:val="nil"/>
              <w:bottom w:val="single" w:color="auto" w:sz="4" w:space="0"/>
              <w:right w:val="single" w:color="auto" w:sz="4" w:space="0"/>
            </w:tcBorders>
            <w:vAlign w:val="center"/>
          </w:tcPr>
          <w:p w14:paraId="06AEBFCC">
            <w:pPr>
              <w:widowControl/>
              <w:jc w:val="center"/>
              <w:rPr>
                <w:b/>
                <w:kern w:val="0"/>
                <w:szCs w:val="21"/>
              </w:rPr>
            </w:pPr>
            <w:r>
              <w:rPr>
                <w:b/>
                <w:kern w:val="0"/>
                <w:szCs w:val="21"/>
              </w:rPr>
              <w:t>项目单位要求值</w:t>
            </w:r>
          </w:p>
        </w:tc>
        <w:tc>
          <w:tcPr>
            <w:tcW w:w="1387" w:type="dxa"/>
            <w:tcBorders>
              <w:top w:val="single" w:color="auto" w:sz="4" w:space="0"/>
              <w:left w:val="nil"/>
              <w:bottom w:val="single" w:color="auto" w:sz="4" w:space="0"/>
              <w:right w:val="single" w:color="auto" w:sz="4" w:space="0"/>
            </w:tcBorders>
            <w:vAlign w:val="center"/>
          </w:tcPr>
          <w:p w14:paraId="7900B5C5">
            <w:pPr>
              <w:widowControl/>
              <w:jc w:val="center"/>
              <w:rPr>
                <w:b/>
                <w:kern w:val="0"/>
                <w:szCs w:val="21"/>
              </w:rPr>
            </w:pPr>
            <w:r>
              <w:rPr>
                <w:b/>
                <w:kern w:val="0"/>
                <w:szCs w:val="21"/>
              </w:rPr>
              <w:t>投标方响应值</w:t>
            </w:r>
          </w:p>
        </w:tc>
        <w:tc>
          <w:tcPr>
            <w:tcW w:w="1367" w:type="dxa"/>
            <w:tcBorders>
              <w:top w:val="single" w:color="auto" w:sz="4" w:space="0"/>
              <w:left w:val="nil"/>
              <w:bottom w:val="single" w:color="auto" w:sz="4" w:space="0"/>
              <w:right w:val="single" w:color="auto" w:sz="4" w:space="0"/>
            </w:tcBorders>
            <w:vAlign w:val="center"/>
          </w:tcPr>
          <w:p w14:paraId="2B4A3D67">
            <w:pPr>
              <w:widowControl/>
              <w:jc w:val="center"/>
              <w:rPr>
                <w:bCs/>
                <w:kern w:val="0"/>
                <w:szCs w:val="21"/>
              </w:rPr>
            </w:pPr>
            <w:r>
              <w:rPr>
                <w:rFonts w:hint="eastAsia" w:ascii="宋体" w:hAnsi="宋体"/>
                <w:b/>
                <w:kern w:val="0"/>
                <w:szCs w:val="21"/>
              </w:rPr>
              <w:t>证明材料</w:t>
            </w:r>
          </w:p>
        </w:tc>
        <w:tc>
          <w:tcPr>
            <w:tcW w:w="1367" w:type="dxa"/>
            <w:tcBorders>
              <w:top w:val="single" w:color="auto" w:sz="4" w:space="0"/>
              <w:left w:val="nil"/>
              <w:bottom w:val="single" w:color="auto" w:sz="4" w:space="0"/>
              <w:right w:val="single" w:color="auto" w:sz="4" w:space="0"/>
            </w:tcBorders>
            <w:vAlign w:val="center"/>
          </w:tcPr>
          <w:p w14:paraId="5A22758D">
            <w:pPr>
              <w:widowControl/>
              <w:jc w:val="center"/>
              <w:rPr>
                <w:bCs/>
                <w:kern w:val="0"/>
                <w:szCs w:val="21"/>
              </w:rPr>
            </w:pPr>
            <w:r>
              <w:rPr>
                <w:rFonts w:hint="eastAsia" w:ascii="宋体" w:hAnsi="宋体"/>
                <w:b/>
                <w:kern w:val="0"/>
                <w:szCs w:val="21"/>
              </w:rPr>
              <w:t>偏差说明</w:t>
            </w:r>
          </w:p>
        </w:tc>
        <w:tc>
          <w:tcPr>
            <w:tcW w:w="1367" w:type="dxa"/>
            <w:tcBorders>
              <w:top w:val="single" w:color="auto" w:sz="4" w:space="0"/>
              <w:left w:val="nil"/>
              <w:bottom w:val="single" w:color="auto" w:sz="4" w:space="0"/>
              <w:right w:val="single" w:color="auto" w:sz="4" w:space="0"/>
            </w:tcBorders>
            <w:vAlign w:val="center"/>
          </w:tcPr>
          <w:p w14:paraId="770499F4">
            <w:pPr>
              <w:widowControl/>
              <w:jc w:val="center"/>
              <w:rPr>
                <w:bCs/>
                <w:kern w:val="0"/>
                <w:szCs w:val="21"/>
              </w:rPr>
            </w:pPr>
            <w:r>
              <w:rPr>
                <w:rFonts w:hint="eastAsia" w:ascii="宋体" w:hAnsi="宋体"/>
                <w:b/>
                <w:kern w:val="0"/>
                <w:szCs w:val="21"/>
              </w:rPr>
              <w:t>评标专家审核</w:t>
            </w:r>
          </w:p>
        </w:tc>
      </w:tr>
      <w:tr w14:paraId="65DE1DE1">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57A0CFE2">
            <w:pPr>
              <w:autoSpaceDE w:val="0"/>
              <w:autoSpaceDN w:val="0"/>
              <w:adjustRightInd w:val="0"/>
              <w:ind w:right="-108"/>
              <w:jc w:val="center"/>
              <w:rPr>
                <w:kern w:val="0"/>
                <w:szCs w:val="21"/>
              </w:rPr>
            </w:pPr>
            <w:r>
              <w:rPr>
                <w:rFonts w:hint="eastAsia"/>
                <w:kern w:val="0"/>
                <w:szCs w:val="21"/>
              </w:rPr>
              <w:t>1</w:t>
            </w:r>
          </w:p>
        </w:tc>
        <w:tc>
          <w:tcPr>
            <w:tcW w:w="13573" w:type="dxa"/>
            <w:gridSpan w:val="8"/>
            <w:tcBorders>
              <w:top w:val="nil"/>
              <w:left w:val="nil"/>
              <w:bottom w:val="single" w:color="auto" w:sz="4" w:space="0"/>
              <w:right w:val="single" w:color="auto" w:sz="4" w:space="0"/>
            </w:tcBorders>
            <w:vAlign w:val="center"/>
          </w:tcPr>
          <w:p w14:paraId="4F5408B0">
            <w:pPr>
              <w:widowControl/>
              <w:jc w:val="center"/>
              <w:rPr>
                <w:kern w:val="0"/>
                <w:szCs w:val="21"/>
              </w:rPr>
            </w:pPr>
            <w:r>
              <w:rPr>
                <w:rFonts w:hint="eastAsia" w:asciiTheme="minorEastAsia" w:hAnsiTheme="minorEastAsia" w:eastAsiaTheme="minorEastAsia"/>
                <w:b/>
                <w:kern w:val="0"/>
                <w:sz w:val="22"/>
                <w:szCs w:val="22"/>
              </w:rPr>
              <w:t>交联聚乙烯绝缘混合料性能</w:t>
            </w:r>
          </w:p>
        </w:tc>
      </w:tr>
      <w:tr w14:paraId="243E040C">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152D27B1">
            <w:pPr>
              <w:autoSpaceDE w:val="0"/>
              <w:autoSpaceDN w:val="0"/>
              <w:adjustRightInd w:val="0"/>
              <w:ind w:right="-108"/>
              <w:jc w:val="center"/>
              <w:rPr>
                <w:kern w:val="0"/>
                <w:szCs w:val="21"/>
              </w:rPr>
            </w:pPr>
            <w:r>
              <w:rPr>
                <w:rFonts w:hint="eastAsia"/>
                <w:kern w:val="0"/>
                <w:szCs w:val="21"/>
              </w:rPr>
              <w:t>1.1</w:t>
            </w:r>
          </w:p>
        </w:tc>
        <w:tc>
          <w:tcPr>
            <w:tcW w:w="3082" w:type="dxa"/>
            <w:tcBorders>
              <w:top w:val="nil"/>
              <w:left w:val="nil"/>
              <w:bottom w:val="single" w:color="auto" w:sz="4" w:space="0"/>
              <w:right w:val="single" w:color="auto" w:sz="4" w:space="0"/>
            </w:tcBorders>
            <w:vAlign w:val="center"/>
          </w:tcPr>
          <w:p w14:paraId="00587ACF">
            <w:pPr>
              <w:autoSpaceDE w:val="0"/>
              <w:autoSpaceDN w:val="0"/>
              <w:adjustRightInd w:val="0"/>
              <w:ind w:right="-108"/>
              <w:rPr>
                <w:kern w:val="0"/>
                <w:szCs w:val="21"/>
              </w:rPr>
            </w:pPr>
            <w:r>
              <w:rPr>
                <w:rFonts w:hint="eastAsia" w:ascii="宋体" w:cs="宋体"/>
                <w:kern w:val="0"/>
                <w:szCs w:val="21"/>
                <w:lang w:val="zh-CN"/>
              </w:rPr>
              <w:t>抗张强度（</w:t>
            </w:r>
            <w:r>
              <w:rPr>
                <w:rFonts w:ascii="宋体" w:cs="宋体"/>
                <w:kern w:val="0"/>
                <w:szCs w:val="21"/>
                <w:lang w:val="zh-CN"/>
              </w:rPr>
              <w:t>MPa</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5D6C11F1">
            <w:pPr>
              <w:autoSpaceDE w:val="0"/>
              <w:autoSpaceDN w:val="0"/>
              <w:adjustRightInd w:val="0"/>
              <w:ind w:left="-107" w:right="-108"/>
              <w:jc w:val="center"/>
              <w:rPr>
                <w:kern w:val="0"/>
                <w:szCs w:val="21"/>
              </w:rPr>
            </w:pPr>
            <w:r>
              <w:rPr>
                <w:szCs w:val="21"/>
              </w:rPr>
              <w:t>≥</w:t>
            </w:r>
            <w:r>
              <w:rPr>
                <w:rFonts w:hint="eastAsia"/>
                <w:szCs w:val="21"/>
              </w:rPr>
              <w:t>12.5</w:t>
            </w:r>
          </w:p>
        </w:tc>
        <w:tc>
          <w:tcPr>
            <w:tcW w:w="1272" w:type="dxa"/>
            <w:tcBorders>
              <w:top w:val="nil"/>
              <w:left w:val="nil"/>
              <w:bottom w:val="single" w:color="auto" w:sz="4" w:space="0"/>
              <w:right w:val="single" w:color="auto" w:sz="4" w:space="0"/>
            </w:tcBorders>
            <w:vAlign w:val="center"/>
          </w:tcPr>
          <w:p w14:paraId="15F933FB">
            <w:pPr>
              <w:autoSpaceDE w:val="0"/>
              <w:autoSpaceDN w:val="0"/>
              <w:adjustRightInd w:val="0"/>
              <w:ind w:left="-108" w:right="-108" w:firstLine="119" w:firstLineChars="57"/>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144BD57D">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tcPr>
          <w:p w14:paraId="3C49E3D1">
            <w:pPr>
              <w:widowControl/>
              <w:jc w:val="center"/>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79B5A6BC">
            <w:pPr>
              <w:widowControl/>
              <w:jc w:val="center"/>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48CA6405">
            <w:pPr>
              <w:widowControl/>
              <w:jc w:val="center"/>
              <w:rPr>
                <w:kern w:val="0"/>
                <w:szCs w:val="21"/>
              </w:rPr>
            </w:pPr>
          </w:p>
        </w:tc>
        <w:tc>
          <w:tcPr>
            <w:tcW w:w="1367" w:type="dxa"/>
            <w:tcBorders>
              <w:top w:val="nil"/>
              <w:left w:val="nil"/>
              <w:bottom w:val="single" w:color="auto" w:sz="4" w:space="0"/>
              <w:right w:val="single" w:color="auto" w:sz="4" w:space="0"/>
            </w:tcBorders>
            <w:vAlign w:val="center"/>
          </w:tcPr>
          <w:p w14:paraId="176BF90C">
            <w:pPr>
              <w:widowControl/>
              <w:jc w:val="center"/>
              <w:rPr>
                <w:kern w:val="0"/>
                <w:szCs w:val="21"/>
              </w:rPr>
            </w:pPr>
          </w:p>
        </w:tc>
      </w:tr>
      <w:tr w14:paraId="7EDC4439">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7A2E0D28">
            <w:pPr>
              <w:autoSpaceDE w:val="0"/>
              <w:autoSpaceDN w:val="0"/>
              <w:adjustRightInd w:val="0"/>
              <w:ind w:right="-108"/>
              <w:jc w:val="center"/>
              <w:rPr>
                <w:kern w:val="0"/>
                <w:szCs w:val="21"/>
              </w:rPr>
            </w:pPr>
            <w:r>
              <w:rPr>
                <w:kern w:val="0"/>
                <w:szCs w:val="21"/>
              </w:rPr>
              <w:t>1.</w:t>
            </w:r>
            <w:r>
              <w:rPr>
                <w:rFonts w:hint="eastAsia"/>
                <w:kern w:val="0"/>
                <w:szCs w:val="21"/>
              </w:rPr>
              <w:t>2</w:t>
            </w:r>
          </w:p>
        </w:tc>
        <w:tc>
          <w:tcPr>
            <w:tcW w:w="3082" w:type="dxa"/>
            <w:tcBorders>
              <w:top w:val="nil"/>
              <w:left w:val="nil"/>
              <w:bottom w:val="single" w:color="auto" w:sz="4" w:space="0"/>
              <w:right w:val="single" w:color="auto" w:sz="4" w:space="0"/>
            </w:tcBorders>
            <w:vAlign w:val="center"/>
          </w:tcPr>
          <w:p w14:paraId="53BBBEB3">
            <w:pPr>
              <w:autoSpaceDE w:val="0"/>
              <w:autoSpaceDN w:val="0"/>
              <w:adjustRightInd w:val="0"/>
              <w:ind w:right="-108"/>
              <w:rPr>
                <w:kern w:val="0"/>
                <w:sz w:val="22"/>
                <w:szCs w:val="22"/>
              </w:rPr>
            </w:pPr>
            <w:r>
              <w:rPr>
                <w:rFonts w:hint="eastAsia" w:ascii="宋体" w:cs="宋体"/>
                <w:kern w:val="0"/>
                <w:szCs w:val="21"/>
                <w:lang w:val="zh-CN"/>
              </w:rPr>
              <w:t>断裂伸长率（</w:t>
            </w:r>
            <w:r>
              <w:rPr>
                <w:rFonts w:ascii="宋体" w:cs="宋体"/>
                <w:kern w:val="0"/>
                <w:szCs w:val="21"/>
                <w:lang w:val="zh-CN"/>
              </w:rPr>
              <w:t>%</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648FCCF1">
            <w:pPr>
              <w:autoSpaceDE w:val="0"/>
              <w:autoSpaceDN w:val="0"/>
              <w:adjustRightInd w:val="0"/>
              <w:ind w:left="-107" w:right="-108"/>
              <w:jc w:val="center"/>
              <w:rPr>
                <w:kern w:val="0"/>
                <w:szCs w:val="21"/>
              </w:rPr>
            </w:pPr>
            <w:r>
              <w:rPr>
                <w:szCs w:val="21"/>
              </w:rPr>
              <w:t>≥</w:t>
            </w:r>
            <w:r>
              <w:rPr>
                <w:rFonts w:hint="eastAsia"/>
                <w:szCs w:val="21"/>
              </w:rPr>
              <w:t>200</w:t>
            </w:r>
          </w:p>
        </w:tc>
        <w:tc>
          <w:tcPr>
            <w:tcW w:w="1272" w:type="dxa"/>
            <w:tcBorders>
              <w:top w:val="nil"/>
              <w:left w:val="nil"/>
              <w:bottom w:val="single" w:color="auto" w:sz="4" w:space="0"/>
              <w:right w:val="single" w:color="auto" w:sz="4" w:space="0"/>
            </w:tcBorders>
            <w:vAlign w:val="center"/>
          </w:tcPr>
          <w:p w14:paraId="7BB61350">
            <w:pPr>
              <w:autoSpaceDE w:val="0"/>
              <w:autoSpaceDN w:val="0"/>
              <w:adjustRightInd w:val="0"/>
              <w:ind w:left="-108" w:right="-108" w:firstLine="119" w:firstLineChars="57"/>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130FD522">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tcPr>
          <w:p w14:paraId="61703092">
            <w:pPr>
              <w:widowControl/>
              <w:jc w:val="center"/>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28044C39">
            <w:pPr>
              <w:widowControl/>
              <w:jc w:val="center"/>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47ECF1DC">
            <w:pPr>
              <w:widowControl/>
              <w:jc w:val="center"/>
              <w:rPr>
                <w:kern w:val="0"/>
                <w:szCs w:val="21"/>
              </w:rPr>
            </w:pPr>
          </w:p>
        </w:tc>
        <w:tc>
          <w:tcPr>
            <w:tcW w:w="1367" w:type="dxa"/>
            <w:tcBorders>
              <w:top w:val="nil"/>
              <w:left w:val="nil"/>
              <w:bottom w:val="single" w:color="auto" w:sz="4" w:space="0"/>
              <w:right w:val="single" w:color="auto" w:sz="4" w:space="0"/>
            </w:tcBorders>
            <w:vAlign w:val="center"/>
          </w:tcPr>
          <w:p w14:paraId="680765E1">
            <w:pPr>
              <w:widowControl/>
              <w:jc w:val="center"/>
              <w:rPr>
                <w:kern w:val="0"/>
                <w:szCs w:val="21"/>
              </w:rPr>
            </w:pPr>
          </w:p>
        </w:tc>
      </w:tr>
      <w:tr w14:paraId="7D090CF3">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63323697">
            <w:pPr>
              <w:autoSpaceDE w:val="0"/>
              <w:autoSpaceDN w:val="0"/>
              <w:adjustRightInd w:val="0"/>
              <w:ind w:right="-108"/>
              <w:jc w:val="center"/>
              <w:rPr>
                <w:kern w:val="0"/>
                <w:szCs w:val="21"/>
              </w:rPr>
            </w:pPr>
            <w:r>
              <w:rPr>
                <w:rFonts w:hint="eastAsia"/>
                <w:kern w:val="0"/>
                <w:szCs w:val="21"/>
              </w:rPr>
              <w:t>2</w:t>
            </w:r>
          </w:p>
        </w:tc>
        <w:tc>
          <w:tcPr>
            <w:tcW w:w="13573" w:type="dxa"/>
            <w:gridSpan w:val="8"/>
            <w:tcBorders>
              <w:top w:val="nil"/>
              <w:left w:val="nil"/>
              <w:bottom w:val="single" w:color="auto" w:sz="4" w:space="0"/>
              <w:right w:val="single" w:color="auto" w:sz="4" w:space="0"/>
            </w:tcBorders>
            <w:vAlign w:val="center"/>
          </w:tcPr>
          <w:p w14:paraId="186530AD">
            <w:pPr>
              <w:widowControl/>
              <w:jc w:val="center"/>
              <w:rPr>
                <w:kern w:val="0"/>
                <w:szCs w:val="21"/>
              </w:rPr>
            </w:pPr>
            <w:r>
              <w:rPr>
                <w:rFonts w:hint="eastAsia" w:asciiTheme="minorEastAsia" w:hAnsiTheme="minorEastAsia" w:eastAsiaTheme="minorEastAsia"/>
                <w:b/>
                <w:kern w:val="0"/>
                <w:sz w:val="22"/>
                <w:szCs w:val="22"/>
              </w:rPr>
              <w:t>空气热老化（</w:t>
            </w:r>
            <w:r>
              <w:rPr>
                <w:rFonts w:asciiTheme="minorEastAsia" w:hAnsiTheme="minorEastAsia" w:eastAsiaTheme="minorEastAsia"/>
                <w:b/>
                <w:kern w:val="0"/>
                <w:sz w:val="22"/>
                <w:szCs w:val="22"/>
              </w:rPr>
              <w:t>135</w:t>
            </w:r>
            <w:r>
              <w:rPr>
                <w:rFonts w:hint="eastAsia" w:asciiTheme="minorEastAsia" w:hAnsiTheme="minorEastAsia" w:eastAsiaTheme="minorEastAsia"/>
                <w:b/>
                <w:kern w:val="0"/>
                <w:sz w:val="22"/>
                <w:szCs w:val="22"/>
              </w:rPr>
              <w:t>±3℃，</w:t>
            </w:r>
            <w:r>
              <w:rPr>
                <w:rFonts w:asciiTheme="minorEastAsia" w:hAnsiTheme="minorEastAsia" w:eastAsiaTheme="minorEastAsia"/>
                <w:b/>
                <w:kern w:val="0"/>
                <w:sz w:val="22"/>
                <w:szCs w:val="22"/>
              </w:rPr>
              <w:t>168h</w:t>
            </w:r>
            <w:r>
              <w:rPr>
                <w:rFonts w:hint="eastAsia" w:asciiTheme="minorEastAsia" w:hAnsiTheme="minorEastAsia" w:eastAsiaTheme="minorEastAsia"/>
                <w:b/>
                <w:kern w:val="0"/>
                <w:sz w:val="22"/>
                <w:szCs w:val="22"/>
              </w:rPr>
              <w:t>）</w:t>
            </w:r>
          </w:p>
        </w:tc>
      </w:tr>
      <w:tr w14:paraId="7A7AE645">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5F42B7A4">
            <w:pPr>
              <w:autoSpaceDE w:val="0"/>
              <w:autoSpaceDN w:val="0"/>
              <w:adjustRightInd w:val="0"/>
              <w:ind w:right="-108"/>
              <w:jc w:val="center"/>
              <w:rPr>
                <w:kern w:val="0"/>
                <w:szCs w:val="21"/>
              </w:rPr>
            </w:pPr>
            <w:r>
              <w:rPr>
                <w:rFonts w:hint="eastAsia"/>
                <w:kern w:val="0"/>
                <w:szCs w:val="21"/>
              </w:rPr>
              <w:t>2</w:t>
            </w:r>
            <w:r>
              <w:rPr>
                <w:kern w:val="0"/>
                <w:szCs w:val="21"/>
              </w:rPr>
              <w:t>.1</w:t>
            </w:r>
          </w:p>
        </w:tc>
        <w:tc>
          <w:tcPr>
            <w:tcW w:w="3082" w:type="dxa"/>
            <w:tcBorders>
              <w:top w:val="nil"/>
              <w:left w:val="nil"/>
              <w:bottom w:val="single" w:color="auto" w:sz="4" w:space="0"/>
              <w:right w:val="single" w:color="auto" w:sz="4" w:space="0"/>
            </w:tcBorders>
            <w:vAlign w:val="center"/>
          </w:tcPr>
          <w:p w14:paraId="1D8C080A">
            <w:pPr>
              <w:autoSpaceDE w:val="0"/>
              <w:autoSpaceDN w:val="0"/>
              <w:adjustRightInd w:val="0"/>
              <w:ind w:left="-2" w:leftChars="-8" w:right="-52" w:hanging="14" w:hangingChars="7"/>
              <w:rPr>
                <w:kern w:val="0"/>
                <w:szCs w:val="21"/>
              </w:rPr>
            </w:pPr>
            <w:r>
              <w:rPr>
                <w:rFonts w:hint="eastAsia" w:ascii="宋体" w:cs="宋体"/>
                <w:kern w:val="0"/>
                <w:szCs w:val="21"/>
                <w:lang w:val="zh-CN"/>
              </w:rPr>
              <w:t>抗张强度变化率（</w:t>
            </w:r>
            <w:r>
              <w:rPr>
                <w:rFonts w:ascii="宋体" w:cs="宋体"/>
                <w:kern w:val="0"/>
                <w:szCs w:val="21"/>
                <w:lang w:val="zh-CN"/>
              </w:rPr>
              <w:t>%</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201D2BF8">
            <w:pPr>
              <w:autoSpaceDE w:val="0"/>
              <w:autoSpaceDN w:val="0"/>
              <w:adjustRightInd w:val="0"/>
              <w:ind w:left="-107" w:right="-108"/>
              <w:jc w:val="center"/>
              <w:rPr>
                <w:kern w:val="0"/>
                <w:szCs w:val="21"/>
              </w:rPr>
            </w:pPr>
            <w:r>
              <w:rPr>
                <w:szCs w:val="21"/>
              </w:rPr>
              <w:t>≥</w:t>
            </w:r>
            <w:r>
              <w:rPr>
                <w:rFonts w:hint="eastAsia"/>
                <w:szCs w:val="21"/>
              </w:rPr>
              <w:t>-25且</w:t>
            </w:r>
            <w:r>
              <w:rPr>
                <w:szCs w:val="21"/>
              </w:rPr>
              <w:t>≤</w:t>
            </w:r>
            <w:r>
              <w:rPr>
                <w:rFonts w:hint="eastAsia"/>
                <w:szCs w:val="21"/>
              </w:rPr>
              <w:t>25</w:t>
            </w:r>
          </w:p>
        </w:tc>
        <w:tc>
          <w:tcPr>
            <w:tcW w:w="1272" w:type="dxa"/>
            <w:tcBorders>
              <w:top w:val="nil"/>
              <w:left w:val="nil"/>
              <w:bottom w:val="single" w:color="auto" w:sz="4" w:space="0"/>
              <w:right w:val="single" w:color="auto" w:sz="4" w:space="0"/>
            </w:tcBorders>
            <w:vAlign w:val="center"/>
          </w:tcPr>
          <w:p w14:paraId="1A2C95BF">
            <w:pPr>
              <w:autoSpaceDE w:val="0"/>
              <w:autoSpaceDN w:val="0"/>
              <w:adjustRightInd w:val="0"/>
              <w:ind w:left="-108" w:right="-108" w:firstLine="119" w:firstLineChars="57"/>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3B799342">
            <w:pPr>
              <w:widowControl/>
              <w:jc w:val="center"/>
              <w:rPr>
                <w:kern w:val="0"/>
                <w:szCs w:val="21"/>
              </w:rPr>
            </w:pPr>
            <w:r>
              <w:rPr>
                <w:rFonts w:hint="eastAsia"/>
                <w:kern w:val="0"/>
                <w:szCs w:val="21"/>
              </w:rPr>
              <w:t>/</w:t>
            </w:r>
          </w:p>
        </w:tc>
        <w:tc>
          <w:tcPr>
            <w:tcW w:w="1387" w:type="dxa"/>
            <w:tcBorders>
              <w:top w:val="nil"/>
              <w:left w:val="nil"/>
              <w:bottom w:val="single" w:color="auto" w:sz="4" w:space="0"/>
              <w:right w:val="single" w:color="auto" w:sz="4" w:space="0"/>
            </w:tcBorders>
          </w:tcPr>
          <w:p w14:paraId="421320C5">
            <w:pPr>
              <w:widowControl/>
              <w:jc w:val="center"/>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72DCFE94">
            <w:pPr>
              <w:widowControl/>
              <w:jc w:val="center"/>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231F6BE1">
            <w:pPr>
              <w:widowControl/>
              <w:jc w:val="center"/>
              <w:rPr>
                <w:kern w:val="0"/>
                <w:szCs w:val="21"/>
              </w:rPr>
            </w:pPr>
          </w:p>
        </w:tc>
        <w:tc>
          <w:tcPr>
            <w:tcW w:w="1367" w:type="dxa"/>
            <w:tcBorders>
              <w:top w:val="nil"/>
              <w:left w:val="nil"/>
              <w:bottom w:val="single" w:color="auto" w:sz="4" w:space="0"/>
              <w:right w:val="single" w:color="auto" w:sz="4" w:space="0"/>
            </w:tcBorders>
            <w:vAlign w:val="center"/>
          </w:tcPr>
          <w:p w14:paraId="077A50D0">
            <w:pPr>
              <w:widowControl/>
              <w:jc w:val="center"/>
              <w:rPr>
                <w:kern w:val="0"/>
                <w:szCs w:val="21"/>
                <w:highlight w:val="yellow"/>
              </w:rPr>
            </w:pPr>
          </w:p>
        </w:tc>
      </w:tr>
      <w:tr w14:paraId="7D60A5FA">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57E0D36F">
            <w:pPr>
              <w:autoSpaceDE w:val="0"/>
              <w:autoSpaceDN w:val="0"/>
              <w:adjustRightInd w:val="0"/>
              <w:ind w:right="-108"/>
              <w:jc w:val="center"/>
              <w:rPr>
                <w:kern w:val="0"/>
                <w:szCs w:val="21"/>
              </w:rPr>
            </w:pPr>
            <w:r>
              <w:rPr>
                <w:rFonts w:hint="eastAsia"/>
                <w:kern w:val="0"/>
                <w:szCs w:val="21"/>
              </w:rPr>
              <w:t>2</w:t>
            </w:r>
            <w:r>
              <w:rPr>
                <w:kern w:val="0"/>
                <w:szCs w:val="21"/>
              </w:rPr>
              <w:t>.2</w:t>
            </w:r>
          </w:p>
        </w:tc>
        <w:tc>
          <w:tcPr>
            <w:tcW w:w="3082" w:type="dxa"/>
            <w:tcBorders>
              <w:top w:val="nil"/>
              <w:left w:val="nil"/>
              <w:bottom w:val="single" w:color="auto" w:sz="4" w:space="0"/>
              <w:right w:val="single" w:color="auto" w:sz="4" w:space="0"/>
            </w:tcBorders>
            <w:vAlign w:val="center"/>
          </w:tcPr>
          <w:p w14:paraId="671C3897">
            <w:pPr>
              <w:autoSpaceDE w:val="0"/>
              <w:autoSpaceDN w:val="0"/>
              <w:adjustRightInd w:val="0"/>
              <w:ind w:left="-2" w:leftChars="-8" w:right="-52" w:hanging="14" w:hangingChars="7"/>
              <w:rPr>
                <w:kern w:val="0"/>
                <w:szCs w:val="21"/>
              </w:rPr>
            </w:pPr>
            <w:r>
              <w:rPr>
                <w:rFonts w:hint="eastAsia" w:ascii="宋体" w:cs="宋体"/>
                <w:kern w:val="0"/>
                <w:szCs w:val="21"/>
                <w:lang w:val="zh-CN"/>
              </w:rPr>
              <w:t>断裂伸长率变化率（</w:t>
            </w:r>
            <w:r>
              <w:rPr>
                <w:rFonts w:ascii="宋体" w:cs="宋体"/>
                <w:kern w:val="0"/>
                <w:szCs w:val="21"/>
                <w:lang w:val="zh-CN"/>
              </w:rPr>
              <w:t>%</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40B3EEF1">
            <w:pPr>
              <w:autoSpaceDE w:val="0"/>
              <w:autoSpaceDN w:val="0"/>
              <w:adjustRightInd w:val="0"/>
              <w:ind w:left="-107" w:right="-108"/>
              <w:jc w:val="center"/>
              <w:rPr>
                <w:kern w:val="0"/>
                <w:szCs w:val="21"/>
              </w:rPr>
            </w:pPr>
            <w:r>
              <w:rPr>
                <w:szCs w:val="21"/>
              </w:rPr>
              <w:t>≥</w:t>
            </w:r>
            <w:r>
              <w:rPr>
                <w:rFonts w:hint="eastAsia"/>
                <w:szCs w:val="21"/>
              </w:rPr>
              <w:t>-</w:t>
            </w:r>
            <w:r>
              <w:rPr>
                <w:szCs w:val="21"/>
              </w:rPr>
              <w:t>2</w:t>
            </w:r>
            <w:r>
              <w:rPr>
                <w:rFonts w:hint="eastAsia"/>
                <w:szCs w:val="21"/>
              </w:rPr>
              <w:t>5且</w:t>
            </w:r>
            <w:r>
              <w:rPr>
                <w:szCs w:val="21"/>
              </w:rPr>
              <w:t>≤</w:t>
            </w:r>
            <w:r>
              <w:rPr>
                <w:rFonts w:hint="eastAsia"/>
                <w:szCs w:val="21"/>
              </w:rPr>
              <w:t>25</w:t>
            </w:r>
          </w:p>
        </w:tc>
        <w:tc>
          <w:tcPr>
            <w:tcW w:w="1272" w:type="dxa"/>
            <w:tcBorders>
              <w:top w:val="nil"/>
              <w:left w:val="nil"/>
              <w:bottom w:val="single" w:color="auto" w:sz="4" w:space="0"/>
              <w:right w:val="single" w:color="auto" w:sz="4" w:space="0"/>
            </w:tcBorders>
            <w:vAlign w:val="center"/>
          </w:tcPr>
          <w:p w14:paraId="51E27794">
            <w:pPr>
              <w:autoSpaceDE w:val="0"/>
              <w:autoSpaceDN w:val="0"/>
              <w:adjustRightInd w:val="0"/>
              <w:ind w:left="-108" w:right="-108" w:firstLine="119" w:firstLineChars="57"/>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78125569">
            <w:pPr>
              <w:widowControl/>
              <w:jc w:val="center"/>
              <w:rPr>
                <w:kern w:val="0"/>
                <w:szCs w:val="21"/>
              </w:rPr>
            </w:pPr>
            <w:r>
              <w:rPr>
                <w:rFonts w:hint="eastAsia"/>
                <w:kern w:val="0"/>
                <w:szCs w:val="21"/>
              </w:rPr>
              <w:t>/</w:t>
            </w:r>
          </w:p>
        </w:tc>
        <w:tc>
          <w:tcPr>
            <w:tcW w:w="1387" w:type="dxa"/>
            <w:tcBorders>
              <w:top w:val="nil"/>
              <w:left w:val="nil"/>
              <w:bottom w:val="single" w:color="auto" w:sz="4" w:space="0"/>
              <w:right w:val="single" w:color="auto" w:sz="4" w:space="0"/>
            </w:tcBorders>
          </w:tcPr>
          <w:p w14:paraId="72638584">
            <w:pPr>
              <w:widowControl/>
              <w:jc w:val="center"/>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6F061A34">
            <w:pPr>
              <w:widowControl/>
              <w:jc w:val="center"/>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58282377">
            <w:pPr>
              <w:widowControl/>
              <w:jc w:val="center"/>
              <w:rPr>
                <w:kern w:val="0"/>
                <w:szCs w:val="21"/>
              </w:rPr>
            </w:pPr>
          </w:p>
        </w:tc>
        <w:tc>
          <w:tcPr>
            <w:tcW w:w="1367" w:type="dxa"/>
            <w:tcBorders>
              <w:top w:val="nil"/>
              <w:left w:val="nil"/>
              <w:bottom w:val="single" w:color="auto" w:sz="4" w:space="0"/>
              <w:right w:val="single" w:color="auto" w:sz="4" w:space="0"/>
            </w:tcBorders>
            <w:vAlign w:val="center"/>
          </w:tcPr>
          <w:p w14:paraId="16E57FB3">
            <w:pPr>
              <w:widowControl/>
              <w:jc w:val="center"/>
              <w:rPr>
                <w:kern w:val="0"/>
                <w:szCs w:val="21"/>
                <w:highlight w:val="yellow"/>
              </w:rPr>
            </w:pPr>
          </w:p>
        </w:tc>
      </w:tr>
      <w:tr w14:paraId="73D07988">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7FCC719C">
            <w:pPr>
              <w:autoSpaceDE w:val="0"/>
              <w:autoSpaceDN w:val="0"/>
              <w:adjustRightInd w:val="0"/>
              <w:ind w:right="-108"/>
              <w:jc w:val="center"/>
              <w:rPr>
                <w:kern w:val="0"/>
                <w:szCs w:val="21"/>
              </w:rPr>
            </w:pPr>
            <w:r>
              <w:rPr>
                <w:rFonts w:hint="eastAsia"/>
                <w:kern w:val="0"/>
                <w:szCs w:val="21"/>
              </w:rPr>
              <w:t>3</w:t>
            </w:r>
          </w:p>
        </w:tc>
        <w:tc>
          <w:tcPr>
            <w:tcW w:w="13573" w:type="dxa"/>
            <w:gridSpan w:val="8"/>
            <w:tcBorders>
              <w:top w:val="nil"/>
              <w:left w:val="nil"/>
              <w:bottom w:val="single" w:color="auto" w:sz="4" w:space="0"/>
              <w:right w:val="single" w:color="auto" w:sz="4" w:space="0"/>
            </w:tcBorders>
            <w:vAlign w:val="center"/>
          </w:tcPr>
          <w:p w14:paraId="612F6F5F">
            <w:pPr>
              <w:widowControl/>
              <w:jc w:val="center"/>
              <w:rPr>
                <w:kern w:val="0"/>
                <w:szCs w:val="21"/>
              </w:rPr>
            </w:pPr>
            <w:r>
              <w:rPr>
                <w:rFonts w:hint="eastAsia" w:asciiTheme="minorEastAsia" w:hAnsiTheme="minorEastAsia" w:eastAsiaTheme="minorEastAsia"/>
                <w:b/>
                <w:kern w:val="0"/>
                <w:sz w:val="22"/>
                <w:szCs w:val="22"/>
              </w:rPr>
              <w:t>热延伸（</w:t>
            </w:r>
            <w:r>
              <w:rPr>
                <w:rFonts w:asciiTheme="minorEastAsia" w:hAnsiTheme="minorEastAsia" w:eastAsiaTheme="minorEastAsia"/>
                <w:b/>
                <w:kern w:val="0"/>
                <w:sz w:val="22"/>
                <w:szCs w:val="22"/>
              </w:rPr>
              <w:t>200</w:t>
            </w:r>
            <w:r>
              <w:rPr>
                <w:rFonts w:hint="eastAsia" w:asciiTheme="minorEastAsia" w:hAnsiTheme="minorEastAsia" w:eastAsiaTheme="minorEastAsia"/>
                <w:b/>
                <w:kern w:val="0"/>
                <w:sz w:val="22"/>
                <w:szCs w:val="22"/>
              </w:rPr>
              <w:t>±3℃，</w:t>
            </w:r>
            <w:r>
              <w:rPr>
                <w:rFonts w:asciiTheme="minorEastAsia" w:hAnsiTheme="minorEastAsia" w:eastAsiaTheme="minorEastAsia"/>
                <w:b/>
                <w:kern w:val="0"/>
                <w:sz w:val="22"/>
                <w:szCs w:val="22"/>
              </w:rPr>
              <w:t>0.2MPa</w:t>
            </w:r>
            <w:r>
              <w:rPr>
                <w:rFonts w:hint="eastAsia" w:asciiTheme="minorEastAsia" w:hAnsiTheme="minorEastAsia" w:eastAsiaTheme="minorEastAsia"/>
                <w:b/>
                <w:kern w:val="0"/>
                <w:sz w:val="22"/>
                <w:szCs w:val="22"/>
              </w:rPr>
              <w:t>）</w:t>
            </w:r>
          </w:p>
        </w:tc>
      </w:tr>
      <w:tr w14:paraId="589BD3AC">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1FD3576F">
            <w:pPr>
              <w:autoSpaceDE w:val="0"/>
              <w:autoSpaceDN w:val="0"/>
              <w:adjustRightInd w:val="0"/>
              <w:ind w:right="-108"/>
              <w:jc w:val="center"/>
              <w:rPr>
                <w:kern w:val="0"/>
                <w:szCs w:val="21"/>
              </w:rPr>
            </w:pPr>
            <w:r>
              <w:rPr>
                <w:rFonts w:hint="eastAsia"/>
                <w:kern w:val="0"/>
                <w:szCs w:val="21"/>
              </w:rPr>
              <w:t>3</w:t>
            </w:r>
            <w:r>
              <w:rPr>
                <w:kern w:val="0"/>
                <w:szCs w:val="21"/>
              </w:rPr>
              <w:t>.1</w:t>
            </w:r>
          </w:p>
        </w:tc>
        <w:tc>
          <w:tcPr>
            <w:tcW w:w="3082" w:type="dxa"/>
            <w:tcBorders>
              <w:top w:val="nil"/>
              <w:left w:val="nil"/>
              <w:bottom w:val="single" w:color="auto" w:sz="4" w:space="0"/>
              <w:right w:val="single" w:color="auto" w:sz="4" w:space="0"/>
            </w:tcBorders>
            <w:vAlign w:val="center"/>
          </w:tcPr>
          <w:p w14:paraId="09CE0F13">
            <w:pPr>
              <w:autoSpaceDE w:val="0"/>
              <w:autoSpaceDN w:val="0"/>
              <w:adjustRightInd w:val="0"/>
              <w:ind w:right="-108"/>
              <w:rPr>
                <w:kern w:val="0"/>
                <w:szCs w:val="21"/>
              </w:rPr>
            </w:pPr>
            <w:r>
              <w:rPr>
                <w:rFonts w:hint="eastAsia" w:ascii="宋体" w:cs="宋体"/>
                <w:kern w:val="0"/>
                <w:szCs w:val="21"/>
                <w:lang w:val="zh-CN"/>
              </w:rPr>
              <w:t>负荷下最大伸长率（</w:t>
            </w:r>
            <w:r>
              <w:rPr>
                <w:rFonts w:ascii="宋体" w:cs="宋体"/>
                <w:kern w:val="0"/>
                <w:szCs w:val="21"/>
                <w:lang w:val="zh-CN"/>
              </w:rPr>
              <w:t>%</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412505E6">
            <w:pPr>
              <w:autoSpaceDE w:val="0"/>
              <w:autoSpaceDN w:val="0"/>
              <w:adjustRightInd w:val="0"/>
              <w:ind w:left="-107" w:right="-108"/>
              <w:jc w:val="center"/>
              <w:rPr>
                <w:kern w:val="0"/>
                <w:szCs w:val="21"/>
              </w:rPr>
            </w:pPr>
            <w:r>
              <w:rPr>
                <w:szCs w:val="21"/>
              </w:rPr>
              <w:t>≤</w:t>
            </w:r>
            <w:r>
              <w:rPr>
                <w:rFonts w:hint="eastAsia"/>
                <w:szCs w:val="21"/>
              </w:rPr>
              <w:t>175</w:t>
            </w:r>
          </w:p>
        </w:tc>
        <w:tc>
          <w:tcPr>
            <w:tcW w:w="1272" w:type="dxa"/>
            <w:tcBorders>
              <w:top w:val="nil"/>
              <w:left w:val="nil"/>
              <w:bottom w:val="single" w:color="auto" w:sz="4" w:space="0"/>
              <w:right w:val="single" w:color="auto" w:sz="4" w:space="0"/>
            </w:tcBorders>
            <w:vAlign w:val="center"/>
          </w:tcPr>
          <w:p w14:paraId="446012A9">
            <w:pPr>
              <w:autoSpaceDE w:val="0"/>
              <w:autoSpaceDN w:val="0"/>
              <w:adjustRightInd w:val="0"/>
              <w:ind w:left="-108" w:right="-108" w:firstLine="119" w:firstLineChars="57"/>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34B8A986">
            <w:pPr>
              <w:widowControl/>
              <w:jc w:val="center"/>
              <w:rPr>
                <w:kern w:val="0"/>
                <w:szCs w:val="21"/>
              </w:rPr>
            </w:pPr>
            <w:r>
              <w:rPr>
                <w:rFonts w:hint="eastAsia"/>
                <w:kern w:val="0"/>
                <w:szCs w:val="21"/>
              </w:rPr>
              <w:t>/</w:t>
            </w:r>
          </w:p>
        </w:tc>
        <w:tc>
          <w:tcPr>
            <w:tcW w:w="1387" w:type="dxa"/>
            <w:tcBorders>
              <w:top w:val="nil"/>
              <w:left w:val="nil"/>
              <w:bottom w:val="single" w:color="auto" w:sz="4" w:space="0"/>
              <w:right w:val="single" w:color="auto" w:sz="4" w:space="0"/>
            </w:tcBorders>
            <w:vAlign w:val="center"/>
          </w:tcPr>
          <w:p w14:paraId="2B4C4223">
            <w:pPr>
              <w:widowControl/>
              <w:jc w:val="center"/>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279204FE">
            <w:pPr>
              <w:widowControl/>
              <w:jc w:val="center"/>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27D65AAB">
            <w:pPr>
              <w:widowControl/>
              <w:jc w:val="center"/>
              <w:rPr>
                <w:kern w:val="0"/>
                <w:szCs w:val="21"/>
              </w:rPr>
            </w:pPr>
          </w:p>
        </w:tc>
        <w:tc>
          <w:tcPr>
            <w:tcW w:w="1367" w:type="dxa"/>
            <w:tcBorders>
              <w:top w:val="nil"/>
              <w:left w:val="nil"/>
              <w:bottom w:val="single" w:color="auto" w:sz="4" w:space="0"/>
              <w:right w:val="single" w:color="auto" w:sz="4" w:space="0"/>
            </w:tcBorders>
            <w:vAlign w:val="center"/>
          </w:tcPr>
          <w:p w14:paraId="65611627">
            <w:pPr>
              <w:widowControl/>
              <w:jc w:val="center"/>
              <w:rPr>
                <w:kern w:val="0"/>
                <w:szCs w:val="21"/>
                <w:highlight w:val="yellow"/>
              </w:rPr>
            </w:pPr>
          </w:p>
        </w:tc>
      </w:tr>
      <w:tr w14:paraId="1A498D82">
        <w:trPr>
          <w:trHeight w:val="330" w:hRule="atLeast"/>
        </w:trPr>
        <w:tc>
          <w:tcPr>
            <w:tcW w:w="929" w:type="dxa"/>
            <w:tcBorders>
              <w:top w:val="nil"/>
              <w:left w:val="single" w:color="auto" w:sz="4" w:space="0"/>
              <w:bottom w:val="single" w:color="auto" w:sz="4" w:space="0"/>
              <w:right w:val="single" w:color="auto" w:sz="4" w:space="0"/>
            </w:tcBorders>
            <w:vAlign w:val="center"/>
          </w:tcPr>
          <w:p w14:paraId="6D1450D6">
            <w:pPr>
              <w:autoSpaceDE w:val="0"/>
              <w:autoSpaceDN w:val="0"/>
              <w:adjustRightInd w:val="0"/>
              <w:ind w:right="-108"/>
              <w:jc w:val="center"/>
              <w:rPr>
                <w:kern w:val="0"/>
                <w:szCs w:val="21"/>
              </w:rPr>
            </w:pPr>
            <w:r>
              <w:rPr>
                <w:rFonts w:hint="eastAsia"/>
                <w:kern w:val="0"/>
                <w:szCs w:val="21"/>
              </w:rPr>
              <w:t>3</w:t>
            </w:r>
            <w:r>
              <w:rPr>
                <w:kern w:val="0"/>
                <w:szCs w:val="21"/>
              </w:rPr>
              <w:t>.2</w:t>
            </w:r>
          </w:p>
        </w:tc>
        <w:tc>
          <w:tcPr>
            <w:tcW w:w="3082" w:type="dxa"/>
            <w:tcBorders>
              <w:top w:val="nil"/>
              <w:left w:val="nil"/>
              <w:bottom w:val="single" w:color="auto" w:sz="4" w:space="0"/>
              <w:right w:val="single" w:color="auto" w:sz="4" w:space="0"/>
            </w:tcBorders>
            <w:vAlign w:val="center"/>
          </w:tcPr>
          <w:p w14:paraId="3F6E1C66">
            <w:pPr>
              <w:autoSpaceDE w:val="0"/>
              <w:autoSpaceDN w:val="0"/>
              <w:adjustRightInd w:val="0"/>
              <w:ind w:right="-108"/>
              <w:rPr>
                <w:kern w:val="0"/>
                <w:szCs w:val="21"/>
              </w:rPr>
            </w:pPr>
            <w:r>
              <w:rPr>
                <w:rFonts w:hint="eastAsia" w:ascii="宋体" w:cs="宋体"/>
                <w:kern w:val="0"/>
                <w:szCs w:val="21"/>
                <w:lang w:val="zh-CN"/>
              </w:rPr>
              <w:t>冷却后永久变形（</w:t>
            </w:r>
            <w:r>
              <w:rPr>
                <w:rFonts w:ascii="宋体" w:cs="宋体"/>
                <w:kern w:val="0"/>
                <w:szCs w:val="21"/>
                <w:lang w:val="zh-CN"/>
              </w:rPr>
              <w:t>%</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7E445C3A">
            <w:pPr>
              <w:autoSpaceDE w:val="0"/>
              <w:autoSpaceDN w:val="0"/>
              <w:adjustRightInd w:val="0"/>
              <w:ind w:left="-107" w:right="-108"/>
              <w:jc w:val="center"/>
              <w:rPr>
                <w:kern w:val="0"/>
                <w:szCs w:val="21"/>
              </w:rPr>
            </w:pPr>
            <w:r>
              <w:rPr>
                <w:szCs w:val="21"/>
              </w:rPr>
              <w:t>≤</w:t>
            </w:r>
            <w:r>
              <w:rPr>
                <w:rFonts w:hint="eastAsia"/>
                <w:szCs w:val="21"/>
              </w:rPr>
              <w:t>15</w:t>
            </w:r>
          </w:p>
        </w:tc>
        <w:tc>
          <w:tcPr>
            <w:tcW w:w="1272" w:type="dxa"/>
            <w:tcBorders>
              <w:top w:val="nil"/>
              <w:left w:val="nil"/>
              <w:bottom w:val="single" w:color="auto" w:sz="4" w:space="0"/>
              <w:right w:val="single" w:color="auto" w:sz="4" w:space="0"/>
            </w:tcBorders>
            <w:vAlign w:val="center"/>
          </w:tcPr>
          <w:p w14:paraId="1F9321D8">
            <w:pPr>
              <w:autoSpaceDE w:val="0"/>
              <w:autoSpaceDN w:val="0"/>
              <w:adjustRightInd w:val="0"/>
              <w:ind w:left="-108" w:right="-108" w:firstLine="119" w:firstLineChars="57"/>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6A863036">
            <w:pPr>
              <w:widowControl/>
              <w:jc w:val="center"/>
              <w:rPr>
                <w:kern w:val="0"/>
                <w:szCs w:val="21"/>
              </w:rPr>
            </w:pPr>
            <w:r>
              <w:rPr>
                <w:rFonts w:hint="eastAsia"/>
                <w:kern w:val="0"/>
                <w:szCs w:val="21"/>
              </w:rPr>
              <w:t>/</w:t>
            </w:r>
          </w:p>
        </w:tc>
        <w:tc>
          <w:tcPr>
            <w:tcW w:w="1387" w:type="dxa"/>
            <w:tcBorders>
              <w:top w:val="nil"/>
              <w:left w:val="nil"/>
              <w:bottom w:val="single" w:color="auto" w:sz="4" w:space="0"/>
              <w:right w:val="single" w:color="auto" w:sz="4" w:space="0"/>
            </w:tcBorders>
            <w:vAlign w:val="center"/>
          </w:tcPr>
          <w:p w14:paraId="38F4722A">
            <w:pPr>
              <w:widowControl/>
              <w:jc w:val="center"/>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14CC9A57">
            <w:pPr>
              <w:widowControl/>
              <w:jc w:val="center"/>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0849B05C">
            <w:pPr>
              <w:widowControl/>
              <w:jc w:val="center"/>
              <w:rPr>
                <w:kern w:val="0"/>
                <w:szCs w:val="21"/>
              </w:rPr>
            </w:pPr>
          </w:p>
        </w:tc>
        <w:tc>
          <w:tcPr>
            <w:tcW w:w="1367" w:type="dxa"/>
            <w:tcBorders>
              <w:top w:val="nil"/>
              <w:left w:val="nil"/>
              <w:bottom w:val="single" w:color="auto" w:sz="4" w:space="0"/>
              <w:right w:val="single" w:color="auto" w:sz="4" w:space="0"/>
            </w:tcBorders>
            <w:vAlign w:val="center"/>
          </w:tcPr>
          <w:p w14:paraId="0DFF681B">
            <w:pPr>
              <w:widowControl/>
              <w:jc w:val="center"/>
              <w:rPr>
                <w:kern w:val="0"/>
                <w:szCs w:val="21"/>
                <w:highlight w:val="yellow"/>
              </w:rPr>
            </w:pPr>
          </w:p>
        </w:tc>
      </w:tr>
    </w:tbl>
    <w:p w14:paraId="12C66276">
      <w:pPr>
        <w:jc w:val="center"/>
        <w:rPr>
          <w:szCs w:val="21"/>
        </w:rPr>
      </w:pPr>
    </w:p>
    <w:p w14:paraId="5FBBFF1D">
      <w:pPr>
        <w:jc w:val="center"/>
        <w:rPr>
          <w:szCs w:val="21"/>
        </w:rPr>
      </w:pPr>
      <w:r>
        <w:rPr>
          <w:szCs w:val="21"/>
        </w:rPr>
        <w:t>表</w:t>
      </w:r>
      <w:r>
        <w:rPr>
          <w:rFonts w:hint="eastAsia"/>
          <w:szCs w:val="21"/>
        </w:rPr>
        <w:t>6</w:t>
      </w:r>
      <w:r>
        <w:rPr>
          <w:szCs w:val="21"/>
        </w:rPr>
        <w:t>.7-</w:t>
      </w:r>
      <w:r>
        <w:rPr>
          <w:rFonts w:hint="eastAsia"/>
          <w:szCs w:val="21"/>
        </w:rPr>
        <w:t>4</w:t>
      </w:r>
      <w:r>
        <w:rPr>
          <w:szCs w:val="21"/>
        </w:rPr>
        <w:t xml:space="preserve">   500kV</w:t>
      </w:r>
      <w:r>
        <w:rPr>
          <w:rFonts w:hint="eastAsia"/>
          <w:szCs w:val="21"/>
        </w:rPr>
        <w:t>海底电缆半导电屏蔽料</w:t>
      </w:r>
      <w:r>
        <w:rPr>
          <w:szCs w:val="21"/>
        </w:rPr>
        <w:t>参数表（投标方填写）</w:t>
      </w:r>
    </w:p>
    <w:tbl>
      <w:tblPr>
        <w:tblStyle w:val="85"/>
        <w:tblW w:w="14502" w:type="dxa"/>
        <w:tblInd w:w="0" w:type="dxa"/>
        <w:tblLayout w:type="fixed"/>
        <w:tblCellMar>
          <w:top w:w="0" w:type="dxa"/>
          <w:left w:w="108" w:type="dxa"/>
          <w:bottom w:w="0" w:type="dxa"/>
          <w:right w:w="108" w:type="dxa"/>
        </w:tblCellMar>
      </w:tblPr>
      <w:tblGrid>
        <w:gridCol w:w="929"/>
        <w:gridCol w:w="3082"/>
        <w:gridCol w:w="2462"/>
        <w:gridCol w:w="1272"/>
        <w:gridCol w:w="1269"/>
        <w:gridCol w:w="1387"/>
        <w:gridCol w:w="1367"/>
        <w:gridCol w:w="1367"/>
        <w:gridCol w:w="1367"/>
      </w:tblGrid>
      <w:tr w14:paraId="77F13028">
        <w:tblPrEx>
          <w:tblCellMar>
            <w:top w:w="0" w:type="dxa"/>
            <w:left w:w="108" w:type="dxa"/>
            <w:bottom w:w="0" w:type="dxa"/>
            <w:right w:w="108" w:type="dxa"/>
          </w:tblCellMar>
        </w:tblPrEx>
        <w:trPr>
          <w:trHeight w:val="330" w:hRule="atLeast"/>
          <w:tblHeader/>
        </w:trPr>
        <w:tc>
          <w:tcPr>
            <w:tcW w:w="929" w:type="dxa"/>
            <w:tcBorders>
              <w:top w:val="single" w:color="auto" w:sz="4" w:space="0"/>
              <w:left w:val="single" w:color="auto" w:sz="4" w:space="0"/>
              <w:bottom w:val="single" w:color="auto" w:sz="4" w:space="0"/>
              <w:right w:val="single" w:color="auto" w:sz="4" w:space="0"/>
            </w:tcBorders>
            <w:vAlign w:val="center"/>
          </w:tcPr>
          <w:p w14:paraId="4A36E8DB">
            <w:pPr>
              <w:widowControl/>
              <w:jc w:val="center"/>
              <w:rPr>
                <w:b/>
                <w:kern w:val="0"/>
                <w:szCs w:val="21"/>
              </w:rPr>
            </w:pPr>
            <w:r>
              <w:rPr>
                <w:b/>
                <w:kern w:val="0"/>
                <w:szCs w:val="21"/>
              </w:rPr>
              <w:t>序号</w:t>
            </w:r>
          </w:p>
        </w:tc>
        <w:tc>
          <w:tcPr>
            <w:tcW w:w="3082" w:type="dxa"/>
            <w:tcBorders>
              <w:top w:val="single" w:color="auto" w:sz="4" w:space="0"/>
              <w:left w:val="nil"/>
              <w:bottom w:val="single" w:color="auto" w:sz="4" w:space="0"/>
              <w:right w:val="single" w:color="auto" w:sz="4" w:space="0"/>
            </w:tcBorders>
            <w:vAlign w:val="center"/>
          </w:tcPr>
          <w:p w14:paraId="378FF3EC">
            <w:pPr>
              <w:widowControl/>
              <w:jc w:val="center"/>
              <w:rPr>
                <w:b/>
                <w:kern w:val="0"/>
                <w:szCs w:val="21"/>
              </w:rPr>
            </w:pPr>
            <w:r>
              <w:rPr>
                <w:b/>
                <w:kern w:val="0"/>
                <w:szCs w:val="21"/>
              </w:rPr>
              <w:t>参数类型</w:t>
            </w:r>
          </w:p>
        </w:tc>
        <w:tc>
          <w:tcPr>
            <w:tcW w:w="2462" w:type="dxa"/>
            <w:tcBorders>
              <w:top w:val="single" w:color="auto" w:sz="4" w:space="0"/>
              <w:left w:val="nil"/>
              <w:bottom w:val="single" w:color="auto" w:sz="4" w:space="0"/>
              <w:right w:val="single" w:color="auto" w:sz="4" w:space="0"/>
            </w:tcBorders>
            <w:vAlign w:val="center"/>
          </w:tcPr>
          <w:p w14:paraId="288D80D3">
            <w:pPr>
              <w:widowControl/>
              <w:jc w:val="center"/>
              <w:rPr>
                <w:b/>
                <w:kern w:val="0"/>
                <w:szCs w:val="21"/>
              </w:rPr>
            </w:pPr>
            <w:r>
              <w:rPr>
                <w:b/>
                <w:kern w:val="0"/>
                <w:szCs w:val="21"/>
              </w:rPr>
              <w:t>标准参数值</w:t>
            </w:r>
          </w:p>
        </w:tc>
        <w:tc>
          <w:tcPr>
            <w:tcW w:w="1272" w:type="dxa"/>
            <w:tcBorders>
              <w:top w:val="single" w:color="auto" w:sz="4" w:space="0"/>
              <w:left w:val="nil"/>
              <w:bottom w:val="single" w:color="auto" w:sz="4" w:space="0"/>
              <w:right w:val="single" w:color="auto" w:sz="4" w:space="0"/>
            </w:tcBorders>
            <w:vAlign w:val="center"/>
          </w:tcPr>
          <w:p w14:paraId="5793DB31">
            <w:pPr>
              <w:widowControl/>
              <w:jc w:val="center"/>
              <w:rPr>
                <w:b/>
                <w:kern w:val="0"/>
                <w:szCs w:val="21"/>
              </w:rPr>
            </w:pPr>
            <w:r>
              <w:rPr>
                <w:b/>
                <w:kern w:val="0"/>
                <w:szCs w:val="21"/>
              </w:rPr>
              <w:t>标准值特性</w:t>
            </w:r>
          </w:p>
        </w:tc>
        <w:tc>
          <w:tcPr>
            <w:tcW w:w="1269" w:type="dxa"/>
            <w:tcBorders>
              <w:top w:val="single" w:color="auto" w:sz="4" w:space="0"/>
              <w:left w:val="nil"/>
              <w:bottom w:val="single" w:color="auto" w:sz="4" w:space="0"/>
              <w:right w:val="single" w:color="auto" w:sz="4" w:space="0"/>
            </w:tcBorders>
            <w:vAlign w:val="center"/>
          </w:tcPr>
          <w:p w14:paraId="5E4CDE03">
            <w:pPr>
              <w:widowControl/>
              <w:jc w:val="center"/>
              <w:rPr>
                <w:b/>
                <w:kern w:val="0"/>
                <w:szCs w:val="21"/>
              </w:rPr>
            </w:pPr>
            <w:r>
              <w:rPr>
                <w:b/>
                <w:kern w:val="0"/>
                <w:szCs w:val="21"/>
              </w:rPr>
              <w:t>项目单位要求值</w:t>
            </w:r>
          </w:p>
        </w:tc>
        <w:tc>
          <w:tcPr>
            <w:tcW w:w="1387" w:type="dxa"/>
            <w:tcBorders>
              <w:top w:val="single" w:color="auto" w:sz="4" w:space="0"/>
              <w:left w:val="nil"/>
              <w:bottom w:val="single" w:color="auto" w:sz="4" w:space="0"/>
              <w:right w:val="single" w:color="auto" w:sz="4" w:space="0"/>
            </w:tcBorders>
            <w:vAlign w:val="center"/>
          </w:tcPr>
          <w:p w14:paraId="45EDF28E">
            <w:pPr>
              <w:widowControl/>
              <w:jc w:val="center"/>
              <w:rPr>
                <w:b/>
                <w:kern w:val="0"/>
                <w:szCs w:val="21"/>
              </w:rPr>
            </w:pPr>
            <w:r>
              <w:rPr>
                <w:b/>
                <w:kern w:val="0"/>
                <w:szCs w:val="21"/>
              </w:rPr>
              <w:t>投标方响应值</w:t>
            </w:r>
          </w:p>
        </w:tc>
        <w:tc>
          <w:tcPr>
            <w:tcW w:w="1367" w:type="dxa"/>
            <w:tcBorders>
              <w:top w:val="single" w:color="auto" w:sz="4" w:space="0"/>
              <w:left w:val="nil"/>
              <w:bottom w:val="single" w:color="auto" w:sz="4" w:space="0"/>
              <w:right w:val="single" w:color="auto" w:sz="4" w:space="0"/>
            </w:tcBorders>
            <w:vAlign w:val="center"/>
          </w:tcPr>
          <w:p w14:paraId="547F06C7">
            <w:pPr>
              <w:widowControl/>
              <w:jc w:val="center"/>
              <w:rPr>
                <w:bCs/>
                <w:kern w:val="0"/>
                <w:szCs w:val="21"/>
              </w:rPr>
            </w:pPr>
            <w:r>
              <w:rPr>
                <w:rFonts w:hint="eastAsia" w:ascii="宋体" w:hAnsi="宋体"/>
                <w:b/>
                <w:kern w:val="0"/>
                <w:szCs w:val="21"/>
              </w:rPr>
              <w:t>证明材料</w:t>
            </w:r>
          </w:p>
        </w:tc>
        <w:tc>
          <w:tcPr>
            <w:tcW w:w="1367" w:type="dxa"/>
            <w:tcBorders>
              <w:top w:val="single" w:color="auto" w:sz="4" w:space="0"/>
              <w:left w:val="nil"/>
              <w:bottom w:val="single" w:color="auto" w:sz="4" w:space="0"/>
              <w:right w:val="single" w:color="auto" w:sz="4" w:space="0"/>
            </w:tcBorders>
            <w:vAlign w:val="center"/>
          </w:tcPr>
          <w:p w14:paraId="2833EE4A">
            <w:pPr>
              <w:widowControl/>
              <w:jc w:val="center"/>
              <w:rPr>
                <w:bCs/>
                <w:kern w:val="0"/>
                <w:szCs w:val="21"/>
              </w:rPr>
            </w:pPr>
            <w:r>
              <w:rPr>
                <w:rFonts w:hint="eastAsia" w:ascii="宋体" w:hAnsi="宋体"/>
                <w:b/>
                <w:kern w:val="0"/>
                <w:szCs w:val="21"/>
              </w:rPr>
              <w:t>偏差说明</w:t>
            </w:r>
          </w:p>
        </w:tc>
        <w:tc>
          <w:tcPr>
            <w:tcW w:w="1367" w:type="dxa"/>
            <w:tcBorders>
              <w:top w:val="single" w:color="auto" w:sz="4" w:space="0"/>
              <w:left w:val="nil"/>
              <w:bottom w:val="single" w:color="auto" w:sz="4" w:space="0"/>
              <w:right w:val="single" w:color="auto" w:sz="4" w:space="0"/>
            </w:tcBorders>
            <w:vAlign w:val="center"/>
          </w:tcPr>
          <w:p w14:paraId="6B49593C">
            <w:pPr>
              <w:widowControl/>
              <w:jc w:val="center"/>
              <w:rPr>
                <w:bCs/>
                <w:kern w:val="0"/>
                <w:szCs w:val="21"/>
              </w:rPr>
            </w:pPr>
            <w:r>
              <w:rPr>
                <w:rFonts w:hint="eastAsia" w:ascii="宋体" w:hAnsi="宋体"/>
                <w:b/>
                <w:kern w:val="0"/>
                <w:szCs w:val="21"/>
              </w:rPr>
              <w:t>评标专家审核</w:t>
            </w:r>
          </w:p>
        </w:tc>
      </w:tr>
      <w:tr w14:paraId="7EADE00A">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7AD154F4">
            <w:pPr>
              <w:autoSpaceDE w:val="0"/>
              <w:autoSpaceDN w:val="0"/>
              <w:adjustRightInd w:val="0"/>
              <w:jc w:val="center"/>
              <w:rPr>
                <w:kern w:val="0"/>
                <w:szCs w:val="21"/>
              </w:rPr>
            </w:pPr>
            <w:r>
              <w:rPr>
                <w:rFonts w:hint="eastAsia"/>
                <w:kern w:val="0"/>
                <w:szCs w:val="21"/>
              </w:rPr>
              <w:t>1</w:t>
            </w:r>
          </w:p>
        </w:tc>
        <w:tc>
          <w:tcPr>
            <w:tcW w:w="13573" w:type="dxa"/>
            <w:gridSpan w:val="8"/>
            <w:tcBorders>
              <w:top w:val="nil"/>
              <w:left w:val="nil"/>
              <w:bottom w:val="single" w:color="auto" w:sz="4" w:space="0"/>
              <w:right w:val="single" w:color="auto" w:sz="4" w:space="0"/>
            </w:tcBorders>
            <w:vAlign w:val="center"/>
          </w:tcPr>
          <w:p w14:paraId="4BB52088">
            <w:pPr>
              <w:widowControl/>
              <w:jc w:val="center"/>
              <w:rPr>
                <w:kern w:val="0"/>
                <w:szCs w:val="21"/>
              </w:rPr>
            </w:pPr>
            <w:r>
              <w:rPr>
                <w:rFonts w:hint="eastAsia" w:asciiTheme="minorEastAsia" w:hAnsiTheme="minorEastAsia" w:eastAsiaTheme="minorEastAsia"/>
                <w:b/>
                <w:kern w:val="0"/>
                <w:sz w:val="22"/>
                <w:szCs w:val="22"/>
              </w:rPr>
              <w:t>半导电屏蔽料性能</w:t>
            </w:r>
          </w:p>
        </w:tc>
      </w:tr>
      <w:tr w14:paraId="5EBA74D4">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6F78C947">
            <w:pPr>
              <w:autoSpaceDE w:val="0"/>
              <w:autoSpaceDN w:val="0"/>
              <w:adjustRightInd w:val="0"/>
              <w:jc w:val="center"/>
              <w:rPr>
                <w:kern w:val="0"/>
                <w:szCs w:val="21"/>
              </w:rPr>
            </w:pPr>
            <w:r>
              <w:rPr>
                <w:rFonts w:hint="eastAsia"/>
                <w:kern w:val="0"/>
                <w:szCs w:val="21"/>
              </w:rPr>
              <w:t>1.</w:t>
            </w:r>
            <w:r>
              <w:rPr>
                <w:kern w:val="0"/>
                <w:szCs w:val="21"/>
              </w:rPr>
              <w:t>1</w:t>
            </w:r>
          </w:p>
        </w:tc>
        <w:tc>
          <w:tcPr>
            <w:tcW w:w="3082" w:type="dxa"/>
            <w:tcBorders>
              <w:top w:val="nil"/>
              <w:left w:val="nil"/>
              <w:bottom w:val="single" w:color="auto" w:sz="4" w:space="0"/>
              <w:right w:val="single" w:color="auto" w:sz="4" w:space="0"/>
            </w:tcBorders>
            <w:vAlign w:val="center"/>
          </w:tcPr>
          <w:p w14:paraId="07CEAD7F">
            <w:pPr>
              <w:autoSpaceDE w:val="0"/>
              <w:autoSpaceDN w:val="0"/>
              <w:adjustRightInd w:val="0"/>
              <w:jc w:val="left"/>
              <w:rPr>
                <w:kern w:val="0"/>
                <w:szCs w:val="21"/>
              </w:rPr>
            </w:pPr>
            <w:r>
              <w:rPr>
                <w:szCs w:val="21"/>
              </w:rPr>
              <w:t>外观</w:t>
            </w:r>
          </w:p>
        </w:tc>
        <w:tc>
          <w:tcPr>
            <w:tcW w:w="2462" w:type="dxa"/>
            <w:tcBorders>
              <w:top w:val="nil"/>
              <w:left w:val="nil"/>
              <w:bottom w:val="single" w:color="auto" w:sz="4" w:space="0"/>
              <w:right w:val="single" w:color="auto" w:sz="4" w:space="0"/>
            </w:tcBorders>
            <w:vAlign w:val="center"/>
          </w:tcPr>
          <w:p w14:paraId="1EE288A0">
            <w:pPr>
              <w:autoSpaceDE w:val="0"/>
              <w:autoSpaceDN w:val="0"/>
              <w:adjustRightInd w:val="0"/>
              <w:ind w:left="-144" w:right="-150"/>
              <w:jc w:val="center"/>
              <w:rPr>
                <w:kern w:val="0"/>
                <w:szCs w:val="21"/>
              </w:rPr>
            </w:pPr>
            <w:r>
              <w:rPr>
                <w:szCs w:val="21"/>
              </w:rPr>
              <w:t>黑色颗粒，色泽和质地均匀，颗粒间不应有明显粉末状物质</w:t>
            </w:r>
          </w:p>
        </w:tc>
        <w:tc>
          <w:tcPr>
            <w:tcW w:w="1272" w:type="dxa"/>
            <w:tcBorders>
              <w:top w:val="nil"/>
              <w:left w:val="nil"/>
              <w:bottom w:val="single" w:color="auto" w:sz="4" w:space="0"/>
              <w:right w:val="single" w:color="auto" w:sz="4" w:space="0"/>
            </w:tcBorders>
            <w:vAlign w:val="center"/>
          </w:tcPr>
          <w:p w14:paraId="73A03165">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6393F6A3">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vAlign w:val="center"/>
          </w:tcPr>
          <w:p w14:paraId="3E69AA4D">
            <w:pPr>
              <w:widowControl/>
              <w:jc w:val="left"/>
              <w:rPr>
                <w:kern w:val="0"/>
                <w:szCs w:val="21"/>
              </w:rPr>
            </w:pPr>
            <w:r>
              <w:rPr>
                <w:rFonts w:hint="eastAsia" w:ascii="宋体" w:hAnsi="宋体"/>
                <w:bCs/>
                <w:kern w:val="0"/>
                <w:szCs w:val="21"/>
              </w:rPr>
              <w:t>投标方填写（文本</w:t>
            </w:r>
            <w:r>
              <w:rPr>
                <w:rFonts w:ascii="宋体" w:hAnsi="宋体"/>
                <w:bCs/>
                <w:kern w:val="0"/>
                <w:szCs w:val="21"/>
              </w:rPr>
              <w:t>型</w:t>
            </w:r>
            <w:r>
              <w:rPr>
                <w:rFonts w:hint="eastAsia" w:ascii="宋体" w:hAnsi="宋体"/>
                <w:bCs/>
                <w:kern w:val="0"/>
                <w:szCs w:val="21"/>
              </w:rPr>
              <w:t>）</w:t>
            </w:r>
          </w:p>
        </w:tc>
        <w:tc>
          <w:tcPr>
            <w:tcW w:w="1367" w:type="dxa"/>
            <w:tcBorders>
              <w:top w:val="nil"/>
              <w:left w:val="nil"/>
              <w:bottom w:val="single" w:color="auto" w:sz="4" w:space="0"/>
              <w:right w:val="single" w:color="auto" w:sz="4" w:space="0"/>
            </w:tcBorders>
            <w:vAlign w:val="center"/>
          </w:tcPr>
          <w:p w14:paraId="76B712B4">
            <w:pPr>
              <w:widowControl/>
              <w:jc w:val="left"/>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68556F36">
            <w:pPr>
              <w:widowControl/>
              <w:jc w:val="left"/>
              <w:rPr>
                <w:kern w:val="0"/>
                <w:szCs w:val="21"/>
              </w:rPr>
            </w:pPr>
          </w:p>
        </w:tc>
        <w:tc>
          <w:tcPr>
            <w:tcW w:w="1367" w:type="dxa"/>
            <w:tcBorders>
              <w:top w:val="nil"/>
              <w:left w:val="nil"/>
              <w:bottom w:val="single" w:color="auto" w:sz="4" w:space="0"/>
              <w:right w:val="single" w:color="auto" w:sz="4" w:space="0"/>
            </w:tcBorders>
            <w:vAlign w:val="center"/>
          </w:tcPr>
          <w:p w14:paraId="30985325">
            <w:pPr>
              <w:widowControl/>
              <w:jc w:val="left"/>
              <w:rPr>
                <w:kern w:val="0"/>
                <w:szCs w:val="21"/>
              </w:rPr>
            </w:pPr>
          </w:p>
        </w:tc>
      </w:tr>
      <w:tr w14:paraId="1F475973">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3220C04F">
            <w:pPr>
              <w:autoSpaceDE w:val="0"/>
              <w:autoSpaceDN w:val="0"/>
              <w:adjustRightInd w:val="0"/>
              <w:jc w:val="center"/>
              <w:rPr>
                <w:kern w:val="0"/>
                <w:szCs w:val="21"/>
              </w:rPr>
            </w:pPr>
            <w:r>
              <w:rPr>
                <w:rFonts w:hint="eastAsia"/>
                <w:kern w:val="0"/>
                <w:szCs w:val="21"/>
              </w:rPr>
              <w:t>1.2</w:t>
            </w:r>
          </w:p>
        </w:tc>
        <w:tc>
          <w:tcPr>
            <w:tcW w:w="3082" w:type="dxa"/>
            <w:tcBorders>
              <w:top w:val="nil"/>
              <w:left w:val="nil"/>
              <w:bottom w:val="single" w:color="auto" w:sz="4" w:space="0"/>
              <w:right w:val="single" w:color="auto" w:sz="4" w:space="0"/>
            </w:tcBorders>
            <w:vAlign w:val="center"/>
          </w:tcPr>
          <w:p w14:paraId="2D7E61A1">
            <w:pPr>
              <w:autoSpaceDE w:val="0"/>
              <w:autoSpaceDN w:val="0"/>
              <w:adjustRightInd w:val="0"/>
              <w:jc w:val="left"/>
              <w:rPr>
                <w:kern w:val="0"/>
                <w:sz w:val="22"/>
                <w:szCs w:val="22"/>
              </w:rPr>
            </w:pPr>
            <w:r>
              <w:rPr>
                <w:rFonts w:hint="eastAsia"/>
                <w:szCs w:val="21"/>
              </w:rPr>
              <w:t>抗张</w:t>
            </w:r>
            <w:r>
              <w:rPr>
                <w:szCs w:val="21"/>
              </w:rPr>
              <w:t>强度</w:t>
            </w:r>
            <w:r>
              <w:rPr>
                <w:rFonts w:hint="eastAsia" w:ascii="宋体" w:cs="宋体"/>
                <w:kern w:val="0"/>
                <w:szCs w:val="21"/>
                <w:lang w:val="zh-CN"/>
              </w:rPr>
              <w:t>（</w:t>
            </w:r>
            <w:r>
              <w:rPr>
                <w:kern w:val="0"/>
                <w:szCs w:val="21"/>
              </w:rPr>
              <w:t>MPa</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6474298A">
            <w:pPr>
              <w:autoSpaceDE w:val="0"/>
              <w:autoSpaceDN w:val="0"/>
              <w:adjustRightInd w:val="0"/>
              <w:ind w:left="-144" w:right="-150"/>
              <w:jc w:val="center"/>
              <w:rPr>
                <w:kern w:val="0"/>
                <w:szCs w:val="21"/>
              </w:rPr>
            </w:pPr>
            <w:r>
              <w:rPr>
                <w:rFonts w:ascii="Arial" w:hAnsi="Arial" w:cs="Arial"/>
                <w:szCs w:val="21"/>
              </w:rPr>
              <w:t>≥</w:t>
            </w:r>
            <w:r>
              <w:rPr>
                <w:szCs w:val="21"/>
              </w:rPr>
              <w:t>1</w:t>
            </w:r>
            <w:r>
              <w:rPr>
                <w:rFonts w:hint="eastAsia"/>
                <w:szCs w:val="21"/>
              </w:rPr>
              <w:t>2</w:t>
            </w:r>
          </w:p>
        </w:tc>
        <w:tc>
          <w:tcPr>
            <w:tcW w:w="1272" w:type="dxa"/>
            <w:tcBorders>
              <w:top w:val="nil"/>
              <w:left w:val="nil"/>
              <w:bottom w:val="single" w:color="auto" w:sz="4" w:space="0"/>
              <w:right w:val="single" w:color="auto" w:sz="4" w:space="0"/>
            </w:tcBorders>
            <w:vAlign w:val="center"/>
          </w:tcPr>
          <w:p w14:paraId="576A7AFB">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2AFCE5F2">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vAlign w:val="center"/>
          </w:tcPr>
          <w:p w14:paraId="430E4AEF">
            <w:pPr>
              <w:widowControl/>
              <w:jc w:val="left"/>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165D7A62">
            <w:pPr>
              <w:widowControl/>
              <w:jc w:val="left"/>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1B2CC6FD">
            <w:pPr>
              <w:widowControl/>
              <w:jc w:val="left"/>
              <w:rPr>
                <w:kern w:val="0"/>
                <w:szCs w:val="21"/>
              </w:rPr>
            </w:pPr>
          </w:p>
        </w:tc>
        <w:tc>
          <w:tcPr>
            <w:tcW w:w="1367" w:type="dxa"/>
            <w:tcBorders>
              <w:top w:val="nil"/>
              <w:left w:val="nil"/>
              <w:bottom w:val="single" w:color="auto" w:sz="4" w:space="0"/>
              <w:right w:val="single" w:color="auto" w:sz="4" w:space="0"/>
            </w:tcBorders>
            <w:vAlign w:val="center"/>
          </w:tcPr>
          <w:p w14:paraId="1FDA9308">
            <w:pPr>
              <w:widowControl/>
              <w:jc w:val="left"/>
              <w:rPr>
                <w:kern w:val="0"/>
                <w:szCs w:val="21"/>
              </w:rPr>
            </w:pPr>
          </w:p>
        </w:tc>
      </w:tr>
      <w:tr w14:paraId="06D10806">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0F3F4575">
            <w:pPr>
              <w:autoSpaceDE w:val="0"/>
              <w:autoSpaceDN w:val="0"/>
              <w:adjustRightInd w:val="0"/>
              <w:jc w:val="center"/>
              <w:rPr>
                <w:kern w:val="0"/>
                <w:szCs w:val="21"/>
              </w:rPr>
            </w:pPr>
            <w:r>
              <w:rPr>
                <w:rFonts w:hint="eastAsia"/>
                <w:kern w:val="0"/>
                <w:szCs w:val="21"/>
              </w:rPr>
              <w:t>1.3</w:t>
            </w:r>
          </w:p>
        </w:tc>
        <w:tc>
          <w:tcPr>
            <w:tcW w:w="3082" w:type="dxa"/>
            <w:tcBorders>
              <w:top w:val="nil"/>
              <w:left w:val="nil"/>
              <w:bottom w:val="single" w:color="auto" w:sz="4" w:space="0"/>
              <w:right w:val="single" w:color="auto" w:sz="4" w:space="0"/>
            </w:tcBorders>
            <w:vAlign w:val="center"/>
          </w:tcPr>
          <w:p w14:paraId="09584138">
            <w:pPr>
              <w:autoSpaceDE w:val="0"/>
              <w:autoSpaceDN w:val="0"/>
              <w:adjustRightInd w:val="0"/>
              <w:jc w:val="left"/>
              <w:rPr>
                <w:kern w:val="0"/>
                <w:szCs w:val="21"/>
              </w:rPr>
            </w:pPr>
            <w:r>
              <w:rPr>
                <w:szCs w:val="21"/>
              </w:rPr>
              <w:t>断裂伸长率</w:t>
            </w:r>
            <w:r>
              <w:rPr>
                <w:rFonts w:hint="eastAsia" w:ascii="宋体" w:cs="宋体"/>
                <w:kern w:val="0"/>
                <w:szCs w:val="21"/>
                <w:lang w:val="zh-CN"/>
              </w:rPr>
              <w:t>（</w:t>
            </w:r>
            <w:r>
              <w:rPr>
                <w:kern w:val="0"/>
                <w:szCs w:val="21"/>
              </w:rPr>
              <w:t>%</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19CABF2A">
            <w:pPr>
              <w:autoSpaceDE w:val="0"/>
              <w:autoSpaceDN w:val="0"/>
              <w:adjustRightInd w:val="0"/>
              <w:ind w:left="-144" w:right="-150"/>
              <w:jc w:val="center"/>
              <w:rPr>
                <w:kern w:val="0"/>
                <w:sz w:val="22"/>
                <w:szCs w:val="22"/>
              </w:rPr>
            </w:pPr>
            <w:r>
              <w:rPr>
                <w:rFonts w:ascii="Arial" w:hAnsi="Arial" w:cs="Arial"/>
                <w:szCs w:val="21"/>
              </w:rPr>
              <w:t>≥</w:t>
            </w:r>
            <w:r>
              <w:rPr>
                <w:rFonts w:hint="eastAsia"/>
                <w:szCs w:val="21"/>
              </w:rPr>
              <w:t>150</w:t>
            </w:r>
          </w:p>
        </w:tc>
        <w:tc>
          <w:tcPr>
            <w:tcW w:w="1272" w:type="dxa"/>
            <w:tcBorders>
              <w:top w:val="nil"/>
              <w:left w:val="nil"/>
              <w:bottom w:val="single" w:color="auto" w:sz="4" w:space="0"/>
              <w:right w:val="single" w:color="auto" w:sz="4" w:space="0"/>
            </w:tcBorders>
            <w:vAlign w:val="center"/>
          </w:tcPr>
          <w:p w14:paraId="12145C1E">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321EA4AB">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vAlign w:val="center"/>
          </w:tcPr>
          <w:p w14:paraId="5CA00FAF">
            <w:pPr>
              <w:widowControl/>
              <w:jc w:val="left"/>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03868512">
            <w:pPr>
              <w:widowControl/>
              <w:jc w:val="left"/>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5AABA482">
            <w:pPr>
              <w:widowControl/>
              <w:jc w:val="left"/>
              <w:rPr>
                <w:kern w:val="0"/>
                <w:szCs w:val="21"/>
              </w:rPr>
            </w:pPr>
          </w:p>
        </w:tc>
        <w:tc>
          <w:tcPr>
            <w:tcW w:w="1367" w:type="dxa"/>
            <w:tcBorders>
              <w:top w:val="nil"/>
              <w:left w:val="nil"/>
              <w:bottom w:val="single" w:color="auto" w:sz="4" w:space="0"/>
              <w:right w:val="single" w:color="auto" w:sz="4" w:space="0"/>
            </w:tcBorders>
            <w:vAlign w:val="center"/>
          </w:tcPr>
          <w:p w14:paraId="05D2E613">
            <w:pPr>
              <w:widowControl/>
              <w:jc w:val="left"/>
              <w:rPr>
                <w:kern w:val="0"/>
                <w:szCs w:val="21"/>
              </w:rPr>
            </w:pPr>
          </w:p>
        </w:tc>
      </w:tr>
      <w:tr w14:paraId="76C8C5D0">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1C2D8C99">
            <w:pPr>
              <w:autoSpaceDE w:val="0"/>
              <w:autoSpaceDN w:val="0"/>
              <w:adjustRightInd w:val="0"/>
              <w:jc w:val="center"/>
              <w:rPr>
                <w:kern w:val="0"/>
                <w:szCs w:val="21"/>
              </w:rPr>
            </w:pPr>
            <w:r>
              <w:rPr>
                <w:rFonts w:hint="eastAsia"/>
                <w:kern w:val="0"/>
                <w:szCs w:val="21"/>
              </w:rPr>
              <w:t>2</w:t>
            </w:r>
          </w:p>
        </w:tc>
        <w:tc>
          <w:tcPr>
            <w:tcW w:w="13573" w:type="dxa"/>
            <w:gridSpan w:val="8"/>
            <w:tcBorders>
              <w:top w:val="nil"/>
              <w:left w:val="nil"/>
              <w:bottom w:val="single" w:color="auto" w:sz="4" w:space="0"/>
              <w:right w:val="single" w:color="auto" w:sz="4" w:space="0"/>
            </w:tcBorders>
            <w:vAlign w:val="center"/>
          </w:tcPr>
          <w:p w14:paraId="1A7788D3">
            <w:pPr>
              <w:widowControl/>
              <w:jc w:val="center"/>
              <w:rPr>
                <w:kern w:val="0"/>
                <w:szCs w:val="21"/>
              </w:rPr>
            </w:pPr>
            <w:r>
              <w:rPr>
                <w:rFonts w:asciiTheme="minorEastAsia" w:hAnsiTheme="minorEastAsia" w:eastAsiaTheme="minorEastAsia"/>
                <w:b/>
                <w:kern w:val="0"/>
                <w:sz w:val="22"/>
                <w:szCs w:val="22"/>
              </w:rPr>
              <w:t>热延伸（200℃，0.2MPa）</w:t>
            </w:r>
          </w:p>
        </w:tc>
      </w:tr>
      <w:tr w14:paraId="1074CA31">
        <w:tblPrEx>
          <w:tblCellMar>
            <w:top w:w="0" w:type="dxa"/>
            <w:left w:w="108" w:type="dxa"/>
            <w:bottom w:w="0" w:type="dxa"/>
            <w:right w:w="108" w:type="dxa"/>
          </w:tblCellMar>
        </w:tblPrEx>
        <w:trPr>
          <w:trHeight w:val="330" w:hRule="atLeast"/>
        </w:trPr>
        <w:tc>
          <w:tcPr>
            <w:tcW w:w="929" w:type="dxa"/>
            <w:tcBorders>
              <w:top w:val="single" w:color="auto" w:sz="4" w:space="0"/>
              <w:left w:val="single" w:color="auto" w:sz="4" w:space="0"/>
              <w:bottom w:val="single" w:color="auto" w:sz="4" w:space="0"/>
              <w:right w:val="single" w:color="auto" w:sz="4" w:space="0"/>
            </w:tcBorders>
            <w:vAlign w:val="center"/>
          </w:tcPr>
          <w:p w14:paraId="0F59C17D">
            <w:pPr>
              <w:autoSpaceDE w:val="0"/>
              <w:autoSpaceDN w:val="0"/>
              <w:adjustRightInd w:val="0"/>
              <w:jc w:val="center"/>
              <w:rPr>
                <w:kern w:val="0"/>
                <w:szCs w:val="21"/>
              </w:rPr>
            </w:pPr>
            <w:r>
              <w:rPr>
                <w:rFonts w:hint="eastAsia"/>
                <w:kern w:val="0"/>
                <w:szCs w:val="21"/>
              </w:rPr>
              <w:t>4</w:t>
            </w:r>
            <w:r>
              <w:rPr>
                <w:kern w:val="0"/>
                <w:szCs w:val="21"/>
              </w:rPr>
              <w:t>.1</w:t>
            </w:r>
          </w:p>
        </w:tc>
        <w:tc>
          <w:tcPr>
            <w:tcW w:w="3082" w:type="dxa"/>
            <w:tcBorders>
              <w:top w:val="single" w:color="auto" w:sz="4" w:space="0"/>
              <w:left w:val="single" w:color="auto" w:sz="4" w:space="0"/>
              <w:bottom w:val="single" w:color="auto" w:sz="4" w:space="0"/>
              <w:right w:val="single" w:color="auto" w:sz="4" w:space="0"/>
            </w:tcBorders>
            <w:vAlign w:val="center"/>
          </w:tcPr>
          <w:p w14:paraId="016094E2">
            <w:pPr>
              <w:autoSpaceDE w:val="0"/>
              <w:autoSpaceDN w:val="0"/>
              <w:adjustRightInd w:val="0"/>
              <w:jc w:val="left"/>
              <w:rPr>
                <w:kern w:val="0"/>
                <w:szCs w:val="21"/>
              </w:rPr>
            </w:pPr>
            <w:r>
              <w:rPr>
                <w:szCs w:val="21"/>
              </w:rPr>
              <w:t>负荷下伸长率</w:t>
            </w:r>
            <w:r>
              <w:rPr>
                <w:rFonts w:hint="eastAsia" w:ascii="宋体" w:cs="宋体"/>
                <w:kern w:val="0"/>
                <w:szCs w:val="21"/>
                <w:lang w:val="zh-CN"/>
              </w:rPr>
              <w:t>（</w:t>
            </w:r>
            <w:r>
              <w:rPr>
                <w:kern w:val="0"/>
                <w:szCs w:val="21"/>
              </w:rPr>
              <w:t>%</w:t>
            </w:r>
            <w:r>
              <w:rPr>
                <w:rFonts w:hint="eastAsia" w:ascii="宋体" w:cs="宋体"/>
                <w:kern w:val="0"/>
                <w:szCs w:val="21"/>
                <w:lang w:val="zh-CN"/>
              </w:rPr>
              <w:t>）</w:t>
            </w:r>
          </w:p>
        </w:tc>
        <w:tc>
          <w:tcPr>
            <w:tcW w:w="2462" w:type="dxa"/>
            <w:tcBorders>
              <w:top w:val="single" w:color="auto" w:sz="4" w:space="0"/>
              <w:left w:val="single" w:color="auto" w:sz="4" w:space="0"/>
              <w:bottom w:val="single" w:color="auto" w:sz="4" w:space="0"/>
              <w:right w:val="single" w:color="auto" w:sz="4" w:space="0"/>
            </w:tcBorders>
            <w:vAlign w:val="center"/>
          </w:tcPr>
          <w:p w14:paraId="713C459D">
            <w:pPr>
              <w:tabs>
                <w:tab w:val="left" w:pos="197"/>
                <w:tab w:val="center" w:pos="372"/>
              </w:tabs>
              <w:autoSpaceDE w:val="0"/>
              <w:autoSpaceDN w:val="0"/>
              <w:adjustRightInd w:val="0"/>
              <w:ind w:left="-144" w:right="-150"/>
              <w:jc w:val="center"/>
              <w:rPr>
                <w:kern w:val="0"/>
                <w:szCs w:val="21"/>
              </w:rPr>
            </w:pPr>
            <w:r>
              <w:rPr>
                <w:szCs w:val="21"/>
              </w:rPr>
              <w:t>≤</w:t>
            </w:r>
            <w:r>
              <w:rPr>
                <w:rFonts w:hint="eastAsia"/>
                <w:szCs w:val="21"/>
              </w:rPr>
              <w:t>8</w:t>
            </w:r>
            <w:r>
              <w:rPr>
                <w:szCs w:val="21"/>
              </w:rPr>
              <w:t>0</w:t>
            </w:r>
          </w:p>
        </w:tc>
        <w:tc>
          <w:tcPr>
            <w:tcW w:w="1272" w:type="dxa"/>
            <w:tcBorders>
              <w:top w:val="single" w:color="auto" w:sz="4" w:space="0"/>
              <w:left w:val="single" w:color="auto" w:sz="4" w:space="0"/>
              <w:bottom w:val="single" w:color="auto" w:sz="4" w:space="0"/>
              <w:right w:val="single" w:color="auto" w:sz="4" w:space="0"/>
            </w:tcBorders>
            <w:vAlign w:val="center"/>
          </w:tcPr>
          <w:p w14:paraId="30479BFD">
            <w:pPr>
              <w:autoSpaceDE w:val="0"/>
              <w:autoSpaceDN w:val="0"/>
              <w:adjustRightInd w:val="0"/>
              <w:jc w:val="left"/>
              <w:rPr>
                <w:kern w:val="0"/>
                <w:szCs w:val="21"/>
              </w:rPr>
            </w:pPr>
            <w:r>
              <w:rPr>
                <w:rFonts w:hint="eastAsia"/>
                <w:bCs/>
                <w:kern w:val="0"/>
                <w:szCs w:val="21"/>
              </w:rPr>
              <w:t>投标方响应</w:t>
            </w:r>
          </w:p>
        </w:tc>
        <w:tc>
          <w:tcPr>
            <w:tcW w:w="1269" w:type="dxa"/>
            <w:tcBorders>
              <w:top w:val="single" w:color="auto" w:sz="4" w:space="0"/>
              <w:left w:val="single" w:color="auto" w:sz="4" w:space="0"/>
              <w:bottom w:val="single" w:color="auto" w:sz="4" w:space="0"/>
              <w:right w:val="single" w:color="auto" w:sz="4" w:space="0"/>
            </w:tcBorders>
            <w:vAlign w:val="center"/>
          </w:tcPr>
          <w:p w14:paraId="4637F2FB">
            <w:pPr>
              <w:widowControl/>
              <w:jc w:val="center"/>
              <w:rPr>
                <w:kern w:val="0"/>
                <w:szCs w:val="21"/>
              </w:rPr>
            </w:pPr>
            <w:r>
              <w:rPr>
                <w:rFonts w:hint="eastAsia" w:ascii="宋体" w:cs="宋体"/>
                <w:kern w:val="0"/>
                <w:szCs w:val="21"/>
              </w:rPr>
              <w:t>/</w:t>
            </w:r>
          </w:p>
        </w:tc>
        <w:tc>
          <w:tcPr>
            <w:tcW w:w="1387" w:type="dxa"/>
            <w:tcBorders>
              <w:top w:val="single" w:color="auto" w:sz="4" w:space="0"/>
              <w:left w:val="single" w:color="auto" w:sz="4" w:space="0"/>
              <w:bottom w:val="single" w:color="auto" w:sz="4" w:space="0"/>
              <w:right w:val="single" w:color="auto" w:sz="4" w:space="0"/>
            </w:tcBorders>
            <w:vAlign w:val="center"/>
          </w:tcPr>
          <w:p w14:paraId="6B715841">
            <w:pPr>
              <w:widowControl/>
              <w:jc w:val="left"/>
              <w:rPr>
                <w:kern w:val="0"/>
                <w:szCs w:val="21"/>
              </w:rPr>
            </w:pPr>
            <w:r>
              <w:rPr>
                <w:rFonts w:hint="eastAsia"/>
                <w:kern w:val="0"/>
                <w:szCs w:val="21"/>
              </w:rPr>
              <w:t>投标方填写（数值型）</w:t>
            </w:r>
          </w:p>
        </w:tc>
        <w:tc>
          <w:tcPr>
            <w:tcW w:w="1367" w:type="dxa"/>
            <w:tcBorders>
              <w:top w:val="single" w:color="auto" w:sz="4" w:space="0"/>
              <w:left w:val="single" w:color="auto" w:sz="4" w:space="0"/>
              <w:bottom w:val="single" w:color="auto" w:sz="4" w:space="0"/>
              <w:right w:val="single" w:color="auto" w:sz="4" w:space="0"/>
            </w:tcBorders>
            <w:vAlign w:val="center"/>
          </w:tcPr>
          <w:p w14:paraId="7653A3FB">
            <w:pPr>
              <w:widowControl/>
              <w:jc w:val="left"/>
              <w:rPr>
                <w:kern w:val="0"/>
                <w:szCs w:val="21"/>
              </w:rPr>
            </w:pPr>
            <w:r>
              <w:rPr>
                <w:rFonts w:hint="eastAsia"/>
                <w:szCs w:val="21"/>
              </w:rPr>
              <w:t>试验报告</w:t>
            </w:r>
          </w:p>
        </w:tc>
        <w:tc>
          <w:tcPr>
            <w:tcW w:w="1367" w:type="dxa"/>
            <w:tcBorders>
              <w:top w:val="single" w:color="auto" w:sz="4" w:space="0"/>
              <w:left w:val="single" w:color="auto" w:sz="4" w:space="0"/>
              <w:bottom w:val="single" w:color="auto" w:sz="4" w:space="0"/>
              <w:right w:val="single" w:color="auto" w:sz="4" w:space="0"/>
            </w:tcBorders>
            <w:vAlign w:val="center"/>
          </w:tcPr>
          <w:p w14:paraId="01C6C375">
            <w:pPr>
              <w:widowControl/>
              <w:jc w:val="left"/>
              <w:rPr>
                <w:kern w:val="0"/>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414508F1">
            <w:pPr>
              <w:widowControl/>
              <w:jc w:val="left"/>
              <w:rPr>
                <w:kern w:val="0"/>
                <w:szCs w:val="21"/>
              </w:rPr>
            </w:pPr>
          </w:p>
        </w:tc>
      </w:tr>
      <w:tr w14:paraId="2879F565">
        <w:tblPrEx>
          <w:tblCellMar>
            <w:top w:w="0" w:type="dxa"/>
            <w:left w:w="108" w:type="dxa"/>
            <w:bottom w:w="0" w:type="dxa"/>
            <w:right w:w="108" w:type="dxa"/>
          </w:tblCellMar>
        </w:tblPrEx>
        <w:trPr>
          <w:trHeight w:val="330" w:hRule="atLeast"/>
        </w:trPr>
        <w:tc>
          <w:tcPr>
            <w:tcW w:w="929" w:type="dxa"/>
            <w:tcBorders>
              <w:top w:val="single" w:color="auto" w:sz="4" w:space="0"/>
              <w:left w:val="single" w:color="auto" w:sz="4" w:space="0"/>
              <w:bottom w:val="single" w:color="auto" w:sz="4" w:space="0"/>
              <w:right w:val="single" w:color="auto" w:sz="4" w:space="0"/>
            </w:tcBorders>
            <w:vAlign w:val="center"/>
          </w:tcPr>
          <w:p w14:paraId="6B7D6C9A">
            <w:pPr>
              <w:autoSpaceDE w:val="0"/>
              <w:autoSpaceDN w:val="0"/>
              <w:adjustRightInd w:val="0"/>
              <w:jc w:val="center"/>
              <w:rPr>
                <w:kern w:val="0"/>
                <w:szCs w:val="21"/>
              </w:rPr>
            </w:pPr>
            <w:r>
              <w:rPr>
                <w:rFonts w:hint="eastAsia"/>
                <w:kern w:val="0"/>
                <w:szCs w:val="21"/>
              </w:rPr>
              <w:t>4</w:t>
            </w:r>
            <w:r>
              <w:rPr>
                <w:kern w:val="0"/>
                <w:szCs w:val="21"/>
              </w:rPr>
              <w:t>.2</w:t>
            </w:r>
          </w:p>
        </w:tc>
        <w:tc>
          <w:tcPr>
            <w:tcW w:w="3082" w:type="dxa"/>
            <w:tcBorders>
              <w:top w:val="single" w:color="auto" w:sz="4" w:space="0"/>
              <w:left w:val="single" w:color="auto" w:sz="4" w:space="0"/>
              <w:bottom w:val="single" w:color="auto" w:sz="4" w:space="0"/>
              <w:right w:val="single" w:color="auto" w:sz="4" w:space="0"/>
            </w:tcBorders>
            <w:vAlign w:val="center"/>
          </w:tcPr>
          <w:p w14:paraId="45BC2FA1">
            <w:pPr>
              <w:autoSpaceDE w:val="0"/>
              <w:autoSpaceDN w:val="0"/>
              <w:adjustRightInd w:val="0"/>
              <w:jc w:val="left"/>
              <w:rPr>
                <w:kern w:val="0"/>
                <w:szCs w:val="21"/>
              </w:rPr>
            </w:pPr>
            <w:r>
              <w:rPr>
                <w:szCs w:val="21"/>
              </w:rPr>
              <w:t>冷却后永久变形</w:t>
            </w:r>
            <w:r>
              <w:rPr>
                <w:rFonts w:hint="eastAsia" w:ascii="宋体" w:cs="宋体"/>
                <w:kern w:val="0"/>
                <w:szCs w:val="21"/>
                <w:lang w:val="zh-CN"/>
              </w:rPr>
              <w:t>（</w:t>
            </w:r>
            <w:r>
              <w:rPr>
                <w:kern w:val="0"/>
                <w:szCs w:val="21"/>
              </w:rPr>
              <w:t>%</w:t>
            </w:r>
            <w:r>
              <w:rPr>
                <w:rFonts w:hint="eastAsia" w:ascii="宋体" w:cs="宋体"/>
                <w:kern w:val="0"/>
                <w:szCs w:val="21"/>
                <w:lang w:val="zh-CN"/>
              </w:rPr>
              <w:t>）</w:t>
            </w:r>
          </w:p>
        </w:tc>
        <w:tc>
          <w:tcPr>
            <w:tcW w:w="2462" w:type="dxa"/>
            <w:tcBorders>
              <w:top w:val="single" w:color="auto" w:sz="4" w:space="0"/>
              <w:left w:val="single" w:color="auto" w:sz="4" w:space="0"/>
              <w:bottom w:val="single" w:color="auto" w:sz="4" w:space="0"/>
              <w:right w:val="single" w:color="auto" w:sz="4" w:space="0"/>
            </w:tcBorders>
            <w:vAlign w:val="center"/>
          </w:tcPr>
          <w:p w14:paraId="5F7C0BAD">
            <w:pPr>
              <w:autoSpaceDE w:val="0"/>
              <w:autoSpaceDN w:val="0"/>
              <w:adjustRightInd w:val="0"/>
              <w:ind w:left="-144" w:right="-150"/>
              <w:jc w:val="center"/>
              <w:rPr>
                <w:kern w:val="0"/>
                <w:szCs w:val="21"/>
              </w:rPr>
            </w:pPr>
            <w:r>
              <w:rPr>
                <w:szCs w:val="21"/>
              </w:rPr>
              <w:t>≤</w:t>
            </w:r>
            <w:r>
              <w:rPr>
                <w:rFonts w:hint="eastAsia"/>
                <w:szCs w:val="21"/>
              </w:rPr>
              <w:t>5</w:t>
            </w:r>
          </w:p>
        </w:tc>
        <w:tc>
          <w:tcPr>
            <w:tcW w:w="1272" w:type="dxa"/>
            <w:tcBorders>
              <w:top w:val="single" w:color="auto" w:sz="4" w:space="0"/>
              <w:left w:val="single" w:color="auto" w:sz="4" w:space="0"/>
              <w:bottom w:val="single" w:color="auto" w:sz="4" w:space="0"/>
              <w:right w:val="single" w:color="auto" w:sz="4" w:space="0"/>
            </w:tcBorders>
            <w:vAlign w:val="center"/>
          </w:tcPr>
          <w:p w14:paraId="34D8E409">
            <w:pPr>
              <w:autoSpaceDE w:val="0"/>
              <w:autoSpaceDN w:val="0"/>
              <w:adjustRightInd w:val="0"/>
              <w:jc w:val="left"/>
              <w:rPr>
                <w:kern w:val="0"/>
                <w:szCs w:val="21"/>
              </w:rPr>
            </w:pPr>
            <w:r>
              <w:rPr>
                <w:rFonts w:hint="eastAsia"/>
                <w:bCs/>
                <w:kern w:val="0"/>
                <w:szCs w:val="21"/>
              </w:rPr>
              <w:t>投标方响应</w:t>
            </w:r>
          </w:p>
        </w:tc>
        <w:tc>
          <w:tcPr>
            <w:tcW w:w="1269" w:type="dxa"/>
            <w:tcBorders>
              <w:top w:val="single" w:color="auto" w:sz="4" w:space="0"/>
              <w:left w:val="single" w:color="auto" w:sz="4" w:space="0"/>
              <w:bottom w:val="single" w:color="auto" w:sz="4" w:space="0"/>
              <w:right w:val="single" w:color="auto" w:sz="4" w:space="0"/>
            </w:tcBorders>
            <w:vAlign w:val="center"/>
          </w:tcPr>
          <w:p w14:paraId="7FB0EE3B">
            <w:pPr>
              <w:widowControl/>
              <w:jc w:val="center"/>
              <w:rPr>
                <w:kern w:val="0"/>
                <w:szCs w:val="21"/>
              </w:rPr>
            </w:pPr>
            <w:r>
              <w:rPr>
                <w:rFonts w:hint="eastAsia" w:ascii="宋体" w:cs="宋体"/>
                <w:kern w:val="0"/>
                <w:szCs w:val="21"/>
              </w:rPr>
              <w:t>/</w:t>
            </w:r>
          </w:p>
        </w:tc>
        <w:tc>
          <w:tcPr>
            <w:tcW w:w="1387" w:type="dxa"/>
            <w:tcBorders>
              <w:top w:val="single" w:color="auto" w:sz="4" w:space="0"/>
              <w:left w:val="single" w:color="auto" w:sz="4" w:space="0"/>
              <w:bottom w:val="single" w:color="auto" w:sz="4" w:space="0"/>
              <w:right w:val="single" w:color="auto" w:sz="4" w:space="0"/>
            </w:tcBorders>
            <w:vAlign w:val="center"/>
          </w:tcPr>
          <w:p w14:paraId="41B039C8">
            <w:pPr>
              <w:widowControl/>
              <w:jc w:val="left"/>
              <w:rPr>
                <w:kern w:val="0"/>
                <w:szCs w:val="21"/>
              </w:rPr>
            </w:pPr>
            <w:r>
              <w:rPr>
                <w:rFonts w:hint="eastAsia"/>
                <w:kern w:val="0"/>
                <w:szCs w:val="21"/>
              </w:rPr>
              <w:t>投标方填写（数值型）</w:t>
            </w:r>
          </w:p>
        </w:tc>
        <w:tc>
          <w:tcPr>
            <w:tcW w:w="1367" w:type="dxa"/>
            <w:tcBorders>
              <w:top w:val="single" w:color="auto" w:sz="4" w:space="0"/>
              <w:left w:val="single" w:color="auto" w:sz="4" w:space="0"/>
              <w:bottom w:val="single" w:color="auto" w:sz="4" w:space="0"/>
              <w:right w:val="single" w:color="auto" w:sz="4" w:space="0"/>
            </w:tcBorders>
            <w:vAlign w:val="center"/>
          </w:tcPr>
          <w:p w14:paraId="20A57A4F">
            <w:pPr>
              <w:widowControl/>
              <w:jc w:val="left"/>
              <w:rPr>
                <w:kern w:val="0"/>
                <w:szCs w:val="21"/>
              </w:rPr>
            </w:pPr>
            <w:r>
              <w:rPr>
                <w:rFonts w:hint="eastAsia"/>
                <w:szCs w:val="21"/>
              </w:rPr>
              <w:t>试验报告</w:t>
            </w:r>
          </w:p>
        </w:tc>
        <w:tc>
          <w:tcPr>
            <w:tcW w:w="1367" w:type="dxa"/>
            <w:tcBorders>
              <w:top w:val="single" w:color="auto" w:sz="4" w:space="0"/>
              <w:left w:val="single" w:color="auto" w:sz="4" w:space="0"/>
              <w:bottom w:val="single" w:color="auto" w:sz="4" w:space="0"/>
              <w:right w:val="single" w:color="auto" w:sz="4" w:space="0"/>
            </w:tcBorders>
            <w:vAlign w:val="center"/>
          </w:tcPr>
          <w:p w14:paraId="0751FB93">
            <w:pPr>
              <w:widowControl/>
              <w:jc w:val="left"/>
              <w:rPr>
                <w:kern w:val="0"/>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6F2CE5D4">
            <w:pPr>
              <w:widowControl/>
              <w:jc w:val="left"/>
              <w:rPr>
                <w:kern w:val="0"/>
                <w:szCs w:val="21"/>
              </w:rPr>
            </w:pPr>
          </w:p>
        </w:tc>
      </w:tr>
      <w:tr w14:paraId="33B206A1">
        <w:tblPrEx>
          <w:tblCellMar>
            <w:top w:w="0" w:type="dxa"/>
            <w:left w:w="108" w:type="dxa"/>
            <w:bottom w:w="0" w:type="dxa"/>
            <w:right w:w="108" w:type="dxa"/>
          </w:tblCellMar>
        </w:tblPrEx>
        <w:trPr>
          <w:trHeight w:val="330" w:hRule="atLeast"/>
        </w:trPr>
        <w:tc>
          <w:tcPr>
            <w:tcW w:w="929" w:type="dxa"/>
            <w:tcBorders>
              <w:top w:val="single" w:color="auto" w:sz="4" w:space="0"/>
              <w:left w:val="single" w:color="auto" w:sz="4" w:space="0"/>
              <w:bottom w:val="single" w:color="auto" w:sz="4" w:space="0"/>
              <w:right w:val="single" w:color="auto" w:sz="4" w:space="0"/>
            </w:tcBorders>
            <w:vAlign w:val="center"/>
          </w:tcPr>
          <w:p w14:paraId="69C7F570">
            <w:pPr>
              <w:autoSpaceDE w:val="0"/>
              <w:autoSpaceDN w:val="0"/>
              <w:adjustRightInd w:val="0"/>
              <w:jc w:val="center"/>
              <w:rPr>
                <w:kern w:val="0"/>
                <w:szCs w:val="21"/>
              </w:rPr>
            </w:pPr>
            <w:r>
              <w:rPr>
                <w:rFonts w:hint="eastAsia"/>
                <w:kern w:val="0"/>
                <w:szCs w:val="21"/>
              </w:rPr>
              <w:t>5</w:t>
            </w:r>
          </w:p>
        </w:tc>
        <w:tc>
          <w:tcPr>
            <w:tcW w:w="3082" w:type="dxa"/>
            <w:tcBorders>
              <w:top w:val="single" w:color="auto" w:sz="4" w:space="0"/>
              <w:left w:val="single" w:color="auto" w:sz="4" w:space="0"/>
              <w:bottom w:val="single" w:color="auto" w:sz="4" w:space="0"/>
              <w:right w:val="single" w:color="auto" w:sz="4" w:space="0"/>
            </w:tcBorders>
            <w:vAlign w:val="center"/>
          </w:tcPr>
          <w:p w14:paraId="371FAA0C">
            <w:pPr>
              <w:autoSpaceDE w:val="0"/>
              <w:autoSpaceDN w:val="0"/>
              <w:adjustRightInd w:val="0"/>
              <w:jc w:val="left"/>
              <w:rPr>
                <w:kern w:val="0"/>
                <w:szCs w:val="21"/>
              </w:rPr>
            </w:pPr>
            <w:r>
              <w:rPr>
                <w:szCs w:val="21"/>
              </w:rPr>
              <w:t>23℃时体积电阻率</w:t>
            </w:r>
            <w:r>
              <w:rPr>
                <w:rFonts w:hint="eastAsia" w:ascii="宋体" w:cs="宋体"/>
                <w:kern w:val="0"/>
                <w:szCs w:val="21"/>
                <w:lang w:val="zh-CN"/>
              </w:rPr>
              <w:t>（</w:t>
            </w:r>
            <w:r>
              <w:rPr>
                <w:kern w:val="0"/>
                <w:szCs w:val="21"/>
              </w:rPr>
              <w:t>Ω·</w:t>
            </w:r>
            <w:r>
              <w:rPr>
                <w:rFonts w:hint="eastAsia"/>
                <w:kern w:val="0"/>
                <w:szCs w:val="21"/>
              </w:rPr>
              <w:t>m</w:t>
            </w:r>
            <w:r>
              <w:rPr>
                <w:rFonts w:hint="eastAsia" w:ascii="宋体" w:cs="宋体"/>
                <w:kern w:val="0"/>
                <w:szCs w:val="21"/>
                <w:lang w:val="zh-CN"/>
              </w:rPr>
              <w:t>）</w:t>
            </w:r>
          </w:p>
        </w:tc>
        <w:tc>
          <w:tcPr>
            <w:tcW w:w="2462" w:type="dxa"/>
            <w:tcBorders>
              <w:top w:val="single" w:color="auto" w:sz="4" w:space="0"/>
              <w:left w:val="single" w:color="auto" w:sz="4" w:space="0"/>
              <w:bottom w:val="single" w:color="auto" w:sz="4" w:space="0"/>
              <w:right w:val="single" w:color="auto" w:sz="4" w:space="0"/>
            </w:tcBorders>
            <w:vAlign w:val="center"/>
          </w:tcPr>
          <w:p w14:paraId="54CB5876">
            <w:pPr>
              <w:autoSpaceDE w:val="0"/>
              <w:autoSpaceDN w:val="0"/>
              <w:adjustRightInd w:val="0"/>
              <w:ind w:left="-144" w:right="-150"/>
              <w:jc w:val="center"/>
              <w:rPr>
                <w:kern w:val="0"/>
                <w:szCs w:val="21"/>
              </w:rPr>
            </w:pPr>
            <w:r>
              <w:rPr>
                <w:szCs w:val="21"/>
              </w:rPr>
              <w:t>≤1.0</w:t>
            </w:r>
          </w:p>
        </w:tc>
        <w:tc>
          <w:tcPr>
            <w:tcW w:w="1272" w:type="dxa"/>
            <w:tcBorders>
              <w:top w:val="single" w:color="auto" w:sz="4" w:space="0"/>
              <w:left w:val="single" w:color="auto" w:sz="4" w:space="0"/>
              <w:bottom w:val="single" w:color="auto" w:sz="4" w:space="0"/>
              <w:right w:val="single" w:color="auto" w:sz="4" w:space="0"/>
            </w:tcBorders>
            <w:vAlign w:val="center"/>
          </w:tcPr>
          <w:p w14:paraId="180D995C">
            <w:pPr>
              <w:autoSpaceDE w:val="0"/>
              <w:autoSpaceDN w:val="0"/>
              <w:adjustRightInd w:val="0"/>
              <w:jc w:val="left"/>
              <w:rPr>
                <w:kern w:val="0"/>
                <w:szCs w:val="21"/>
              </w:rPr>
            </w:pPr>
            <w:r>
              <w:rPr>
                <w:rFonts w:hint="eastAsia"/>
                <w:bCs/>
                <w:kern w:val="0"/>
                <w:szCs w:val="21"/>
              </w:rPr>
              <w:t>投标方响应</w:t>
            </w:r>
          </w:p>
        </w:tc>
        <w:tc>
          <w:tcPr>
            <w:tcW w:w="1269" w:type="dxa"/>
            <w:tcBorders>
              <w:top w:val="single" w:color="auto" w:sz="4" w:space="0"/>
              <w:left w:val="single" w:color="auto" w:sz="4" w:space="0"/>
              <w:bottom w:val="single" w:color="auto" w:sz="4" w:space="0"/>
              <w:right w:val="single" w:color="auto" w:sz="4" w:space="0"/>
            </w:tcBorders>
            <w:vAlign w:val="center"/>
          </w:tcPr>
          <w:p w14:paraId="5CC126E0">
            <w:pPr>
              <w:widowControl/>
              <w:jc w:val="center"/>
              <w:rPr>
                <w:kern w:val="0"/>
                <w:szCs w:val="21"/>
              </w:rPr>
            </w:pPr>
            <w:r>
              <w:rPr>
                <w:rFonts w:hint="eastAsia" w:ascii="宋体" w:cs="宋体"/>
                <w:kern w:val="0"/>
                <w:szCs w:val="21"/>
              </w:rPr>
              <w:t>/</w:t>
            </w:r>
          </w:p>
        </w:tc>
        <w:tc>
          <w:tcPr>
            <w:tcW w:w="1387" w:type="dxa"/>
            <w:tcBorders>
              <w:top w:val="single" w:color="auto" w:sz="4" w:space="0"/>
              <w:left w:val="single" w:color="auto" w:sz="4" w:space="0"/>
              <w:bottom w:val="single" w:color="auto" w:sz="4" w:space="0"/>
              <w:right w:val="single" w:color="auto" w:sz="4" w:space="0"/>
            </w:tcBorders>
            <w:vAlign w:val="center"/>
          </w:tcPr>
          <w:p w14:paraId="78FD5203">
            <w:pPr>
              <w:widowControl/>
              <w:jc w:val="left"/>
              <w:rPr>
                <w:kern w:val="0"/>
                <w:szCs w:val="21"/>
              </w:rPr>
            </w:pPr>
            <w:r>
              <w:rPr>
                <w:rFonts w:hint="eastAsia"/>
                <w:kern w:val="0"/>
                <w:szCs w:val="21"/>
              </w:rPr>
              <w:t>投标方填写（数值型）</w:t>
            </w:r>
          </w:p>
        </w:tc>
        <w:tc>
          <w:tcPr>
            <w:tcW w:w="1367" w:type="dxa"/>
            <w:tcBorders>
              <w:top w:val="single" w:color="auto" w:sz="4" w:space="0"/>
              <w:left w:val="single" w:color="auto" w:sz="4" w:space="0"/>
              <w:bottom w:val="single" w:color="auto" w:sz="4" w:space="0"/>
              <w:right w:val="single" w:color="auto" w:sz="4" w:space="0"/>
            </w:tcBorders>
            <w:vAlign w:val="center"/>
          </w:tcPr>
          <w:p w14:paraId="294039D9">
            <w:pPr>
              <w:widowControl/>
              <w:jc w:val="left"/>
              <w:rPr>
                <w:kern w:val="0"/>
                <w:szCs w:val="21"/>
              </w:rPr>
            </w:pPr>
            <w:r>
              <w:rPr>
                <w:rFonts w:hint="eastAsia"/>
                <w:szCs w:val="21"/>
              </w:rPr>
              <w:t>试验报告</w:t>
            </w:r>
          </w:p>
        </w:tc>
        <w:tc>
          <w:tcPr>
            <w:tcW w:w="1367" w:type="dxa"/>
            <w:tcBorders>
              <w:top w:val="single" w:color="auto" w:sz="4" w:space="0"/>
              <w:left w:val="single" w:color="auto" w:sz="4" w:space="0"/>
              <w:bottom w:val="single" w:color="auto" w:sz="4" w:space="0"/>
              <w:right w:val="single" w:color="auto" w:sz="4" w:space="0"/>
            </w:tcBorders>
            <w:vAlign w:val="center"/>
          </w:tcPr>
          <w:p w14:paraId="1FF7FDF2">
            <w:pPr>
              <w:widowControl/>
              <w:jc w:val="left"/>
              <w:rPr>
                <w:kern w:val="0"/>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07D5E4AA">
            <w:pPr>
              <w:widowControl/>
              <w:jc w:val="left"/>
              <w:rPr>
                <w:kern w:val="0"/>
                <w:szCs w:val="21"/>
              </w:rPr>
            </w:pPr>
          </w:p>
        </w:tc>
      </w:tr>
      <w:tr w14:paraId="2DE2C8E4">
        <w:tblPrEx>
          <w:tblCellMar>
            <w:top w:w="0" w:type="dxa"/>
            <w:left w:w="108" w:type="dxa"/>
            <w:bottom w:w="0" w:type="dxa"/>
            <w:right w:w="108" w:type="dxa"/>
          </w:tblCellMar>
        </w:tblPrEx>
        <w:trPr>
          <w:trHeight w:val="330" w:hRule="atLeast"/>
        </w:trPr>
        <w:tc>
          <w:tcPr>
            <w:tcW w:w="929" w:type="dxa"/>
            <w:tcBorders>
              <w:top w:val="single" w:color="auto" w:sz="4" w:space="0"/>
              <w:left w:val="single" w:color="auto" w:sz="4" w:space="0"/>
              <w:bottom w:val="single" w:color="auto" w:sz="4" w:space="0"/>
              <w:right w:val="single" w:color="auto" w:sz="4" w:space="0"/>
            </w:tcBorders>
            <w:vAlign w:val="center"/>
          </w:tcPr>
          <w:p w14:paraId="4FB52328">
            <w:pPr>
              <w:autoSpaceDE w:val="0"/>
              <w:autoSpaceDN w:val="0"/>
              <w:adjustRightInd w:val="0"/>
              <w:jc w:val="center"/>
              <w:rPr>
                <w:kern w:val="0"/>
                <w:szCs w:val="21"/>
              </w:rPr>
            </w:pPr>
            <w:r>
              <w:rPr>
                <w:rFonts w:hint="eastAsia"/>
                <w:kern w:val="0"/>
                <w:szCs w:val="21"/>
              </w:rPr>
              <w:t>6</w:t>
            </w:r>
          </w:p>
        </w:tc>
        <w:tc>
          <w:tcPr>
            <w:tcW w:w="3082" w:type="dxa"/>
            <w:tcBorders>
              <w:top w:val="single" w:color="auto" w:sz="4" w:space="0"/>
              <w:left w:val="single" w:color="auto" w:sz="4" w:space="0"/>
              <w:bottom w:val="single" w:color="auto" w:sz="4" w:space="0"/>
              <w:right w:val="single" w:color="auto" w:sz="4" w:space="0"/>
            </w:tcBorders>
            <w:vAlign w:val="center"/>
          </w:tcPr>
          <w:p w14:paraId="7312991C">
            <w:pPr>
              <w:autoSpaceDE w:val="0"/>
              <w:autoSpaceDN w:val="0"/>
              <w:adjustRightInd w:val="0"/>
              <w:jc w:val="left"/>
              <w:rPr>
                <w:kern w:val="0"/>
                <w:szCs w:val="21"/>
              </w:rPr>
            </w:pPr>
            <w:r>
              <w:rPr>
                <w:szCs w:val="21"/>
              </w:rPr>
              <w:t>90℃时体积电阻率</w:t>
            </w:r>
            <w:r>
              <w:rPr>
                <w:rFonts w:hint="eastAsia" w:ascii="宋体" w:cs="宋体"/>
                <w:kern w:val="0"/>
                <w:szCs w:val="21"/>
                <w:lang w:val="zh-CN"/>
              </w:rPr>
              <w:t>（</w:t>
            </w:r>
            <w:r>
              <w:rPr>
                <w:kern w:val="0"/>
                <w:szCs w:val="21"/>
              </w:rPr>
              <w:t>Ω·m</w:t>
            </w:r>
            <w:r>
              <w:rPr>
                <w:rFonts w:hint="eastAsia" w:ascii="宋体" w:cs="宋体"/>
                <w:kern w:val="0"/>
                <w:szCs w:val="21"/>
                <w:lang w:val="zh-CN"/>
              </w:rPr>
              <w:t>）</w:t>
            </w:r>
          </w:p>
        </w:tc>
        <w:tc>
          <w:tcPr>
            <w:tcW w:w="2462" w:type="dxa"/>
            <w:tcBorders>
              <w:top w:val="single" w:color="auto" w:sz="4" w:space="0"/>
              <w:left w:val="single" w:color="auto" w:sz="4" w:space="0"/>
              <w:bottom w:val="single" w:color="auto" w:sz="4" w:space="0"/>
              <w:right w:val="single" w:color="auto" w:sz="4" w:space="0"/>
            </w:tcBorders>
            <w:vAlign w:val="center"/>
          </w:tcPr>
          <w:p w14:paraId="2B88B05F">
            <w:pPr>
              <w:autoSpaceDE w:val="0"/>
              <w:autoSpaceDN w:val="0"/>
              <w:adjustRightInd w:val="0"/>
              <w:ind w:left="-144" w:right="-150"/>
              <w:jc w:val="center"/>
              <w:rPr>
                <w:kern w:val="0"/>
                <w:szCs w:val="21"/>
              </w:rPr>
            </w:pPr>
            <w:r>
              <w:rPr>
                <w:szCs w:val="21"/>
              </w:rPr>
              <w:t>≤3.5</w:t>
            </w:r>
          </w:p>
        </w:tc>
        <w:tc>
          <w:tcPr>
            <w:tcW w:w="1272" w:type="dxa"/>
            <w:tcBorders>
              <w:top w:val="single" w:color="auto" w:sz="4" w:space="0"/>
              <w:left w:val="single" w:color="auto" w:sz="4" w:space="0"/>
              <w:bottom w:val="single" w:color="auto" w:sz="4" w:space="0"/>
              <w:right w:val="single" w:color="auto" w:sz="4" w:space="0"/>
            </w:tcBorders>
            <w:vAlign w:val="center"/>
          </w:tcPr>
          <w:p w14:paraId="35E30740">
            <w:pPr>
              <w:autoSpaceDE w:val="0"/>
              <w:autoSpaceDN w:val="0"/>
              <w:adjustRightInd w:val="0"/>
              <w:jc w:val="left"/>
              <w:rPr>
                <w:kern w:val="0"/>
                <w:szCs w:val="21"/>
              </w:rPr>
            </w:pPr>
            <w:r>
              <w:rPr>
                <w:rFonts w:hint="eastAsia"/>
                <w:bCs/>
                <w:kern w:val="0"/>
                <w:szCs w:val="21"/>
              </w:rPr>
              <w:t>投标方响应</w:t>
            </w:r>
          </w:p>
        </w:tc>
        <w:tc>
          <w:tcPr>
            <w:tcW w:w="1269" w:type="dxa"/>
            <w:tcBorders>
              <w:top w:val="single" w:color="auto" w:sz="4" w:space="0"/>
              <w:left w:val="single" w:color="auto" w:sz="4" w:space="0"/>
              <w:bottom w:val="single" w:color="auto" w:sz="4" w:space="0"/>
              <w:right w:val="single" w:color="auto" w:sz="4" w:space="0"/>
            </w:tcBorders>
            <w:vAlign w:val="center"/>
          </w:tcPr>
          <w:p w14:paraId="6199FAD0">
            <w:pPr>
              <w:widowControl/>
              <w:jc w:val="center"/>
              <w:rPr>
                <w:kern w:val="0"/>
                <w:szCs w:val="21"/>
              </w:rPr>
            </w:pPr>
            <w:r>
              <w:rPr>
                <w:rFonts w:hint="eastAsia" w:ascii="宋体" w:cs="宋体"/>
                <w:kern w:val="0"/>
                <w:szCs w:val="21"/>
              </w:rPr>
              <w:t>/</w:t>
            </w:r>
          </w:p>
        </w:tc>
        <w:tc>
          <w:tcPr>
            <w:tcW w:w="1387" w:type="dxa"/>
            <w:tcBorders>
              <w:top w:val="single" w:color="auto" w:sz="4" w:space="0"/>
              <w:left w:val="single" w:color="auto" w:sz="4" w:space="0"/>
              <w:bottom w:val="single" w:color="auto" w:sz="4" w:space="0"/>
              <w:right w:val="single" w:color="auto" w:sz="4" w:space="0"/>
            </w:tcBorders>
            <w:vAlign w:val="center"/>
          </w:tcPr>
          <w:p w14:paraId="6B37F239">
            <w:pPr>
              <w:widowControl/>
              <w:jc w:val="left"/>
              <w:rPr>
                <w:kern w:val="0"/>
                <w:szCs w:val="21"/>
              </w:rPr>
            </w:pPr>
            <w:r>
              <w:rPr>
                <w:rFonts w:hint="eastAsia"/>
                <w:kern w:val="0"/>
                <w:szCs w:val="21"/>
              </w:rPr>
              <w:t>投标方填写（数值型）</w:t>
            </w:r>
          </w:p>
        </w:tc>
        <w:tc>
          <w:tcPr>
            <w:tcW w:w="1367" w:type="dxa"/>
            <w:tcBorders>
              <w:top w:val="single" w:color="auto" w:sz="4" w:space="0"/>
              <w:left w:val="single" w:color="auto" w:sz="4" w:space="0"/>
              <w:bottom w:val="single" w:color="auto" w:sz="4" w:space="0"/>
              <w:right w:val="single" w:color="auto" w:sz="4" w:space="0"/>
            </w:tcBorders>
            <w:vAlign w:val="center"/>
          </w:tcPr>
          <w:p w14:paraId="5C546DCA">
            <w:pPr>
              <w:widowControl/>
              <w:jc w:val="left"/>
              <w:rPr>
                <w:kern w:val="0"/>
                <w:szCs w:val="21"/>
              </w:rPr>
            </w:pPr>
            <w:r>
              <w:rPr>
                <w:rFonts w:hint="eastAsia"/>
                <w:szCs w:val="21"/>
              </w:rPr>
              <w:t>试验报告</w:t>
            </w:r>
          </w:p>
        </w:tc>
        <w:tc>
          <w:tcPr>
            <w:tcW w:w="1367" w:type="dxa"/>
            <w:tcBorders>
              <w:top w:val="single" w:color="auto" w:sz="4" w:space="0"/>
              <w:left w:val="single" w:color="auto" w:sz="4" w:space="0"/>
              <w:bottom w:val="single" w:color="auto" w:sz="4" w:space="0"/>
              <w:right w:val="single" w:color="auto" w:sz="4" w:space="0"/>
            </w:tcBorders>
            <w:vAlign w:val="center"/>
          </w:tcPr>
          <w:p w14:paraId="2E04CC9B">
            <w:pPr>
              <w:widowControl/>
              <w:jc w:val="left"/>
              <w:rPr>
                <w:kern w:val="0"/>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092A1135">
            <w:pPr>
              <w:widowControl/>
              <w:jc w:val="left"/>
              <w:rPr>
                <w:kern w:val="0"/>
                <w:szCs w:val="21"/>
              </w:rPr>
            </w:pPr>
          </w:p>
        </w:tc>
      </w:tr>
    </w:tbl>
    <w:p w14:paraId="704193DD">
      <w:pPr>
        <w:jc w:val="center"/>
        <w:rPr>
          <w:szCs w:val="21"/>
        </w:rPr>
      </w:pPr>
      <w:r>
        <w:rPr>
          <w:szCs w:val="21"/>
        </w:rPr>
        <w:t>表</w:t>
      </w:r>
      <w:r>
        <w:rPr>
          <w:rFonts w:hint="eastAsia"/>
          <w:szCs w:val="21"/>
        </w:rPr>
        <w:t>6</w:t>
      </w:r>
      <w:r>
        <w:rPr>
          <w:szCs w:val="21"/>
        </w:rPr>
        <w:t>.7-</w:t>
      </w:r>
      <w:r>
        <w:rPr>
          <w:rFonts w:hint="eastAsia"/>
          <w:szCs w:val="21"/>
        </w:rPr>
        <w:t>5</w:t>
      </w:r>
      <w:r>
        <w:rPr>
          <w:szCs w:val="21"/>
        </w:rPr>
        <w:t xml:space="preserve">   500kV</w:t>
      </w:r>
      <w:r>
        <w:rPr>
          <w:rFonts w:hint="eastAsia"/>
          <w:szCs w:val="21"/>
        </w:rPr>
        <w:t>海底电缆半导电护套料</w:t>
      </w:r>
      <w:r>
        <w:rPr>
          <w:szCs w:val="21"/>
        </w:rPr>
        <w:t>参数表（投标方填写）</w:t>
      </w:r>
    </w:p>
    <w:tbl>
      <w:tblPr>
        <w:tblStyle w:val="85"/>
        <w:tblW w:w="14502" w:type="dxa"/>
        <w:tblInd w:w="0" w:type="dxa"/>
        <w:tblLayout w:type="fixed"/>
        <w:tblCellMar>
          <w:top w:w="0" w:type="dxa"/>
          <w:left w:w="108" w:type="dxa"/>
          <w:bottom w:w="0" w:type="dxa"/>
          <w:right w:w="108" w:type="dxa"/>
        </w:tblCellMar>
      </w:tblPr>
      <w:tblGrid>
        <w:gridCol w:w="929"/>
        <w:gridCol w:w="3082"/>
        <w:gridCol w:w="2462"/>
        <w:gridCol w:w="1272"/>
        <w:gridCol w:w="1269"/>
        <w:gridCol w:w="1387"/>
        <w:gridCol w:w="1367"/>
        <w:gridCol w:w="1367"/>
        <w:gridCol w:w="1367"/>
      </w:tblGrid>
      <w:tr w14:paraId="6D1920EA">
        <w:tblPrEx>
          <w:tblCellMar>
            <w:top w:w="0" w:type="dxa"/>
            <w:left w:w="108" w:type="dxa"/>
            <w:bottom w:w="0" w:type="dxa"/>
            <w:right w:w="108" w:type="dxa"/>
          </w:tblCellMar>
        </w:tblPrEx>
        <w:trPr>
          <w:trHeight w:val="330" w:hRule="atLeast"/>
          <w:tblHeader/>
        </w:trPr>
        <w:tc>
          <w:tcPr>
            <w:tcW w:w="929" w:type="dxa"/>
            <w:tcBorders>
              <w:top w:val="single" w:color="auto" w:sz="4" w:space="0"/>
              <w:left w:val="single" w:color="auto" w:sz="4" w:space="0"/>
              <w:bottom w:val="single" w:color="auto" w:sz="4" w:space="0"/>
              <w:right w:val="single" w:color="auto" w:sz="4" w:space="0"/>
            </w:tcBorders>
            <w:vAlign w:val="center"/>
          </w:tcPr>
          <w:p w14:paraId="1ED2789A">
            <w:pPr>
              <w:widowControl/>
              <w:jc w:val="center"/>
              <w:rPr>
                <w:b/>
                <w:kern w:val="0"/>
                <w:szCs w:val="21"/>
              </w:rPr>
            </w:pPr>
            <w:r>
              <w:rPr>
                <w:b/>
                <w:kern w:val="0"/>
                <w:szCs w:val="21"/>
              </w:rPr>
              <w:t>序号</w:t>
            </w:r>
          </w:p>
        </w:tc>
        <w:tc>
          <w:tcPr>
            <w:tcW w:w="3082" w:type="dxa"/>
            <w:tcBorders>
              <w:top w:val="single" w:color="auto" w:sz="4" w:space="0"/>
              <w:left w:val="nil"/>
              <w:bottom w:val="single" w:color="auto" w:sz="4" w:space="0"/>
              <w:right w:val="single" w:color="auto" w:sz="4" w:space="0"/>
            </w:tcBorders>
            <w:vAlign w:val="center"/>
          </w:tcPr>
          <w:p w14:paraId="0B697468">
            <w:pPr>
              <w:widowControl/>
              <w:jc w:val="center"/>
              <w:rPr>
                <w:b/>
                <w:kern w:val="0"/>
                <w:szCs w:val="21"/>
              </w:rPr>
            </w:pPr>
            <w:r>
              <w:rPr>
                <w:b/>
                <w:kern w:val="0"/>
                <w:szCs w:val="21"/>
              </w:rPr>
              <w:t>参数类型</w:t>
            </w:r>
          </w:p>
        </w:tc>
        <w:tc>
          <w:tcPr>
            <w:tcW w:w="2462" w:type="dxa"/>
            <w:tcBorders>
              <w:top w:val="single" w:color="auto" w:sz="4" w:space="0"/>
              <w:left w:val="nil"/>
              <w:bottom w:val="single" w:color="auto" w:sz="4" w:space="0"/>
              <w:right w:val="single" w:color="auto" w:sz="4" w:space="0"/>
            </w:tcBorders>
            <w:vAlign w:val="center"/>
          </w:tcPr>
          <w:p w14:paraId="67A35FB1">
            <w:pPr>
              <w:widowControl/>
              <w:jc w:val="center"/>
              <w:rPr>
                <w:b/>
                <w:kern w:val="0"/>
                <w:szCs w:val="21"/>
              </w:rPr>
            </w:pPr>
            <w:r>
              <w:rPr>
                <w:b/>
                <w:kern w:val="0"/>
                <w:szCs w:val="21"/>
              </w:rPr>
              <w:t>标准参数值</w:t>
            </w:r>
          </w:p>
        </w:tc>
        <w:tc>
          <w:tcPr>
            <w:tcW w:w="1272" w:type="dxa"/>
            <w:tcBorders>
              <w:top w:val="single" w:color="auto" w:sz="4" w:space="0"/>
              <w:left w:val="nil"/>
              <w:bottom w:val="single" w:color="auto" w:sz="4" w:space="0"/>
              <w:right w:val="single" w:color="auto" w:sz="4" w:space="0"/>
            </w:tcBorders>
            <w:vAlign w:val="center"/>
          </w:tcPr>
          <w:p w14:paraId="019B060F">
            <w:pPr>
              <w:widowControl/>
              <w:jc w:val="center"/>
              <w:rPr>
                <w:b/>
                <w:kern w:val="0"/>
                <w:szCs w:val="21"/>
              </w:rPr>
            </w:pPr>
            <w:r>
              <w:rPr>
                <w:b/>
                <w:kern w:val="0"/>
                <w:szCs w:val="21"/>
              </w:rPr>
              <w:t>标准值特性</w:t>
            </w:r>
          </w:p>
        </w:tc>
        <w:tc>
          <w:tcPr>
            <w:tcW w:w="1269" w:type="dxa"/>
            <w:tcBorders>
              <w:top w:val="single" w:color="auto" w:sz="4" w:space="0"/>
              <w:left w:val="nil"/>
              <w:bottom w:val="single" w:color="auto" w:sz="4" w:space="0"/>
              <w:right w:val="single" w:color="auto" w:sz="4" w:space="0"/>
            </w:tcBorders>
            <w:vAlign w:val="center"/>
          </w:tcPr>
          <w:p w14:paraId="3344317C">
            <w:pPr>
              <w:widowControl/>
              <w:jc w:val="center"/>
              <w:rPr>
                <w:b/>
                <w:kern w:val="0"/>
                <w:szCs w:val="21"/>
              </w:rPr>
            </w:pPr>
            <w:r>
              <w:rPr>
                <w:b/>
                <w:kern w:val="0"/>
                <w:szCs w:val="21"/>
              </w:rPr>
              <w:t>项目单位要求值</w:t>
            </w:r>
          </w:p>
        </w:tc>
        <w:tc>
          <w:tcPr>
            <w:tcW w:w="1387" w:type="dxa"/>
            <w:tcBorders>
              <w:top w:val="single" w:color="auto" w:sz="4" w:space="0"/>
              <w:left w:val="nil"/>
              <w:bottom w:val="single" w:color="auto" w:sz="4" w:space="0"/>
              <w:right w:val="single" w:color="auto" w:sz="4" w:space="0"/>
            </w:tcBorders>
            <w:vAlign w:val="center"/>
          </w:tcPr>
          <w:p w14:paraId="5A2B3930">
            <w:pPr>
              <w:widowControl/>
              <w:jc w:val="center"/>
              <w:rPr>
                <w:b/>
                <w:kern w:val="0"/>
                <w:szCs w:val="21"/>
              </w:rPr>
            </w:pPr>
            <w:r>
              <w:rPr>
                <w:b/>
                <w:kern w:val="0"/>
                <w:szCs w:val="21"/>
              </w:rPr>
              <w:t>投标方响应值</w:t>
            </w:r>
          </w:p>
        </w:tc>
        <w:tc>
          <w:tcPr>
            <w:tcW w:w="1367" w:type="dxa"/>
            <w:tcBorders>
              <w:top w:val="single" w:color="auto" w:sz="4" w:space="0"/>
              <w:left w:val="nil"/>
              <w:bottom w:val="single" w:color="auto" w:sz="4" w:space="0"/>
              <w:right w:val="single" w:color="auto" w:sz="4" w:space="0"/>
            </w:tcBorders>
            <w:vAlign w:val="center"/>
          </w:tcPr>
          <w:p w14:paraId="473DD54B">
            <w:pPr>
              <w:widowControl/>
              <w:jc w:val="center"/>
              <w:rPr>
                <w:bCs/>
                <w:kern w:val="0"/>
                <w:szCs w:val="21"/>
              </w:rPr>
            </w:pPr>
            <w:r>
              <w:rPr>
                <w:rFonts w:hint="eastAsia" w:ascii="宋体" w:hAnsi="宋体"/>
                <w:b/>
                <w:kern w:val="0"/>
                <w:szCs w:val="21"/>
              </w:rPr>
              <w:t>证明材料</w:t>
            </w:r>
          </w:p>
        </w:tc>
        <w:tc>
          <w:tcPr>
            <w:tcW w:w="1367" w:type="dxa"/>
            <w:tcBorders>
              <w:top w:val="single" w:color="auto" w:sz="4" w:space="0"/>
              <w:left w:val="nil"/>
              <w:bottom w:val="single" w:color="auto" w:sz="4" w:space="0"/>
              <w:right w:val="single" w:color="auto" w:sz="4" w:space="0"/>
            </w:tcBorders>
            <w:vAlign w:val="center"/>
          </w:tcPr>
          <w:p w14:paraId="2A2C8127">
            <w:pPr>
              <w:widowControl/>
              <w:jc w:val="center"/>
              <w:rPr>
                <w:bCs/>
                <w:kern w:val="0"/>
                <w:szCs w:val="21"/>
              </w:rPr>
            </w:pPr>
            <w:r>
              <w:rPr>
                <w:rFonts w:hint="eastAsia" w:ascii="宋体" w:hAnsi="宋体"/>
                <w:b/>
                <w:kern w:val="0"/>
                <w:szCs w:val="21"/>
              </w:rPr>
              <w:t>偏差说明</w:t>
            </w:r>
          </w:p>
        </w:tc>
        <w:tc>
          <w:tcPr>
            <w:tcW w:w="1367" w:type="dxa"/>
            <w:tcBorders>
              <w:top w:val="single" w:color="auto" w:sz="4" w:space="0"/>
              <w:left w:val="nil"/>
              <w:bottom w:val="single" w:color="auto" w:sz="4" w:space="0"/>
              <w:right w:val="single" w:color="auto" w:sz="4" w:space="0"/>
            </w:tcBorders>
            <w:vAlign w:val="center"/>
          </w:tcPr>
          <w:p w14:paraId="08638605">
            <w:pPr>
              <w:widowControl/>
              <w:jc w:val="center"/>
              <w:rPr>
                <w:bCs/>
                <w:kern w:val="0"/>
                <w:szCs w:val="21"/>
              </w:rPr>
            </w:pPr>
            <w:r>
              <w:rPr>
                <w:rFonts w:hint="eastAsia" w:ascii="宋体" w:hAnsi="宋体"/>
                <w:b/>
                <w:kern w:val="0"/>
                <w:szCs w:val="21"/>
              </w:rPr>
              <w:t>评标专家审核</w:t>
            </w:r>
          </w:p>
        </w:tc>
      </w:tr>
      <w:tr w14:paraId="5AADA470">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7810AC90">
            <w:pPr>
              <w:autoSpaceDE w:val="0"/>
              <w:autoSpaceDN w:val="0"/>
              <w:adjustRightInd w:val="0"/>
              <w:jc w:val="center"/>
              <w:rPr>
                <w:kern w:val="0"/>
                <w:szCs w:val="21"/>
              </w:rPr>
            </w:pPr>
            <w:r>
              <w:rPr>
                <w:kern w:val="0"/>
                <w:szCs w:val="21"/>
              </w:rPr>
              <w:t>1</w:t>
            </w:r>
          </w:p>
        </w:tc>
        <w:tc>
          <w:tcPr>
            <w:tcW w:w="3082" w:type="dxa"/>
            <w:tcBorders>
              <w:top w:val="nil"/>
              <w:left w:val="nil"/>
              <w:bottom w:val="single" w:color="auto" w:sz="4" w:space="0"/>
              <w:right w:val="single" w:color="auto" w:sz="4" w:space="0"/>
            </w:tcBorders>
            <w:vAlign w:val="center"/>
          </w:tcPr>
          <w:p w14:paraId="32B8FE62">
            <w:pPr>
              <w:autoSpaceDE w:val="0"/>
              <w:autoSpaceDN w:val="0"/>
              <w:adjustRightInd w:val="0"/>
              <w:jc w:val="left"/>
              <w:rPr>
                <w:kern w:val="0"/>
                <w:szCs w:val="21"/>
              </w:rPr>
            </w:pPr>
            <w:r>
              <w:rPr>
                <w:rFonts w:hint="eastAsia"/>
                <w:kern w:val="0"/>
                <w:szCs w:val="21"/>
              </w:rPr>
              <w:t>密度（g/cm</w:t>
            </w:r>
            <w:r>
              <w:rPr>
                <w:rFonts w:hint="eastAsia"/>
                <w:kern w:val="0"/>
                <w:szCs w:val="21"/>
                <w:vertAlign w:val="superscript"/>
              </w:rPr>
              <w:t>3</w:t>
            </w:r>
            <w:r>
              <w:rPr>
                <w:rFonts w:hint="eastAsia"/>
                <w:kern w:val="0"/>
                <w:szCs w:val="21"/>
              </w:rPr>
              <w:t>）</w:t>
            </w:r>
          </w:p>
        </w:tc>
        <w:tc>
          <w:tcPr>
            <w:tcW w:w="2462" w:type="dxa"/>
            <w:tcBorders>
              <w:top w:val="nil"/>
              <w:left w:val="nil"/>
              <w:bottom w:val="single" w:color="auto" w:sz="4" w:space="0"/>
              <w:right w:val="single" w:color="auto" w:sz="4" w:space="0"/>
            </w:tcBorders>
            <w:vAlign w:val="center"/>
          </w:tcPr>
          <w:p w14:paraId="7E03C8FE">
            <w:pPr>
              <w:autoSpaceDE w:val="0"/>
              <w:autoSpaceDN w:val="0"/>
              <w:adjustRightInd w:val="0"/>
              <w:ind w:left="-144" w:right="-150"/>
              <w:jc w:val="center"/>
              <w:rPr>
                <w:kern w:val="0"/>
                <w:szCs w:val="21"/>
              </w:rPr>
            </w:pPr>
            <w:r>
              <w:rPr>
                <w:rFonts w:hint="eastAsia"/>
                <w:kern w:val="0"/>
                <w:szCs w:val="21"/>
              </w:rPr>
              <w:t>≤1.15</w:t>
            </w:r>
          </w:p>
        </w:tc>
        <w:tc>
          <w:tcPr>
            <w:tcW w:w="1272" w:type="dxa"/>
            <w:tcBorders>
              <w:top w:val="nil"/>
              <w:left w:val="nil"/>
              <w:bottom w:val="single" w:color="auto" w:sz="4" w:space="0"/>
              <w:right w:val="single" w:color="auto" w:sz="4" w:space="0"/>
            </w:tcBorders>
            <w:vAlign w:val="center"/>
          </w:tcPr>
          <w:p w14:paraId="7242BED8">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05A04701">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vAlign w:val="center"/>
          </w:tcPr>
          <w:p w14:paraId="70D09F71">
            <w:pPr>
              <w:widowControl/>
              <w:jc w:val="left"/>
              <w:rPr>
                <w:kern w:val="0"/>
                <w:szCs w:val="21"/>
              </w:rPr>
            </w:pPr>
            <w:r>
              <w:rPr>
                <w:rFonts w:hint="eastAsia" w:ascii="宋体" w:hAnsi="宋体"/>
                <w:bCs/>
                <w:kern w:val="0"/>
                <w:szCs w:val="21"/>
              </w:rPr>
              <w:t>投标方填写（数值</w:t>
            </w:r>
            <w:r>
              <w:rPr>
                <w:rFonts w:ascii="宋体" w:hAnsi="宋体"/>
                <w:bCs/>
                <w:kern w:val="0"/>
                <w:szCs w:val="21"/>
              </w:rPr>
              <w:t>型</w:t>
            </w:r>
            <w:r>
              <w:rPr>
                <w:rFonts w:hint="eastAsia" w:ascii="宋体" w:hAnsi="宋体"/>
                <w:bCs/>
                <w:kern w:val="0"/>
                <w:szCs w:val="21"/>
              </w:rPr>
              <w:t>）</w:t>
            </w:r>
          </w:p>
        </w:tc>
        <w:tc>
          <w:tcPr>
            <w:tcW w:w="1367" w:type="dxa"/>
            <w:tcBorders>
              <w:top w:val="nil"/>
              <w:left w:val="nil"/>
              <w:bottom w:val="single" w:color="auto" w:sz="4" w:space="0"/>
              <w:right w:val="single" w:color="auto" w:sz="4" w:space="0"/>
            </w:tcBorders>
            <w:vAlign w:val="center"/>
          </w:tcPr>
          <w:p w14:paraId="0E81A718">
            <w:pPr>
              <w:widowControl/>
              <w:jc w:val="left"/>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1EF3ECB5">
            <w:pPr>
              <w:widowControl/>
              <w:jc w:val="left"/>
              <w:rPr>
                <w:kern w:val="0"/>
                <w:szCs w:val="21"/>
              </w:rPr>
            </w:pPr>
          </w:p>
        </w:tc>
        <w:tc>
          <w:tcPr>
            <w:tcW w:w="1367" w:type="dxa"/>
            <w:tcBorders>
              <w:top w:val="nil"/>
              <w:left w:val="nil"/>
              <w:bottom w:val="single" w:color="auto" w:sz="4" w:space="0"/>
              <w:right w:val="single" w:color="auto" w:sz="4" w:space="0"/>
            </w:tcBorders>
            <w:vAlign w:val="center"/>
          </w:tcPr>
          <w:p w14:paraId="0ECC9CF2">
            <w:pPr>
              <w:widowControl/>
              <w:jc w:val="left"/>
              <w:rPr>
                <w:kern w:val="0"/>
                <w:szCs w:val="21"/>
              </w:rPr>
            </w:pPr>
          </w:p>
        </w:tc>
      </w:tr>
      <w:tr w14:paraId="042218F1">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528A4330">
            <w:pPr>
              <w:autoSpaceDE w:val="0"/>
              <w:autoSpaceDN w:val="0"/>
              <w:adjustRightInd w:val="0"/>
              <w:jc w:val="center"/>
              <w:rPr>
                <w:kern w:val="0"/>
                <w:szCs w:val="21"/>
              </w:rPr>
            </w:pPr>
            <w:r>
              <w:rPr>
                <w:rFonts w:hint="eastAsia"/>
                <w:kern w:val="0"/>
                <w:szCs w:val="21"/>
              </w:rPr>
              <w:t>2</w:t>
            </w:r>
          </w:p>
        </w:tc>
        <w:tc>
          <w:tcPr>
            <w:tcW w:w="3082" w:type="dxa"/>
            <w:tcBorders>
              <w:top w:val="nil"/>
              <w:left w:val="nil"/>
              <w:bottom w:val="single" w:color="auto" w:sz="4" w:space="0"/>
              <w:right w:val="single" w:color="auto" w:sz="4" w:space="0"/>
            </w:tcBorders>
            <w:vAlign w:val="center"/>
          </w:tcPr>
          <w:p w14:paraId="1D4074DC">
            <w:pPr>
              <w:autoSpaceDE w:val="0"/>
              <w:autoSpaceDN w:val="0"/>
              <w:adjustRightInd w:val="0"/>
              <w:jc w:val="left"/>
              <w:rPr>
                <w:kern w:val="0"/>
                <w:sz w:val="22"/>
                <w:szCs w:val="22"/>
              </w:rPr>
            </w:pPr>
            <w:r>
              <w:rPr>
                <w:rFonts w:hint="eastAsia"/>
                <w:szCs w:val="21"/>
              </w:rPr>
              <w:t>抗张</w:t>
            </w:r>
            <w:r>
              <w:rPr>
                <w:szCs w:val="21"/>
              </w:rPr>
              <w:t>强度</w:t>
            </w:r>
            <w:r>
              <w:rPr>
                <w:rFonts w:hint="eastAsia" w:ascii="宋体" w:cs="宋体"/>
                <w:kern w:val="0"/>
                <w:szCs w:val="21"/>
                <w:lang w:val="zh-CN"/>
              </w:rPr>
              <w:t>（</w:t>
            </w:r>
            <w:r>
              <w:rPr>
                <w:kern w:val="0"/>
                <w:szCs w:val="21"/>
              </w:rPr>
              <w:t>MPa</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4CCFEF64">
            <w:pPr>
              <w:autoSpaceDE w:val="0"/>
              <w:autoSpaceDN w:val="0"/>
              <w:adjustRightInd w:val="0"/>
              <w:ind w:left="-144" w:right="-150"/>
              <w:jc w:val="center"/>
              <w:rPr>
                <w:kern w:val="0"/>
                <w:szCs w:val="21"/>
              </w:rPr>
            </w:pPr>
            <w:r>
              <w:rPr>
                <w:kern w:val="0"/>
                <w:szCs w:val="21"/>
              </w:rPr>
              <w:t>≥1</w:t>
            </w:r>
            <w:r>
              <w:rPr>
                <w:rFonts w:hint="eastAsia"/>
                <w:kern w:val="0"/>
                <w:szCs w:val="21"/>
              </w:rPr>
              <w:t>2.5</w:t>
            </w:r>
          </w:p>
        </w:tc>
        <w:tc>
          <w:tcPr>
            <w:tcW w:w="1272" w:type="dxa"/>
            <w:tcBorders>
              <w:top w:val="nil"/>
              <w:left w:val="nil"/>
              <w:bottom w:val="single" w:color="auto" w:sz="4" w:space="0"/>
              <w:right w:val="single" w:color="auto" w:sz="4" w:space="0"/>
            </w:tcBorders>
            <w:vAlign w:val="center"/>
          </w:tcPr>
          <w:p w14:paraId="601FB681">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3BA95146">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vAlign w:val="center"/>
          </w:tcPr>
          <w:p w14:paraId="699FBF2C">
            <w:pPr>
              <w:widowControl/>
              <w:jc w:val="left"/>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3075E589">
            <w:pPr>
              <w:widowControl/>
              <w:jc w:val="left"/>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35F3777C">
            <w:pPr>
              <w:widowControl/>
              <w:jc w:val="left"/>
              <w:rPr>
                <w:kern w:val="0"/>
                <w:szCs w:val="21"/>
              </w:rPr>
            </w:pPr>
          </w:p>
        </w:tc>
        <w:tc>
          <w:tcPr>
            <w:tcW w:w="1367" w:type="dxa"/>
            <w:tcBorders>
              <w:top w:val="nil"/>
              <w:left w:val="nil"/>
              <w:bottom w:val="single" w:color="auto" w:sz="4" w:space="0"/>
              <w:right w:val="single" w:color="auto" w:sz="4" w:space="0"/>
            </w:tcBorders>
            <w:vAlign w:val="center"/>
          </w:tcPr>
          <w:p w14:paraId="583BAB29">
            <w:pPr>
              <w:widowControl/>
              <w:jc w:val="left"/>
              <w:rPr>
                <w:kern w:val="0"/>
                <w:szCs w:val="21"/>
              </w:rPr>
            </w:pPr>
          </w:p>
        </w:tc>
      </w:tr>
      <w:tr w14:paraId="2FA7906D">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2B238F3F">
            <w:pPr>
              <w:autoSpaceDE w:val="0"/>
              <w:autoSpaceDN w:val="0"/>
              <w:adjustRightInd w:val="0"/>
              <w:jc w:val="center"/>
              <w:rPr>
                <w:kern w:val="0"/>
                <w:szCs w:val="21"/>
              </w:rPr>
            </w:pPr>
            <w:r>
              <w:rPr>
                <w:rFonts w:hint="eastAsia"/>
                <w:kern w:val="0"/>
                <w:szCs w:val="21"/>
              </w:rPr>
              <w:t>3</w:t>
            </w:r>
          </w:p>
        </w:tc>
        <w:tc>
          <w:tcPr>
            <w:tcW w:w="3082" w:type="dxa"/>
            <w:tcBorders>
              <w:top w:val="nil"/>
              <w:left w:val="nil"/>
              <w:bottom w:val="single" w:color="auto" w:sz="4" w:space="0"/>
              <w:right w:val="single" w:color="auto" w:sz="4" w:space="0"/>
            </w:tcBorders>
            <w:vAlign w:val="center"/>
          </w:tcPr>
          <w:p w14:paraId="0E3B387C">
            <w:pPr>
              <w:autoSpaceDE w:val="0"/>
              <w:autoSpaceDN w:val="0"/>
              <w:adjustRightInd w:val="0"/>
              <w:jc w:val="left"/>
              <w:rPr>
                <w:kern w:val="0"/>
                <w:szCs w:val="21"/>
              </w:rPr>
            </w:pPr>
            <w:r>
              <w:rPr>
                <w:szCs w:val="21"/>
              </w:rPr>
              <w:t>断裂伸长率</w:t>
            </w:r>
            <w:r>
              <w:rPr>
                <w:rFonts w:hint="eastAsia" w:ascii="宋体" w:cs="宋体"/>
                <w:kern w:val="0"/>
                <w:szCs w:val="21"/>
                <w:lang w:val="zh-CN"/>
              </w:rPr>
              <w:t>（</w:t>
            </w:r>
            <w:r>
              <w:rPr>
                <w:kern w:val="0"/>
                <w:szCs w:val="21"/>
              </w:rPr>
              <w:t>%</w:t>
            </w:r>
            <w:r>
              <w:rPr>
                <w:rFonts w:hint="eastAsia" w:ascii="宋体" w:cs="宋体"/>
                <w:kern w:val="0"/>
                <w:szCs w:val="21"/>
                <w:lang w:val="zh-CN"/>
              </w:rPr>
              <w:t>）</w:t>
            </w:r>
          </w:p>
        </w:tc>
        <w:tc>
          <w:tcPr>
            <w:tcW w:w="2462" w:type="dxa"/>
            <w:tcBorders>
              <w:top w:val="nil"/>
              <w:left w:val="nil"/>
              <w:bottom w:val="single" w:color="auto" w:sz="4" w:space="0"/>
              <w:right w:val="single" w:color="auto" w:sz="4" w:space="0"/>
            </w:tcBorders>
            <w:vAlign w:val="center"/>
          </w:tcPr>
          <w:p w14:paraId="10F2A34C">
            <w:pPr>
              <w:autoSpaceDE w:val="0"/>
              <w:autoSpaceDN w:val="0"/>
              <w:adjustRightInd w:val="0"/>
              <w:ind w:left="-144" w:right="-150"/>
              <w:jc w:val="center"/>
              <w:rPr>
                <w:kern w:val="0"/>
                <w:szCs w:val="21"/>
              </w:rPr>
            </w:pPr>
            <w:r>
              <w:rPr>
                <w:kern w:val="0"/>
                <w:szCs w:val="21"/>
              </w:rPr>
              <w:t>≥</w:t>
            </w:r>
            <w:r>
              <w:rPr>
                <w:rFonts w:hint="eastAsia"/>
                <w:kern w:val="0"/>
                <w:szCs w:val="21"/>
              </w:rPr>
              <w:t>300</w:t>
            </w:r>
          </w:p>
        </w:tc>
        <w:tc>
          <w:tcPr>
            <w:tcW w:w="1272" w:type="dxa"/>
            <w:tcBorders>
              <w:top w:val="nil"/>
              <w:left w:val="nil"/>
              <w:bottom w:val="single" w:color="auto" w:sz="4" w:space="0"/>
              <w:right w:val="single" w:color="auto" w:sz="4" w:space="0"/>
            </w:tcBorders>
            <w:vAlign w:val="center"/>
          </w:tcPr>
          <w:p w14:paraId="476F6191">
            <w:pPr>
              <w:autoSpaceDE w:val="0"/>
              <w:autoSpaceDN w:val="0"/>
              <w:adjustRightInd w:val="0"/>
              <w:jc w:val="left"/>
              <w:rPr>
                <w:kern w:val="0"/>
                <w:szCs w:val="21"/>
              </w:rPr>
            </w:pPr>
            <w:r>
              <w:rPr>
                <w:rFonts w:hint="eastAsia"/>
                <w:bCs/>
                <w:kern w:val="0"/>
                <w:szCs w:val="21"/>
              </w:rPr>
              <w:t>投标方响应</w:t>
            </w:r>
          </w:p>
        </w:tc>
        <w:tc>
          <w:tcPr>
            <w:tcW w:w="1269" w:type="dxa"/>
            <w:tcBorders>
              <w:top w:val="nil"/>
              <w:left w:val="nil"/>
              <w:bottom w:val="single" w:color="auto" w:sz="4" w:space="0"/>
              <w:right w:val="single" w:color="auto" w:sz="4" w:space="0"/>
            </w:tcBorders>
            <w:vAlign w:val="center"/>
          </w:tcPr>
          <w:p w14:paraId="16FED20B">
            <w:pPr>
              <w:widowControl/>
              <w:jc w:val="center"/>
              <w:rPr>
                <w:kern w:val="0"/>
                <w:szCs w:val="21"/>
              </w:rPr>
            </w:pPr>
            <w:r>
              <w:rPr>
                <w:rFonts w:hint="eastAsia" w:ascii="宋体" w:cs="宋体"/>
                <w:kern w:val="0"/>
                <w:szCs w:val="21"/>
              </w:rPr>
              <w:t>/</w:t>
            </w:r>
          </w:p>
        </w:tc>
        <w:tc>
          <w:tcPr>
            <w:tcW w:w="1387" w:type="dxa"/>
            <w:tcBorders>
              <w:top w:val="nil"/>
              <w:left w:val="nil"/>
              <w:bottom w:val="single" w:color="auto" w:sz="4" w:space="0"/>
              <w:right w:val="single" w:color="auto" w:sz="4" w:space="0"/>
            </w:tcBorders>
            <w:vAlign w:val="center"/>
          </w:tcPr>
          <w:p w14:paraId="48CCA5B8">
            <w:pPr>
              <w:widowControl/>
              <w:jc w:val="left"/>
              <w:rPr>
                <w:kern w:val="0"/>
                <w:szCs w:val="21"/>
              </w:rPr>
            </w:pPr>
            <w:r>
              <w:rPr>
                <w:rFonts w:hint="eastAsia"/>
                <w:kern w:val="0"/>
                <w:szCs w:val="21"/>
              </w:rPr>
              <w:t>投标方填写（数值型）</w:t>
            </w:r>
          </w:p>
        </w:tc>
        <w:tc>
          <w:tcPr>
            <w:tcW w:w="1367" w:type="dxa"/>
            <w:tcBorders>
              <w:top w:val="nil"/>
              <w:left w:val="nil"/>
              <w:bottom w:val="single" w:color="auto" w:sz="4" w:space="0"/>
              <w:right w:val="single" w:color="auto" w:sz="4" w:space="0"/>
            </w:tcBorders>
            <w:vAlign w:val="center"/>
          </w:tcPr>
          <w:p w14:paraId="6DFE66BF">
            <w:pPr>
              <w:widowControl/>
              <w:jc w:val="left"/>
              <w:rPr>
                <w:kern w:val="0"/>
                <w:szCs w:val="21"/>
              </w:rPr>
            </w:pPr>
            <w:r>
              <w:rPr>
                <w:rFonts w:hint="eastAsia"/>
                <w:szCs w:val="21"/>
              </w:rPr>
              <w:t>试验报告</w:t>
            </w:r>
          </w:p>
        </w:tc>
        <w:tc>
          <w:tcPr>
            <w:tcW w:w="1367" w:type="dxa"/>
            <w:tcBorders>
              <w:top w:val="nil"/>
              <w:left w:val="nil"/>
              <w:bottom w:val="single" w:color="auto" w:sz="4" w:space="0"/>
              <w:right w:val="single" w:color="auto" w:sz="4" w:space="0"/>
            </w:tcBorders>
            <w:vAlign w:val="center"/>
          </w:tcPr>
          <w:p w14:paraId="53B8A499">
            <w:pPr>
              <w:widowControl/>
              <w:jc w:val="left"/>
              <w:rPr>
                <w:kern w:val="0"/>
                <w:szCs w:val="21"/>
              </w:rPr>
            </w:pPr>
          </w:p>
        </w:tc>
        <w:tc>
          <w:tcPr>
            <w:tcW w:w="1367" w:type="dxa"/>
            <w:tcBorders>
              <w:top w:val="nil"/>
              <w:left w:val="nil"/>
              <w:bottom w:val="single" w:color="auto" w:sz="4" w:space="0"/>
              <w:right w:val="single" w:color="auto" w:sz="4" w:space="0"/>
            </w:tcBorders>
            <w:vAlign w:val="center"/>
          </w:tcPr>
          <w:p w14:paraId="6D8F5B1E">
            <w:pPr>
              <w:widowControl/>
              <w:jc w:val="left"/>
              <w:rPr>
                <w:kern w:val="0"/>
                <w:szCs w:val="21"/>
              </w:rPr>
            </w:pPr>
          </w:p>
        </w:tc>
      </w:tr>
      <w:tr w14:paraId="45AFDC2D">
        <w:tblPrEx>
          <w:tblCellMar>
            <w:top w:w="0" w:type="dxa"/>
            <w:left w:w="108" w:type="dxa"/>
            <w:bottom w:w="0" w:type="dxa"/>
            <w:right w:w="108" w:type="dxa"/>
          </w:tblCellMar>
        </w:tblPrEx>
        <w:trPr>
          <w:trHeight w:val="330" w:hRule="atLeast"/>
        </w:trPr>
        <w:tc>
          <w:tcPr>
            <w:tcW w:w="929" w:type="dxa"/>
            <w:tcBorders>
              <w:top w:val="nil"/>
              <w:left w:val="single" w:color="auto" w:sz="4" w:space="0"/>
              <w:bottom w:val="single" w:color="auto" w:sz="4" w:space="0"/>
              <w:right w:val="single" w:color="auto" w:sz="4" w:space="0"/>
            </w:tcBorders>
            <w:vAlign w:val="center"/>
          </w:tcPr>
          <w:p w14:paraId="4A5C6942">
            <w:pPr>
              <w:autoSpaceDE w:val="0"/>
              <w:autoSpaceDN w:val="0"/>
              <w:adjustRightInd w:val="0"/>
              <w:jc w:val="center"/>
              <w:rPr>
                <w:kern w:val="0"/>
                <w:szCs w:val="21"/>
              </w:rPr>
            </w:pPr>
            <w:r>
              <w:rPr>
                <w:rFonts w:hint="eastAsia"/>
                <w:kern w:val="0"/>
                <w:szCs w:val="21"/>
              </w:rPr>
              <w:t>4</w:t>
            </w:r>
          </w:p>
        </w:tc>
        <w:tc>
          <w:tcPr>
            <w:tcW w:w="13573" w:type="dxa"/>
            <w:gridSpan w:val="8"/>
            <w:tcBorders>
              <w:top w:val="nil"/>
              <w:left w:val="nil"/>
              <w:bottom w:val="single" w:color="auto" w:sz="4" w:space="0"/>
              <w:right w:val="single" w:color="auto" w:sz="4" w:space="0"/>
            </w:tcBorders>
            <w:vAlign w:val="center"/>
          </w:tcPr>
          <w:p w14:paraId="563EE3A4">
            <w:pPr>
              <w:widowControl/>
              <w:jc w:val="left"/>
              <w:rPr>
                <w:kern w:val="0"/>
                <w:szCs w:val="21"/>
              </w:rPr>
            </w:pPr>
            <w:r>
              <w:rPr>
                <w:rFonts w:hint="eastAsia"/>
                <w:kern w:val="0"/>
                <w:szCs w:val="21"/>
              </w:rPr>
              <w:t>空气热老化（100℃×168h）</w:t>
            </w:r>
          </w:p>
        </w:tc>
      </w:tr>
      <w:tr w14:paraId="62BDF9D8">
        <w:tblPrEx>
          <w:tblCellMar>
            <w:top w:w="0" w:type="dxa"/>
            <w:left w:w="108" w:type="dxa"/>
            <w:bottom w:w="0" w:type="dxa"/>
            <w:right w:w="108" w:type="dxa"/>
          </w:tblCellMar>
        </w:tblPrEx>
        <w:trPr>
          <w:trHeight w:val="330" w:hRule="atLeast"/>
        </w:trPr>
        <w:tc>
          <w:tcPr>
            <w:tcW w:w="929" w:type="dxa"/>
            <w:tcBorders>
              <w:top w:val="single" w:color="auto" w:sz="4" w:space="0"/>
              <w:left w:val="single" w:color="auto" w:sz="4" w:space="0"/>
              <w:bottom w:val="single" w:color="auto" w:sz="4" w:space="0"/>
              <w:right w:val="single" w:color="auto" w:sz="4" w:space="0"/>
            </w:tcBorders>
            <w:vAlign w:val="center"/>
          </w:tcPr>
          <w:p w14:paraId="069E7CC6">
            <w:pPr>
              <w:autoSpaceDE w:val="0"/>
              <w:autoSpaceDN w:val="0"/>
              <w:adjustRightInd w:val="0"/>
              <w:jc w:val="center"/>
              <w:rPr>
                <w:kern w:val="0"/>
                <w:szCs w:val="21"/>
              </w:rPr>
            </w:pPr>
            <w:r>
              <w:rPr>
                <w:rFonts w:hint="eastAsia"/>
                <w:kern w:val="0"/>
                <w:szCs w:val="21"/>
              </w:rPr>
              <w:t>4</w:t>
            </w:r>
            <w:r>
              <w:rPr>
                <w:kern w:val="0"/>
                <w:szCs w:val="21"/>
              </w:rPr>
              <w:t>.1</w:t>
            </w:r>
          </w:p>
        </w:tc>
        <w:tc>
          <w:tcPr>
            <w:tcW w:w="3082" w:type="dxa"/>
            <w:tcBorders>
              <w:top w:val="single" w:color="auto" w:sz="4" w:space="0"/>
              <w:left w:val="single" w:color="auto" w:sz="4" w:space="0"/>
              <w:bottom w:val="single" w:color="auto" w:sz="4" w:space="0"/>
              <w:right w:val="single" w:color="auto" w:sz="4" w:space="0"/>
            </w:tcBorders>
            <w:vAlign w:val="center"/>
          </w:tcPr>
          <w:p w14:paraId="092563EB">
            <w:pPr>
              <w:autoSpaceDE w:val="0"/>
              <w:autoSpaceDN w:val="0"/>
              <w:adjustRightInd w:val="0"/>
              <w:jc w:val="left"/>
              <w:rPr>
                <w:kern w:val="0"/>
                <w:szCs w:val="21"/>
              </w:rPr>
            </w:pPr>
            <w:r>
              <w:rPr>
                <w:rFonts w:hint="eastAsia"/>
                <w:szCs w:val="21"/>
              </w:rPr>
              <w:t>抗拉强度变化率</w:t>
            </w:r>
            <w:r>
              <w:rPr>
                <w:rFonts w:hint="eastAsia" w:ascii="宋体" w:cs="宋体"/>
                <w:kern w:val="0"/>
                <w:szCs w:val="21"/>
                <w:lang w:val="zh-CN"/>
              </w:rPr>
              <w:t>（</w:t>
            </w:r>
            <w:r>
              <w:rPr>
                <w:kern w:val="0"/>
                <w:szCs w:val="21"/>
              </w:rPr>
              <w:t>%</w:t>
            </w:r>
            <w:r>
              <w:rPr>
                <w:rFonts w:hint="eastAsia" w:ascii="宋体" w:cs="宋体"/>
                <w:kern w:val="0"/>
                <w:szCs w:val="21"/>
                <w:lang w:val="zh-CN"/>
              </w:rPr>
              <w:t>）</w:t>
            </w:r>
          </w:p>
        </w:tc>
        <w:tc>
          <w:tcPr>
            <w:tcW w:w="2462" w:type="dxa"/>
            <w:tcBorders>
              <w:top w:val="single" w:color="auto" w:sz="4" w:space="0"/>
              <w:left w:val="single" w:color="auto" w:sz="4" w:space="0"/>
              <w:bottom w:val="single" w:color="auto" w:sz="4" w:space="0"/>
              <w:right w:val="single" w:color="auto" w:sz="4" w:space="0"/>
            </w:tcBorders>
            <w:vAlign w:val="center"/>
          </w:tcPr>
          <w:p w14:paraId="7A76D362">
            <w:pPr>
              <w:tabs>
                <w:tab w:val="left" w:pos="197"/>
                <w:tab w:val="center" w:pos="372"/>
              </w:tabs>
              <w:autoSpaceDE w:val="0"/>
              <w:autoSpaceDN w:val="0"/>
              <w:adjustRightInd w:val="0"/>
              <w:ind w:left="-144" w:right="-150"/>
              <w:jc w:val="center"/>
              <w:rPr>
                <w:kern w:val="0"/>
                <w:szCs w:val="21"/>
              </w:rPr>
            </w:pPr>
            <w:r>
              <w:rPr>
                <w:szCs w:val="21"/>
              </w:rPr>
              <w:t>≥</w:t>
            </w:r>
            <w:r>
              <w:rPr>
                <w:rFonts w:hint="eastAsia"/>
                <w:szCs w:val="21"/>
              </w:rPr>
              <w:t>-</w:t>
            </w:r>
            <w:r>
              <w:rPr>
                <w:szCs w:val="21"/>
              </w:rPr>
              <w:t>2</w:t>
            </w:r>
            <w:r>
              <w:rPr>
                <w:rFonts w:hint="eastAsia"/>
                <w:szCs w:val="21"/>
              </w:rPr>
              <w:t>5且</w:t>
            </w:r>
            <w:r>
              <w:rPr>
                <w:szCs w:val="21"/>
              </w:rPr>
              <w:t>≤</w:t>
            </w:r>
            <w:r>
              <w:rPr>
                <w:rFonts w:hint="eastAsia"/>
                <w:szCs w:val="21"/>
              </w:rPr>
              <w:t>25</w:t>
            </w:r>
          </w:p>
        </w:tc>
        <w:tc>
          <w:tcPr>
            <w:tcW w:w="1272" w:type="dxa"/>
            <w:tcBorders>
              <w:top w:val="single" w:color="auto" w:sz="4" w:space="0"/>
              <w:left w:val="single" w:color="auto" w:sz="4" w:space="0"/>
              <w:bottom w:val="single" w:color="auto" w:sz="4" w:space="0"/>
              <w:right w:val="single" w:color="auto" w:sz="4" w:space="0"/>
            </w:tcBorders>
            <w:vAlign w:val="center"/>
          </w:tcPr>
          <w:p w14:paraId="3B984C77">
            <w:pPr>
              <w:autoSpaceDE w:val="0"/>
              <w:autoSpaceDN w:val="0"/>
              <w:adjustRightInd w:val="0"/>
              <w:jc w:val="left"/>
              <w:rPr>
                <w:kern w:val="0"/>
                <w:szCs w:val="21"/>
              </w:rPr>
            </w:pPr>
            <w:r>
              <w:rPr>
                <w:rFonts w:hint="eastAsia"/>
                <w:bCs/>
                <w:kern w:val="0"/>
                <w:szCs w:val="21"/>
              </w:rPr>
              <w:t>投标方响应</w:t>
            </w:r>
          </w:p>
        </w:tc>
        <w:tc>
          <w:tcPr>
            <w:tcW w:w="1269" w:type="dxa"/>
            <w:tcBorders>
              <w:top w:val="single" w:color="auto" w:sz="4" w:space="0"/>
              <w:left w:val="single" w:color="auto" w:sz="4" w:space="0"/>
              <w:bottom w:val="single" w:color="auto" w:sz="4" w:space="0"/>
              <w:right w:val="single" w:color="auto" w:sz="4" w:space="0"/>
            </w:tcBorders>
            <w:vAlign w:val="center"/>
          </w:tcPr>
          <w:p w14:paraId="5CBA406E">
            <w:pPr>
              <w:widowControl/>
              <w:jc w:val="center"/>
              <w:rPr>
                <w:kern w:val="0"/>
                <w:szCs w:val="21"/>
              </w:rPr>
            </w:pPr>
            <w:r>
              <w:rPr>
                <w:rFonts w:hint="eastAsia" w:ascii="宋体" w:cs="宋体"/>
                <w:kern w:val="0"/>
                <w:szCs w:val="21"/>
              </w:rPr>
              <w:t>/</w:t>
            </w:r>
          </w:p>
        </w:tc>
        <w:tc>
          <w:tcPr>
            <w:tcW w:w="1387" w:type="dxa"/>
            <w:tcBorders>
              <w:top w:val="single" w:color="auto" w:sz="4" w:space="0"/>
              <w:left w:val="single" w:color="auto" w:sz="4" w:space="0"/>
              <w:bottom w:val="single" w:color="auto" w:sz="4" w:space="0"/>
              <w:right w:val="single" w:color="auto" w:sz="4" w:space="0"/>
            </w:tcBorders>
            <w:vAlign w:val="center"/>
          </w:tcPr>
          <w:p w14:paraId="70469593">
            <w:pPr>
              <w:widowControl/>
              <w:jc w:val="left"/>
              <w:rPr>
                <w:kern w:val="0"/>
                <w:szCs w:val="21"/>
              </w:rPr>
            </w:pPr>
            <w:r>
              <w:rPr>
                <w:rFonts w:hint="eastAsia"/>
                <w:kern w:val="0"/>
                <w:szCs w:val="21"/>
              </w:rPr>
              <w:t>投标方填写（数值型）</w:t>
            </w:r>
          </w:p>
        </w:tc>
        <w:tc>
          <w:tcPr>
            <w:tcW w:w="1367" w:type="dxa"/>
            <w:tcBorders>
              <w:top w:val="single" w:color="auto" w:sz="4" w:space="0"/>
              <w:left w:val="single" w:color="auto" w:sz="4" w:space="0"/>
              <w:bottom w:val="single" w:color="auto" w:sz="4" w:space="0"/>
              <w:right w:val="single" w:color="auto" w:sz="4" w:space="0"/>
            </w:tcBorders>
            <w:vAlign w:val="center"/>
          </w:tcPr>
          <w:p w14:paraId="5EE50B88">
            <w:pPr>
              <w:widowControl/>
              <w:jc w:val="left"/>
              <w:rPr>
                <w:kern w:val="0"/>
                <w:szCs w:val="21"/>
              </w:rPr>
            </w:pPr>
            <w:r>
              <w:rPr>
                <w:rFonts w:hint="eastAsia"/>
                <w:szCs w:val="21"/>
              </w:rPr>
              <w:t>试验报告</w:t>
            </w:r>
          </w:p>
        </w:tc>
        <w:tc>
          <w:tcPr>
            <w:tcW w:w="1367" w:type="dxa"/>
            <w:tcBorders>
              <w:top w:val="single" w:color="auto" w:sz="4" w:space="0"/>
              <w:left w:val="single" w:color="auto" w:sz="4" w:space="0"/>
              <w:bottom w:val="single" w:color="auto" w:sz="4" w:space="0"/>
              <w:right w:val="single" w:color="auto" w:sz="4" w:space="0"/>
            </w:tcBorders>
            <w:vAlign w:val="center"/>
          </w:tcPr>
          <w:p w14:paraId="13F8463D">
            <w:pPr>
              <w:widowControl/>
              <w:jc w:val="left"/>
              <w:rPr>
                <w:kern w:val="0"/>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36AB3FDE">
            <w:pPr>
              <w:widowControl/>
              <w:jc w:val="left"/>
              <w:rPr>
                <w:kern w:val="0"/>
                <w:szCs w:val="21"/>
              </w:rPr>
            </w:pPr>
          </w:p>
        </w:tc>
      </w:tr>
      <w:tr w14:paraId="1F245A63">
        <w:tblPrEx>
          <w:tblCellMar>
            <w:top w:w="0" w:type="dxa"/>
            <w:left w:w="108" w:type="dxa"/>
            <w:bottom w:w="0" w:type="dxa"/>
            <w:right w:w="108" w:type="dxa"/>
          </w:tblCellMar>
        </w:tblPrEx>
        <w:trPr>
          <w:trHeight w:val="330" w:hRule="atLeast"/>
        </w:trPr>
        <w:tc>
          <w:tcPr>
            <w:tcW w:w="929" w:type="dxa"/>
            <w:tcBorders>
              <w:top w:val="single" w:color="auto" w:sz="4" w:space="0"/>
              <w:left w:val="single" w:color="auto" w:sz="4" w:space="0"/>
              <w:bottom w:val="single" w:color="auto" w:sz="4" w:space="0"/>
              <w:right w:val="single" w:color="auto" w:sz="4" w:space="0"/>
            </w:tcBorders>
            <w:vAlign w:val="center"/>
          </w:tcPr>
          <w:p w14:paraId="2D26B746">
            <w:pPr>
              <w:autoSpaceDE w:val="0"/>
              <w:autoSpaceDN w:val="0"/>
              <w:adjustRightInd w:val="0"/>
              <w:jc w:val="center"/>
              <w:rPr>
                <w:kern w:val="0"/>
                <w:szCs w:val="21"/>
              </w:rPr>
            </w:pPr>
            <w:r>
              <w:rPr>
                <w:rFonts w:hint="eastAsia"/>
                <w:kern w:val="0"/>
                <w:szCs w:val="21"/>
              </w:rPr>
              <w:t>4</w:t>
            </w:r>
            <w:r>
              <w:rPr>
                <w:kern w:val="0"/>
                <w:szCs w:val="21"/>
              </w:rPr>
              <w:t>.2</w:t>
            </w:r>
          </w:p>
        </w:tc>
        <w:tc>
          <w:tcPr>
            <w:tcW w:w="3082" w:type="dxa"/>
            <w:tcBorders>
              <w:top w:val="single" w:color="auto" w:sz="4" w:space="0"/>
              <w:left w:val="single" w:color="auto" w:sz="4" w:space="0"/>
              <w:bottom w:val="single" w:color="auto" w:sz="4" w:space="0"/>
              <w:right w:val="single" w:color="auto" w:sz="4" w:space="0"/>
            </w:tcBorders>
            <w:vAlign w:val="center"/>
          </w:tcPr>
          <w:p w14:paraId="4151D02C">
            <w:pPr>
              <w:autoSpaceDE w:val="0"/>
              <w:autoSpaceDN w:val="0"/>
              <w:adjustRightInd w:val="0"/>
              <w:jc w:val="left"/>
              <w:rPr>
                <w:kern w:val="0"/>
                <w:szCs w:val="21"/>
              </w:rPr>
            </w:pPr>
            <w:r>
              <w:rPr>
                <w:rFonts w:hint="eastAsia" w:ascii="宋体" w:cs="宋体"/>
                <w:kern w:val="0"/>
                <w:szCs w:val="21"/>
                <w:lang w:val="zh-CN"/>
              </w:rPr>
              <w:t>断裂伸长率变化率（</w:t>
            </w:r>
            <w:r>
              <w:rPr>
                <w:kern w:val="0"/>
                <w:szCs w:val="21"/>
              </w:rPr>
              <w:t>%</w:t>
            </w:r>
            <w:r>
              <w:rPr>
                <w:rFonts w:hint="eastAsia" w:ascii="宋体" w:cs="宋体"/>
                <w:kern w:val="0"/>
                <w:szCs w:val="21"/>
                <w:lang w:val="zh-CN"/>
              </w:rPr>
              <w:t>）</w:t>
            </w:r>
          </w:p>
        </w:tc>
        <w:tc>
          <w:tcPr>
            <w:tcW w:w="2462" w:type="dxa"/>
            <w:tcBorders>
              <w:top w:val="single" w:color="auto" w:sz="4" w:space="0"/>
              <w:left w:val="single" w:color="auto" w:sz="4" w:space="0"/>
              <w:bottom w:val="single" w:color="auto" w:sz="4" w:space="0"/>
              <w:right w:val="single" w:color="auto" w:sz="4" w:space="0"/>
            </w:tcBorders>
            <w:vAlign w:val="center"/>
          </w:tcPr>
          <w:p w14:paraId="7AABF65B">
            <w:pPr>
              <w:autoSpaceDE w:val="0"/>
              <w:autoSpaceDN w:val="0"/>
              <w:adjustRightInd w:val="0"/>
              <w:ind w:left="-144" w:right="-150"/>
              <w:jc w:val="center"/>
              <w:rPr>
                <w:kern w:val="0"/>
                <w:szCs w:val="21"/>
              </w:rPr>
            </w:pPr>
            <w:r>
              <w:rPr>
                <w:szCs w:val="21"/>
              </w:rPr>
              <w:t>≥</w:t>
            </w:r>
            <w:r>
              <w:rPr>
                <w:rFonts w:hint="eastAsia"/>
                <w:szCs w:val="21"/>
              </w:rPr>
              <w:t>-</w:t>
            </w:r>
            <w:r>
              <w:rPr>
                <w:szCs w:val="21"/>
              </w:rPr>
              <w:t>2</w:t>
            </w:r>
            <w:r>
              <w:rPr>
                <w:rFonts w:hint="eastAsia"/>
                <w:szCs w:val="21"/>
              </w:rPr>
              <w:t>5且</w:t>
            </w:r>
            <w:r>
              <w:rPr>
                <w:szCs w:val="21"/>
              </w:rPr>
              <w:t>≤</w:t>
            </w:r>
            <w:r>
              <w:rPr>
                <w:rFonts w:hint="eastAsia"/>
                <w:szCs w:val="21"/>
              </w:rPr>
              <w:t>25</w:t>
            </w:r>
          </w:p>
        </w:tc>
        <w:tc>
          <w:tcPr>
            <w:tcW w:w="1272" w:type="dxa"/>
            <w:tcBorders>
              <w:top w:val="single" w:color="auto" w:sz="4" w:space="0"/>
              <w:left w:val="single" w:color="auto" w:sz="4" w:space="0"/>
              <w:bottom w:val="single" w:color="auto" w:sz="4" w:space="0"/>
              <w:right w:val="single" w:color="auto" w:sz="4" w:space="0"/>
            </w:tcBorders>
            <w:vAlign w:val="center"/>
          </w:tcPr>
          <w:p w14:paraId="3217011D">
            <w:pPr>
              <w:autoSpaceDE w:val="0"/>
              <w:autoSpaceDN w:val="0"/>
              <w:adjustRightInd w:val="0"/>
              <w:jc w:val="left"/>
              <w:rPr>
                <w:kern w:val="0"/>
                <w:szCs w:val="21"/>
              </w:rPr>
            </w:pPr>
            <w:r>
              <w:rPr>
                <w:rFonts w:hint="eastAsia"/>
                <w:bCs/>
                <w:kern w:val="0"/>
                <w:szCs w:val="21"/>
              </w:rPr>
              <w:t>投标方响应</w:t>
            </w:r>
          </w:p>
        </w:tc>
        <w:tc>
          <w:tcPr>
            <w:tcW w:w="1269" w:type="dxa"/>
            <w:tcBorders>
              <w:top w:val="single" w:color="auto" w:sz="4" w:space="0"/>
              <w:left w:val="single" w:color="auto" w:sz="4" w:space="0"/>
              <w:bottom w:val="single" w:color="auto" w:sz="4" w:space="0"/>
              <w:right w:val="single" w:color="auto" w:sz="4" w:space="0"/>
            </w:tcBorders>
            <w:vAlign w:val="center"/>
          </w:tcPr>
          <w:p w14:paraId="37927959">
            <w:pPr>
              <w:widowControl/>
              <w:jc w:val="center"/>
              <w:rPr>
                <w:kern w:val="0"/>
                <w:szCs w:val="21"/>
              </w:rPr>
            </w:pPr>
            <w:r>
              <w:rPr>
                <w:rFonts w:hint="eastAsia" w:ascii="宋体" w:cs="宋体"/>
                <w:kern w:val="0"/>
                <w:szCs w:val="21"/>
              </w:rPr>
              <w:t>/</w:t>
            </w:r>
          </w:p>
        </w:tc>
        <w:tc>
          <w:tcPr>
            <w:tcW w:w="1387" w:type="dxa"/>
            <w:tcBorders>
              <w:top w:val="single" w:color="auto" w:sz="4" w:space="0"/>
              <w:left w:val="single" w:color="auto" w:sz="4" w:space="0"/>
              <w:bottom w:val="single" w:color="auto" w:sz="4" w:space="0"/>
              <w:right w:val="single" w:color="auto" w:sz="4" w:space="0"/>
            </w:tcBorders>
            <w:vAlign w:val="center"/>
          </w:tcPr>
          <w:p w14:paraId="09460D93">
            <w:pPr>
              <w:widowControl/>
              <w:jc w:val="left"/>
              <w:rPr>
                <w:kern w:val="0"/>
                <w:szCs w:val="21"/>
              </w:rPr>
            </w:pPr>
            <w:r>
              <w:rPr>
                <w:rFonts w:hint="eastAsia"/>
                <w:kern w:val="0"/>
                <w:szCs w:val="21"/>
              </w:rPr>
              <w:t>投标方填写（数值型）</w:t>
            </w:r>
          </w:p>
        </w:tc>
        <w:tc>
          <w:tcPr>
            <w:tcW w:w="1367" w:type="dxa"/>
            <w:tcBorders>
              <w:top w:val="single" w:color="auto" w:sz="4" w:space="0"/>
              <w:left w:val="single" w:color="auto" w:sz="4" w:space="0"/>
              <w:bottom w:val="single" w:color="auto" w:sz="4" w:space="0"/>
              <w:right w:val="single" w:color="auto" w:sz="4" w:space="0"/>
            </w:tcBorders>
            <w:vAlign w:val="center"/>
          </w:tcPr>
          <w:p w14:paraId="5F836364">
            <w:pPr>
              <w:widowControl/>
              <w:jc w:val="left"/>
              <w:rPr>
                <w:kern w:val="0"/>
                <w:szCs w:val="21"/>
              </w:rPr>
            </w:pPr>
            <w:r>
              <w:rPr>
                <w:rFonts w:hint="eastAsia"/>
                <w:szCs w:val="21"/>
              </w:rPr>
              <w:t>试验报告</w:t>
            </w:r>
          </w:p>
        </w:tc>
        <w:tc>
          <w:tcPr>
            <w:tcW w:w="1367" w:type="dxa"/>
            <w:tcBorders>
              <w:top w:val="single" w:color="auto" w:sz="4" w:space="0"/>
              <w:left w:val="single" w:color="auto" w:sz="4" w:space="0"/>
              <w:bottom w:val="single" w:color="auto" w:sz="4" w:space="0"/>
              <w:right w:val="single" w:color="auto" w:sz="4" w:space="0"/>
            </w:tcBorders>
            <w:vAlign w:val="center"/>
          </w:tcPr>
          <w:p w14:paraId="4E88ECDC">
            <w:pPr>
              <w:widowControl/>
              <w:jc w:val="left"/>
              <w:rPr>
                <w:kern w:val="0"/>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75F3A596">
            <w:pPr>
              <w:widowControl/>
              <w:jc w:val="left"/>
              <w:rPr>
                <w:kern w:val="0"/>
                <w:szCs w:val="21"/>
              </w:rPr>
            </w:pPr>
          </w:p>
        </w:tc>
      </w:tr>
      <w:tr w14:paraId="2CF442E8">
        <w:tblPrEx>
          <w:tblCellMar>
            <w:top w:w="0" w:type="dxa"/>
            <w:left w:w="108" w:type="dxa"/>
            <w:bottom w:w="0" w:type="dxa"/>
            <w:right w:w="108" w:type="dxa"/>
          </w:tblCellMar>
        </w:tblPrEx>
        <w:trPr>
          <w:trHeight w:val="330" w:hRule="atLeast"/>
        </w:trPr>
        <w:tc>
          <w:tcPr>
            <w:tcW w:w="929" w:type="dxa"/>
            <w:tcBorders>
              <w:top w:val="single" w:color="auto" w:sz="4" w:space="0"/>
              <w:left w:val="single" w:color="auto" w:sz="4" w:space="0"/>
              <w:bottom w:val="single" w:color="auto" w:sz="4" w:space="0"/>
              <w:right w:val="single" w:color="auto" w:sz="4" w:space="0"/>
            </w:tcBorders>
            <w:vAlign w:val="center"/>
          </w:tcPr>
          <w:p w14:paraId="50AC5B36">
            <w:pPr>
              <w:autoSpaceDE w:val="0"/>
              <w:autoSpaceDN w:val="0"/>
              <w:adjustRightInd w:val="0"/>
              <w:jc w:val="center"/>
              <w:rPr>
                <w:kern w:val="0"/>
                <w:szCs w:val="21"/>
              </w:rPr>
            </w:pPr>
            <w:r>
              <w:rPr>
                <w:rFonts w:hint="eastAsia"/>
                <w:kern w:val="0"/>
                <w:szCs w:val="21"/>
              </w:rPr>
              <w:t>5</w:t>
            </w:r>
          </w:p>
        </w:tc>
        <w:tc>
          <w:tcPr>
            <w:tcW w:w="3082" w:type="dxa"/>
            <w:tcBorders>
              <w:top w:val="single" w:color="auto" w:sz="4" w:space="0"/>
              <w:left w:val="single" w:color="auto" w:sz="4" w:space="0"/>
              <w:bottom w:val="single" w:color="auto" w:sz="4" w:space="0"/>
              <w:right w:val="single" w:color="auto" w:sz="4" w:space="0"/>
            </w:tcBorders>
            <w:vAlign w:val="center"/>
          </w:tcPr>
          <w:p w14:paraId="7F33F8E3">
            <w:pPr>
              <w:autoSpaceDE w:val="0"/>
              <w:autoSpaceDN w:val="0"/>
              <w:adjustRightInd w:val="0"/>
              <w:jc w:val="left"/>
              <w:rPr>
                <w:kern w:val="0"/>
                <w:szCs w:val="21"/>
              </w:rPr>
            </w:pPr>
            <w:r>
              <w:rPr>
                <w:szCs w:val="21"/>
              </w:rPr>
              <w:t>23℃时体积电阻率</w:t>
            </w:r>
            <w:r>
              <w:rPr>
                <w:rFonts w:hint="eastAsia" w:ascii="宋体" w:cs="宋体"/>
                <w:kern w:val="0"/>
                <w:szCs w:val="21"/>
                <w:lang w:val="zh-CN"/>
              </w:rPr>
              <w:t>（</w:t>
            </w:r>
            <w:r>
              <w:rPr>
                <w:kern w:val="0"/>
                <w:szCs w:val="21"/>
              </w:rPr>
              <w:t>Ω·</w:t>
            </w:r>
            <w:r>
              <w:rPr>
                <w:rFonts w:hint="eastAsia"/>
                <w:kern w:val="0"/>
                <w:szCs w:val="21"/>
              </w:rPr>
              <w:t>m</w:t>
            </w:r>
            <w:r>
              <w:rPr>
                <w:rFonts w:hint="eastAsia" w:ascii="宋体" w:cs="宋体"/>
                <w:kern w:val="0"/>
                <w:szCs w:val="21"/>
                <w:lang w:val="zh-CN"/>
              </w:rPr>
              <w:t>）</w:t>
            </w:r>
          </w:p>
        </w:tc>
        <w:tc>
          <w:tcPr>
            <w:tcW w:w="2462" w:type="dxa"/>
            <w:tcBorders>
              <w:top w:val="single" w:color="auto" w:sz="4" w:space="0"/>
              <w:left w:val="single" w:color="auto" w:sz="4" w:space="0"/>
              <w:bottom w:val="single" w:color="auto" w:sz="4" w:space="0"/>
              <w:right w:val="single" w:color="auto" w:sz="4" w:space="0"/>
            </w:tcBorders>
            <w:vAlign w:val="center"/>
          </w:tcPr>
          <w:p w14:paraId="07E0073E">
            <w:pPr>
              <w:autoSpaceDE w:val="0"/>
              <w:autoSpaceDN w:val="0"/>
              <w:adjustRightInd w:val="0"/>
              <w:ind w:left="-144" w:right="-150"/>
              <w:jc w:val="center"/>
              <w:rPr>
                <w:kern w:val="0"/>
                <w:szCs w:val="21"/>
              </w:rPr>
            </w:pPr>
            <w:r>
              <w:rPr>
                <w:szCs w:val="21"/>
              </w:rPr>
              <w:t>≤1.0</w:t>
            </w:r>
          </w:p>
        </w:tc>
        <w:tc>
          <w:tcPr>
            <w:tcW w:w="1272" w:type="dxa"/>
            <w:tcBorders>
              <w:top w:val="single" w:color="auto" w:sz="4" w:space="0"/>
              <w:left w:val="single" w:color="auto" w:sz="4" w:space="0"/>
              <w:bottom w:val="single" w:color="auto" w:sz="4" w:space="0"/>
              <w:right w:val="single" w:color="auto" w:sz="4" w:space="0"/>
            </w:tcBorders>
            <w:vAlign w:val="center"/>
          </w:tcPr>
          <w:p w14:paraId="388282DB">
            <w:pPr>
              <w:autoSpaceDE w:val="0"/>
              <w:autoSpaceDN w:val="0"/>
              <w:adjustRightInd w:val="0"/>
              <w:jc w:val="left"/>
              <w:rPr>
                <w:kern w:val="0"/>
                <w:szCs w:val="21"/>
              </w:rPr>
            </w:pPr>
            <w:r>
              <w:rPr>
                <w:rFonts w:hint="eastAsia"/>
                <w:bCs/>
                <w:kern w:val="0"/>
                <w:szCs w:val="21"/>
              </w:rPr>
              <w:t>投标方响应</w:t>
            </w:r>
          </w:p>
        </w:tc>
        <w:tc>
          <w:tcPr>
            <w:tcW w:w="1269" w:type="dxa"/>
            <w:tcBorders>
              <w:top w:val="single" w:color="auto" w:sz="4" w:space="0"/>
              <w:left w:val="single" w:color="auto" w:sz="4" w:space="0"/>
              <w:bottom w:val="single" w:color="auto" w:sz="4" w:space="0"/>
              <w:right w:val="single" w:color="auto" w:sz="4" w:space="0"/>
            </w:tcBorders>
            <w:vAlign w:val="center"/>
          </w:tcPr>
          <w:p w14:paraId="01E2E148">
            <w:pPr>
              <w:widowControl/>
              <w:jc w:val="center"/>
              <w:rPr>
                <w:kern w:val="0"/>
                <w:szCs w:val="21"/>
              </w:rPr>
            </w:pPr>
            <w:r>
              <w:rPr>
                <w:rFonts w:hint="eastAsia" w:ascii="宋体" w:cs="宋体"/>
                <w:kern w:val="0"/>
                <w:szCs w:val="21"/>
              </w:rPr>
              <w:t>/</w:t>
            </w:r>
          </w:p>
        </w:tc>
        <w:tc>
          <w:tcPr>
            <w:tcW w:w="1387" w:type="dxa"/>
            <w:tcBorders>
              <w:top w:val="single" w:color="auto" w:sz="4" w:space="0"/>
              <w:left w:val="single" w:color="auto" w:sz="4" w:space="0"/>
              <w:bottom w:val="single" w:color="auto" w:sz="4" w:space="0"/>
              <w:right w:val="single" w:color="auto" w:sz="4" w:space="0"/>
            </w:tcBorders>
            <w:vAlign w:val="center"/>
          </w:tcPr>
          <w:p w14:paraId="77E932D6">
            <w:pPr>
              <w:widowControl/>
              <w:jc w:val="left"/>
              <w:rPr>
                <w:kern w:val="0"/>
                <w:szCs w:val="21"/>
              </w:rPr>
            </w:pPr>
            <w:r>
              <w:rPr>
                <w:rFonts w:hint="eastAsia"/>
                <w:kern w:val="0"/>
                <w:szCs w:val="21"/>
              </w:rPr>
              <w:t>投标方填写（数值型）</w:t>
            </w:r>
          </w:p>
        </w:tc>
        <w:tc>
          <w:tcPr>
            <w:tcW w:w="1367" w:type="dxa"/>
            <w:tcBorders>
              <w:top w:val="single" w:color="auto" w:sz="4" w:space="0"/>
              <w:left w:val="single" w:color="auto" w:sz="4" w:space="0"/>
              <w:bottom w:val="single" w:color="auto" w:sz="4" w:space="0"/>
              <w:right w:val="single" w:color="auto" w:sz="4" w:space="0"/>
            </w:tcBorders>
            <w:vAlign w:val="center"/>
          </w:tcPr>
          <w:p w14:paraId="485037FA">
            <w:pPr>
              <w:widowControl/>
              <w:jc w:val="left"/>
              <w:rPr>
                <w:kern w:val="0"/>
                <w:szCs w:val="21"/>
              </w:rPr>
            </w:pPr>
            <w:r>
              <w:rPr>
                <w:rFonts w:hint="eastAsia"/>
                <w:szCs w:val="21"/>
              </w:rPr>
              <w:t>试验报告</w:t>
            </w:r>
          </w:p>
        </w:tc>
        <w:tc>
          <w:tcPr>
            <w:tcW w:w="1367" w:type="dxa"/>
            <w:tcBorders>
              <w:top w:val="single" w:color="auto" w:sz="4" w:space="0"/>
              <w:left w:val="single" w:color="auto" w:sz="4" w:space="0"/>
              <w:bottom w:val="single" w:color="auto" w:sz="4" w:space="0"/>
              <w:right w:val="single" w:color="auto" w:sz="4" w:space="0"/>
            </w:tcBorders>
            <w:vAlign w:val="center"/>
          </w:tcPr>
          <w:p w14:paraId="48804285">
            <w:pPr>
              <w:widowControl/>
              <w:jc w:val="left"/>
              <w:rPr>
                <w:kern w:val="0"/>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7B84B3D7">
            <w:pPr>
              <w:widowControl/>
              <w:jc w:val="left"/>
              <w:rPr>
                <w:kern w:val="0"/>
                <w:szCs w:val="21"/>
              </w:rPr>
            </w:pPr>
          </w:p>
        </w:tc>
      </w:tr>
    </w:tbl>
    <w:p w14:paraId="31B7853D"/>
    <w:p w14:paraId="687F4F86">
      <w:pPr>
        <w:widowControl/>
        <w:jc w:val="left"/>
        <w:sectPr>
          <w:pgSz w:w="16838" w:h="11906" w:orient="landscape"/>
          <w:pgMar w:top="1418" w:right="1134" w:bottom="1418" w:left="1418" w:header="851" w:footer="992" w:gutter="0"/>
          <w:cols w:space="720" w:num="1"/>
          <w:docGrid w:type="linesAndChars" w:linePitch="312" w:charSpace="0"/>
        </w:sectPr>
      </w:pPr>
    </w:p>
    <w:p w14:paraId="771AA3C3">
      <w:pPr>
        <w:pStyle w:val="286"/>
      </w:pPr>
      <w:bookmarkStart w:id="126" w:name="_Toc232443357"/>
      <w:r>
        <w:rPr>
          <w:rFonts w:hint="eastAsia"/>
        </w:rPr>
        <w:t>6</w:t>
      </w:r>
      <w:r>
        <w:t>.8 主要元器件来源</w:t>
      </w:r>
      <w:r>
        <w:rPr>
          <w:rFonts w:hint="eastAsia"/>
        </w:rPr>
        <w:t>（主要材料耗材来源）</w:t>
      </w:r>
      <w:bookmarkEnd w:id="126"/>
    </w:p>
    <w:p w14:paraId="5409791C">
      <w:pPr>
        <w:adjustRightInd w:val="0"/>
        <w:snapToGrid w:val="0"/>
        <w:spacing w:line="360" w:lineRule="auto"/>
        <w:ind w:firstLine="420" w:firstLineChars="200"/>
        <w:rPr>
          <w:szCs w:val="21"/>
        </w:rPr>
      </w:pPr>
      <w:r>
        <w:rPr>
          <w:szCs w:val="21"/>
        </w:rPr>
        <w:t>投标方应向</w:t>
      </w:r>
      <w:r>
        <w:rPr>
          <w:rFonts w:hint="eastAsia"/>
          <w:szCs w:val="21"/>
        </w:rPr>
        <w:t>招标</w:t>
      </w:r>
      <w:r>
        <w:rPr>
          <w:szCs w:val="21"/>
        </w:rPr>
        <w:t>方提供</w:t>
      </w:r>
      <w:r>
        <w:rPr>
          <w:rFonts w:hint="eastAsia"/>
          <w:szCs w:val="21"/>
        </w:rPr>
        <w:t>所有主要海缆附件的来源情况与海缆生产过程中主要材料的来源情况</w:t>
      </w:r>
      <w:r>
        <w:rPr>
          <w:szCs w:val="21"/>
        </w:rPr>
        <w:t>。</w:t>
      </w:r>
    </w:p>
    <w:p w14:paraId="0A77F806">
      <w:pPr>
        <w:jc w:val="center"/>
        <w:rPr>
          <w:szCs w:val="21"/>
        </w:rPr>
      </w:pPr>
      <w:r>
        <w:rPr>
          <w:szCs w:val="21"/>
        </w:rPr>
        <w:t>表</w:t>
      </w:r>
      <w:r>
        <w:rPr>
          <w:rFonts w:hint="eastAsia"/>
          <w:szCs w:val="21"/>
        </w:rPr>
        <w:t>6</w:t>
      </w:r>
      <w:r>
        <w:rPr>
          <w:szCs w:val="21"/>
        </w:rPr>
        <w:t>.8-1 主要</w:t>
      </w:r>
      <w:r>
        <w:rPr>
          <w:rFonts w:hint="eastAsia"/>
          <w:szCs w:val="21"/>
        </w:rPr>
        <w:t>海缆附件</w:t>
      </w:r>
      <w:r>
        <w:rPr>
          <w:szCs w:val="21"/>
        </w:rPr>
        <w:t>来源一览表（投标方填写）</w:t>
      </w:r>
    </w:p>
    <w:tbl>
      <w:tblPr>
        <w:tblStyle w:val="85"/>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841"/>
        <w:gridCol w:w="2029"/>
        <w:gridCol w:w="1860"/>
        <w:gridCol w:w="1701"/>
      </w:tblGrid>
      <w:tr w14:paraId="0B3F20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5" w:type="dxa"/>
            <w:vAlign w:val="center"/>
          </w:tcPr>
          <w:p w14:paraId="3772B148">
            <w:pPr>
              <w:topLinePunct/>
              <w:spacing w:before="60" w:after="60"/>
              <w:jc w:val="center"/>
              <w:rPr>
                <w:szCs w:val="21"/>
              </w:rPr>
            </w:pPr>
            <w:r>
              <w:rPr>
                <w:szCs w:val="21"/>
              </w:rPr>
              <w:t>序</w:t>
            </w:r>
          </w:p>
          <w:p w14:paraId="4607EC5A">
            <w:pPr>
              <w:topLinePunct/>
              <w:spacing w:before="60" w:after="60"/>
              <w:jc w:val="center"/>
              <w:rPr>
                <w:szCs w:val="21"/>
              </w:rPr>
            </w:pPr>
            <w:r>
              <w:rPr>
                <w:szCs w:val="21"/>
              </w:rPr>
              <w:t>号</w:t>
            </w:r>
          </w:p>
        </w:tc>
        <w:tc>
          <w:tcPr>
            <w:tcW w:w="2841" w:type="dxa"/>
            <w:vAlign w:val="center"/>
          </w:tcPr>
          <w:p w14:paraId="39030054">
            <w:pPr>
              <w:widowControl/>
              <w:topLinePunct/>
              <w:spacing w:before="60" w:after="60"/>
              <w:jc w:val="center"/>
              <w:rPr>
                <w:szCs w:val="21"/>
              </w:rPr>
            </w:pPr>
            <w:r>
              <w:rPr>
                <w:szCs w:val="21"/>
              </w:rPr>
              <w:t>名称</w:t>
            </w:r>
          </w:p>
        </w:tc>
        <w:tc>
          <w:tcPr>
            <w:tcW w:w="2029" w:type="dxa"/>
            <w:vAlign w:val="center"/>
          </w:tcPr>
          <w:p w14:paraId="433062DE">
            <w:pPr>
              <w:widowControl/>
              <w:topLinePunct/>
              <w:spacing w:before="60" w:after="60"/>
              <w:jc w:val="center"/>
              <w:rPr>
                <w:szCs w:val="21"/>
              </w:rPr>
            </w:pPr>
            <w:r>
              <w:rPr>
                <w:szCs w:val="21"/>
              </w:rPr>
              <w:t>项目单位要求</w:t>
            </w:r>
          </w:p>
        </w:tc>
        <w:tc>
          <w:tcPr>
            <w:tcW w:w="1860" w:type="dxa"/>
            <w:tcBorders>
              <w:right w:val="single" w:color="auto" w:sz="4" w:space="0"/>
            </w:tcBorders>
          </w:tcPr>
          <w:p w14:paraId="324DBC03">
            <w:pPr>
              <w:topLinePunct/>
              <w:spacing w:before="60" w:after="60"/>
              <w:jc w:val="center"/>
              <w:rPr>
                <w:szCs w:val="21"/>
              </w:rPr>
            </w:pPr>
            <w:r>
              <w:rPr>
                <w:szCs w:val="21"/>
              </w:rPr>
              <w:t>投标方响应型式、规格</w:t>
            </w:r>
          </w:p>
        </w:tc>
        <w:tc>
          <w:tcPr>
            <w:tcW w:w="1701" w:type="dxa"/>
            <w:tcBorders>
              <w:right w:val="single" w:color="auto" w:sz="4" w:space="0"/>
            </w:tcBorders>
          </w:tcPr>
          <w:p w14:paraId="6B327F00">
            <w:pPr>
              <w:topLinePunct/>
              <w:spacing w:before="60" w:after="60"/>
              <w:jc w:val="center"/>
              <w:rPr>
                <w:szCs w:val="21"/>
              </w:rPr>
            </w:pPr>
            <w:r>
              <w:rPr>
                <w:szCs w:val="21"/>
              </w:rPr>
              <w:t>投标方响应</w:t>
            </w:r>
            <w:r>
              <w:rPr>
                <w:rFonts w:hint="eastAsia"/>
                <w:szCs w:val="21"/>
              </w:rPr>
              <w:t>原材料</w:t>
            </w:r>
            <w:r>
              <w:rPr>
                <w:szCs w:val="21"/>
              </w:rPr>
              <w:t>生产厂家</w:t>
            </w:r>
          </w:p>
        </w:tc>
      </w:tr>
      <w:tr w14:paraId="641873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0FDD3793">
            <w:pPr>
              <w:topLinePunct/>
              <w:spacing w:before="60" w:after="60"/>
              <w:jc w:val="center"/>
              <w:rPr>
                <w:szCs w:val="21"/>
              </w:rPr>
            </w:pPr>
            <w:r>
              <w:rPr>
                <w:rFonts w:hint="eastAsia"/>
                <w:szCs w:val="21"/>
              </w:rPr>
              <w:t>1</w:t>
            </w:r>
          </w:p>
        </w:tc>
        <w:tc>
          <w:tcPr>
            <w:tcW w:w="2841" w:type="dxa"/>
          </w:tcPr>
          <w:p w14:paraId="34A9C218">
            <w:pPr>
              <w:jc w:val="center"/>
              <w:rPr>
                <w:szCs w:val="21"/>
              </w:rPr>
            </w:pPr>
            <w:r>
              <w:rPr>
                <w:rFonts w:hint="eastAsia"/>
                <w:szCs w:val="21"/>
              </w:rPr>
              <w:t>500kV海缆终端头</w:t>
            </w:r>
          </w:p>
        </w:tc>
        <w:tc>
          <w:tcPr>
            <w:tcW w:w="2029" w:type="dxa"/>
            <w:vAlign w:val="center"/>
          </w:tcPr>
          <w:p w14:paraId="6F87D554">
            <w:pPr>
              <w:topLinePunct/>
              <w:spacing w:before="60" w:after="60"/>
              <w:rPr>
                <w:iCs/>
                <w:szCs w:val="21"/>
              </w:rPr>
            </w:pPr>
            <w:r>
              <w:rPr>
                <w:rFonts w:hint="eastAsia"/>
                <w:iCs/>
                <w:szCs w:val="21"/>
              </w:rPr>
              <w:t>/</w:t>
            </w:r>
          </w:p>
        </w:tc>
        <w:tc>
          <w:tcPr>
            <w:tcW w:w="1860" w:type="dxa"/>
            <w:vAlign w:val="center"/>
          </w:tcPr>
          <w:p w14:paraId="490FE3B6">
            <w:pPr>
              <w:topLinePunct/>
              <w:spacing w:before="60" w:after="60"/>
              <w:rPr>
                <w:szCs w:val="21"/>
              </w:rPr>
            </w:pPr>
          </w:p>
        </w:tc>
        <w:tc>
          <w:tcPr>
            <w:tcW w:w="1701" w:type="dxa"/>
          </w:tcPr>
          <w:p w14:paraId="019FA20D">
            <w:pPr>
              <w:topLinePunct/>
              <w:spacing w:before="60" w:after="60"/>
              <w:rPr>
                <w:szCs w:val="21"/>
              </w:rPr>
            </w:pPr>
          </w:p>
        </w:tc>
      </w:tr>
      <w:tr w14:paraId="4E4DDA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19152C0F">
            <w:pPr>
              <w:topLinePunct/>
              <w:spacing w:before="60" w:after="60"/>
              <w:jc w:val="center"/>
              <w:rPr>
                <w:szCs w:val="21"/>
              </w:rPr>
            </w:pPr>
            <w:r>
              <w:rPr>
                <w:rFonts w:hint="eastAsia"/>
                <w:szCs w:val="21"/>
              </w:rPr>
              <w:t>2</w:t>
            </w:r>
          </w:p>
        </w:tc>
        <w:tc>
          <w:tcPr>
            <w:tcW w:w="2841" w:type="dxa"/>
          </w:tcPr>
          <w:p w14:paraId="5C47FFDB">
            <w:pPr>
              <w:jc w:val="center"/>
              <w:rPr>
                <w:szCs w:val="21"/>
              </w:rPr>
            </w:pPr>
            <w:r>
              <w:rPr>
                <w:rFonts w:hint="eastAsia"/>
                <w:szCs w:val="21"/>
              </w:rPr>
              <w:t>海缆中心夹具</w:t>
            </w:r>
          </w:p>
        </w:tc>
        <w:tc>
          <w:tcPr>
            <w:tcW w:w="2029" w:type="dxa"/>
            <w:vAlign w:val="center"/>
          </w:tcPr>
          <w:p w14:paraId="512F6E8B">
            <w:pPr>
              <w:topLinePunct/>
              <w:spacing w:before="60" w:after="60"/>
              <w:rPr>
                <w:iCs/>
                <w:szCs w:val="21"/>
              </w:rPr>
            </w:pPr>
            <w:r>
              <w:rPr>
                <w:rFonts w:hint="eastAsia"/>
                <w:iCs/>
                <w:szCs w:val="21"/>
              </w:rPr>
              <w:t>/</w:t>
            </w:r>
          </w:p>
        </w:tc>
        <w:tc>
          <w:tcPr>
            <w:tcW w:w="1860" w:type="dxa"/>
            <w:vAlign w:val="center"/>
          </w:tcPr>
          <w:p w14:paraId="23B0993F">
            <w:pPr>
              <w:topLinePunct/>
              <w:spacing w:before="60" w:after="60"/>
              <w:rPr>
                <w:szCs w:val="21"/>
              </w:rPr>
            </w:pPr>
          </w:p>
        </w:tc>
        <w:tc>
          <w:tcPr>
            <w:tcW w:w="1701" w:type="dxa"/>
          </w:tcPr>
          <w:p w14:paraId="48F3DC0E">
            <w:pPr>
              <w:topLinePunct/>
              <w:spacing w:before="60" w:after="60"/>
              <w:rPr>
                <w:szCs w:val="21"/>
              </w:rPr>
            </w:pPr>
          </w:p>
        </w:tc>
      </w:tr>
      <w:tr w14:paraId="60FBD4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1BC74346">
            <w:pPr>
              <w:topLinePunct/>
              <w:spacing w:before="60" w:after="60"/>
              <w:jc w:val="center"/>
              <w:rPr>
                <w:szCs w:val="21"/>
              </w:rPr>
            </w:pPr>
            <w:r>
              <w:rPr>
                <w:rFonts w:hint="eastAsia"/>
                <w:szCs w:val="21"/>
              </w:rPr>
              <w:t>3</w:t>
            </w:r>
          </w:p>
        </w:tc>
        <w:tc>
          <w:tcPr>
            <w:tcW w:w="2841" w:type="dxa"/>
          </w:tcPr>
          <w:p w14:paraId="466C904C">
            <w:pPr>
              <w:jc w:val="center"/>
              <w:rPr>
                <w:szCs w:val="21"/>
              </w:rPr>
            </w:pPr>
            <w:r>
              <w:rPr>
                <w:rFonts w:hint="eastAsia"/>
                <w:szCs w:val="21"/>
              </w:rPr>
              <w:t>海缆锚固设备</w:t>
            </w:r>
          </w:p>
        </w:tc>
        <w:tc>
          <w:tcPr>
            <w:tcW w:w="2029" w:type="dxa"/>
          </w:tcPr>
          <w:p w14:paraId="4DE89278">
            <w:pPr>
              <w:topLinePunct/>
              <w:spacing w:before="60" w:after="60"/>
              <w:rPr>
                <w:iCs/>
                <w:szCs w:val="21"/>
              </w:rPr>
            </w:pPr>
            <w:r>
              <w:rPr>
                <w:rFonts w:hint="eastAsia"/>
                <w:iCs/>
                <w:szCs w:val="21"/>
              </w:rPr>
              <w:t>/</w:t>
            </w:r>
          </w:p>
        </w:tc>
        <w:tc>
          <w:tcPr>
            <w:tcW w:w="1860" w:type="dxa"/>
            <w:vAlign w:val="center"/>
          </w:tcPr>
          <w:p w14:paraId="6E47DDC8">
            <w:pPr>
              <w:topLinePunct/>
              <w:spacing w:before="60" w:after="60"/>
              <w:rPr>
                <w:szCs w:val="21"/>
              </w:rPr>
            </w:pPr>
          </w:p>
        </w:tc>
        <w:tc>
          <w:tcPr>
            <w:tcW w:w="1701" w:type="dxa"/>
          </w:tcPr>
          <w:p w14:paraId="561439D7">
            <w:pPr>
              <w:topLinePunct/>
              <w:spacing w:before="60" w:after="60"/>
              <w:rPr>
                <w:szCs w:val="21"/>
              </w:rPr>
            </w:pPr>
          </w:p>
        </w:tc>
      </w:tr>
      <w:tr w14:paraId="745F31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38116C4F">
            <w:pPr>
              <w:topLinePunct/>
              <w:spacing w:before="60" w:after="60"/>
              <w:jc w:val="center"/>
              <w:rPr>
                <w:szCs w:val="21"/>
              </w:rPr>
            </w:pPr>
            <w:r>
              <w:rPr>
                <w:rFonts w:hint="eastAsia"/>
                <w:szCs w:val="21"/>
              </w:rPr>
              <w:t>4</w:t>
            </w:r>
          </w:p>
        </w:tc>
        <w:tc>
          <w:tcPr>
            <w:tcW w:w="2841" w:type="dxa"/>
          </w:tcPr>
          <w:p w14:paraId="0F74DF34">
            <w:pPr>
              <w:jc w:val="center"/>
              <w:rPr>
                <w:szCs w:val="21"/>
              </w:rPr>
            </w:pPr>
            <w:r>
              <w:rPr>
                <w:rFonts w:hint="eastAsia"/>
                <w:szCs w:val="21"/>
              </w:rPr>
              <w:t>海缆弯曲限制器</w:t>
            </w:r>
          </w:p>
        </w:tc>
        <w:tc>
          <w:tcPr>
            <w:tcW w:w="2029" w:type="dxa"/>
          </w:tcPr>
          <w:p w14:paraId="11A392D4">
            <w:pPr>
              <w:topLinePunct/>
              <w:spacing w:before="60" w:after="60"/>
              <w:rPr>
                <w:iCs/>
                <w:szCs w:val="21"/>
              </w:rPr>
            </w:pPr>
            <w:r>
              <w:rPr>
                <w:rFonts w:hint="eastAsia"/>
                <w:iCs/>
                <w:szCs w:val="21"/>
              </w:rPr>
              <w:t>/</w:t>
            </w:r>
          </w:p>
        </w:tc>
        <w:tc>
          <w:tcPr>
            <w:tcW w:w="1860" w:type="dxa"/>
            <w:vAlign w:val="center"/>
          </w:tcPr>
          <w:p w14:paraId="4B4486B0">
            <w:pPr>
              <w:topLinePunct/>
              <w:spacing w:before="60" w:after="60"/>
              <w:rPr>
                <w:szCs w:val="21"/>
              </w:rPr>
            </w:pPr>
          </w:p>
        </w:tc>
        <w:tc>
          <w:tcPr>
            <w:tcW w:w="1701" w:type="dxa"/>
          </w:tcPr>
          <w:p w14:paraId="1EEFE635">
            <w:pPr>
              <w:topLinePunct/>
              <w:spacing w:before="60" w:after="60"/>
              <w:rPr>
                <w:szCs w:val="21"/>
              </w:rPr>
            </w:pPr>
          </w:p>
        </w:tc>
      </w:tr>
      <w:tr w14:paraId="3312D0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0301C36C">
            <w:pPr>
              <w:topLinePunct/>
              <w:spacing w:before="60" w:after="60"/>
              <w:jc w:val="center"/>
              <w:rPr>
                <w:szCs w:val="21"/>
              </w:rPr>
            </w:pPr>
            <w:r>
              <w:rPr>
                <w:rFonts w:hint="eastAsia"/>
                <w:szCs w:val="21"/>
              </w:rPr>
              <w:t>5</w:t>
            </w:r>
          </w:p>
        </w:tc>
        <w:tc>
          <w:tcPr>
            <w:tcW w:w="2841" w:type="dxa"/>
          </w:tcPr>
          <w:p w14:paraId="75B2A63A">
            <w:pPr>
              <w:jc w:val="center"/>
              <w:rPr>
                <w:szCs w:val="21"/>
              </w:rPr>
            </w:pPr>
            <w:r>
              <w:rPr>
                <w:rFonts w:hint="eastAsia"/>
                <w:szCs w:val="21"/>
              </w:rPr>
              <w:t>光缆接续盒</w:t>
            </w:r>
          </w:p>
        </w:tc>
        <w:tc>
          <w:tcPr>
            <w:tcW w:w="2029" w:type="dxa"/>
          </w:tcPr>
          <w:p w14:paraId="619FEE6A">
            <w:pPr>
              <w:topLinePunct/>
              <w:spacing w:before="60" w:after="60"/>
              <w:rPr>
                <w:iCs/>
                <w:szCs w:val="21"/>
              </w:rPr>
            </w:pPr>
            <w:r>
              <w:rPr>
                <w:rFonts w:hint="eastAsia"/>
                <w:iCs/>
                <w:szCs w:val="21"/>
              </w:rPr>
              <w:t>/</w:t>
            </w:r>
          </w:p>
        </w:tc>
        <w:tc>
          <w:tcPr>
            <w:tcW w:w="1860" w:type="dxa"/>
            <w:vAlign w:val="center"/>
          </w:tcPr>
          <w:p w14:paraId="4F8A4647">
            <w:pPr>
              <w:topLinePunct/>
              <w:spacing w:before="60" w:after="60"/>
              <w:rPr>
                <w:szCs w:val="21"/>
              </w:rPr>
            </w:pPr>
          </w:p>
        </w:tc>
        <w:tc>
          <w:tcPr>
            <w:tcW w:w="1701" w:type="dxa"/>
          </w:tcPr>
          <w:p w14:paraId="06B6EF9B">
            <w:pPr>
              <w:topLinePunct/>
              <w:spacing w:before="60" w:after="60"/>
              <w:rPr>
                <w:szCs w:val="21"/>
              </w:rPr>
            </w:pPr>
          </w:p>
        </w:tc>
      </w:tr>
      <w:tr w14:paraId="2A339C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73DC1545">
            <w:pPr>
              <w:topLinePunct/>
              <w:spacing w:before="60" w:after="60"/>
              <w:jc w:val="center"/>
              <w:rPr>
                <w:szCs w:val="21"/>
              </w:rPr>
            </w:pPr>
            <w:r>
              <w:rPr>
                <w:rFonts w:hint="eastAsia"/>
                <w:szCs w:val="21"/>
              </w:rPr>
              <w:t>6</w:t>
            </w:r>
          </w:p>
        </w:tc>
        <w:tc>
          <w:tcPr>
            <w:tcW w:w="2841" w:type="dxa"/>
          </w:tcPr>
          <w:p w14:paraId="5D290082">
            <w:pPr>
              <w:jc w:val="center"/>
              <w:rPr>
                <w:szCs w:val="21"/>
              </w:rPr>
            </w:pPr>
            <w:r>
              <w:rPr>
                <w:rFonts w:hint="eastAsia"/>
                <w:szCs w:val="21"/>
              </w:rPr>
              <w:t>海缆单相固定夹</w:t>
            </w:r>
          </w:p>
        </w:tc>
        <w:tc>
          <w:tcPr>
            <w:tcW w:w="2029" w:type="dxa"/>
          </w:tcPr>
          <w:p w14:paraId="09057297">
            <w:pPr>
              <w:topLinePunct/>
              <w:spacing w:before="60" w:after="60"/>
              <w:rPr>
                <w:iCs/>
                <w:szCs w:val="21"/>
              </w:rPr>
            </w:pPr>
            <w:r>
              <w:rPr>
                <w:rFonts w:hint="eastAsia"/>
                <w:iCs/>
                <w:szCs w:val="21"/>
              </w:rPr>
              <w:t>/</w:t>
            </w:r>
          </w:p>
        </w:tc>
        <w:tc>
          <w:tcPr>
            <w:tcW w:w="1860" w:type="dxa"/>
            <w:vAlign w:val="center"/>
          </w:tcPr>
          <w:p w14:paraId="3109CBE5">
            <w:pPr>
              <w:topLinePunct/>
              <w:spacing w:before="60" w:after="60"/>
              <w:rPr>
                <w:szCs w:val="21"/>
              </w:rPr>
            </w:pPr>
          </w:p>
        </w:tc>
        <w:tc>
          <w:tcPr>
            <w:tcW w:w="1701" w:type="dxa"/>
          </w:tcPr>
          <w:p w14:paraId="5FDFDD24">
            <w:pPr>
              <w:topLinePunct/>
              <w:spacing w:before="60" w:after="60"/>
              <w:rPr>
                <w:szCs w:val="21"/>
              </w:rPr>
            </w:pPr>
          </w:p>
        </w:tc>
      </w:tr>
      <w:tr w14:paraId="2DFEA9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19140FF7">
            <w:pPr>
              <w:topLinePunct/>
              <w:spacing w:before="60" w:after="60"/>
              <w:jc w:val="center"/>
              <w:rPr>
                <w:szCs w:val="21"/>
              </w:rPr>
            </w:pPr>
            <w:r>
              <w:rPr>
                <w:rFonts w:hint="eastAsia"/>
                <w:szCs w:val="21"/>
              </w:rPr>
              <w:t>7</w:t>
            </w:r>
          </w:p>
        </w:tc>
        <w:tc>
          <w:tcPr>
            <w:tcW w:w="2841" w:type="dxa"/>
          </w:tcPr>
          <w:p w14:paraId="31B52AE2">
            <w:pPr>
              <w:jc w:val="center"/>
              <w:rPr>
                <w:szCs w:val="21"/>
              </w:rPr>
            </w:pPr>
            <w:r>
              <w:rPr>
                <w:rFonts w:hint="eastAsia"/>
                <w:szCs w:val="21"/>
              </w:rPr>
              <w:t>直接接地箱</w:t>
            </w:r>
          </w:p>
        </w:tc>
        <w:tc>
          <w:tcPr>
            <w:tcW w:w="2029" w:type="dxa"/>
          </w:tcPr>
          <w:p w14:paraId="0E3AE3C4">
            <w:pPr>
              <w:topLinePunct/>
              <w:spacing w:before="60" w:after="60"/>
              <w:rPr>
                <w:iCs/>
                <w:szCs w:val="21"/>
              </w:rPr>
            </w:pPr>
            <w:r>
              <w:rPr>
                <w:rFonts w:hint="eastAsia"/>
                <w:iCs/>
                <w:szCs w:val="21"/>
              </w:rPr>
              <w:t>/</w:t>
            </w:r>
          </w:p>
        </w:tc>
        <w:tc>
          <w:tcPr>
            <w:tcW w:w="1860" w:type="dxa"/>
            <w:vAlign w:val="center"/>
          </w:tcPr>
          <w:p w14:paraId="04408A82">
            <w:pPr>
              <w:topLinePunct/>
              <w:spacing w:before="60" w:after="60"/>
              <w:rPr>
                <w:szCs w:val="21"/>
              </w:rPr>
            </w:pPr>
          </w:p>
        </w:tc>
        <w:tc>
          <w:tcPr>
            <w:tcW w:w="1701" w:type="dxa"/>
          </w:tcPr>
          <w:p w14:paraId="3B0E4876">
            <w:pPr>
              <w:topLinePunct/>
              <w:spacing w:before="60" w:after="60"/>
              <w:rPr>
                <w:szCs w:val="21"/>
              </w:rPr>
            </w:pPr>
          </w:p>
        </w:tc>
      </w:tr>
      <w:tr w14:paraId="0A480A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1DB14E3B">
            <w:pPr>
              <w:topLinePunct/>
              <w:spacing w:before="66" w:after="66"/>
              <w:jc w:val="center"/>
              <w:rPr>
                <w:szCs w:val="21"/>
              </w:rPr>
            </w:pPr>
            <w:r>
              <w:rPr>
                <w:rFonts w:hint="eastAsia"/>
                <w:szCs w:val="21"/>
              </w:rPr>
              <w:t>8</w:t>
            </w:r>
          </w:p>
        </w:tc>
        <w:tc>
          <w:tcPr>
            <w:tcW w:w="2841" w:type="dxa"/>
          </w:tcPr>
          <w:p w14:paraId="3612F8D0">
            <w:pPr>
              <w:jc w:val="center"/>
              <w:rPr>
                <w:szCs w:val="21"/>
              </w:rPr>
            </w:pPr>
            <w:r>
              <w:rPr>
                <w:rFonts w:hint="eastAsia"/>
                <w:szCs w:val="21"/>
              </w:rPr>
              <w:t>接地线</w:t>
            </w:r>
          </w:p>
        </w:tc>
        <w:tc>
          <w:tcPr>
            <w:tcW w:w="2029" w:type="dxa"/>
          </w:tcPr>
          <w:p w14:paraId="10E01311">
            <w:pPr>
              <w:topLinePunct/>
              <w:spacing w:before="60" w:after="60"/>
              <w:rPr>
                <w:iCs/>
                <w:szCs w:val="21"/>
              </w:rPr>
            </w:pPr>
            <w:r>
              <w:rPr>
                <w:rFonts w:hint="eastAsia"/>
                <w:iCs/>
                <w:szCs w:val="21"/>
              </w:rPr>
              <w:t>/</w:t>
            </w:r>
          </w:p>
        </w:tc>
        <w:tc>
          <w:tcPr>
            <w:tcW w:w="1860" w:type="dxa"/>
            <w:vAlign w:val="center"/>
          </w:tcPr>
          <w:p w14:paraId="7F481BEF">
            <w:pPr>
              <w:topLinePunct/>
              <w:spacing w:before="60" w:after="60"/>
              <w:rPr>
                <w:szCs w:val="21"/>
              </w:rPr>
            </w:pPr>
          </w:p>
        </w:tc>
        <w:tc>
          <w:tcPr>
            <w:tcW w:w="1701" w:type="dxa"/>
          </w:tcPr>
          <w:p w14:paraId="0C6498D6">
            <w:pPr>
              <w:topLinePunct/>
              <w:spacing w:before="60" w:after="60"/>
              <w:rPr>
                <w:szCs w:val="21"/>
              </w:rPr>
            </w:pPr>
          </w:p>
        </w:tc>
      </w:tr>
    </w:tbl>
    <w:p w14:paraId="08CF87BE">
      <w:pPr>
        <w:pStyle w:val="2"/>
      </w:pPr>
    </w:p>
    <w:p w14:paraId="1C972A2A">
      <w:pPr>
        <w:jc w:val="center"/>
        <w:rPr>
          <w:szCs w:val="21"/>
        </w:rPr>
      </w:pPr>
      <w:r>
        <w:rPr>
          <w:szCs w:val="21"/>
        </w:rPr>
        <w:t>表</w:t>
      </w:r>
      <w:r>
        <w:rPr>
          <w:rFonts w:hint="eastAsia"/>
          <w:szCs w:val="21"/>
        </w:rPr>
        <w:t>6</w:t>
      </w:r>
      <w:r>
        <w:rPr>
          <w:szCs w:val="21"/>
        </w:rPr>
        <w:t>.8-</w:t>
      </w:r>
      <w:r>
        <w:rPr>
          <w:rFonts w:hint="eastAsia"/>
          <w:szCs w:val="21"/>
        </w:rPr>
        <w:t>2主要材料耗材来源一览表</w:t>
      </w:r>
      <w:r>
        <w:rPr>
          <w:szCs w:val="21"/>
        </w:rPr>
        <w:t xml:space="preserve">  （投标方填写）</w:t>
      </w:r>
    </w:p>
    <w:tbl>
      <w:tblPr>
        <w:tblStyle w:val="85"/>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841"/>
        <w:gridCol w:w="2029"/>
        <w:gridCol w:w="1860"/>
        <w:gridCol w:w="1701"/>
      </w:tblGrid>
      <w:tr w14:paraId="4EBFA9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5" w:type="dxa"/>
            <w:vAlign w:val="center"/>
          </w:tcPr>
          <w:p w14:paraId="6E395230">
            <w:pPr>
              <w:topLinePunct/>
              <w:spacing w:before="60" w:after="60"/>
              <w:jc w:val="center"/>
              <w:rPr>
                <w:szCs w:val="21"/>
              </w:rPr>
            </w:pPr>
            <w:r>
              <w:rPr>
                <w:szCs w:val="21"/>
              </w:rPr>
              <w:t>序</w:t>
            </w:r>
          </w:p>
          <w:p w14:paraId="2812FFD6">
            <w:pPr>
              <w:topLinePunct/>
              <w:spacing w:before="60" w:after="60"/>
              <w:jc w:val="center"/>
              <w:rPr>
                <w:szCs w:val="21"/>
              </w:rPr>
            </w:pPr>
            <w:r>
              <w:rPr>
                <w:szCs w:val="21"/>
              </w:rPr>
              <w:t>号</w:t>
            </w:r>
          </w:p>
        </w:tc>
        <w:tc>
          <w:tcPr>
            <w:tcW w:w="2841" w:type="dxa"/>
            <w:vAlign w:val="center"/>
          </w:tcPr>
          <w:p w14:paraId="7BED8D14">
            <w:pPr>
              <w:widowControl/>
              <w:topLinePunct/>
              <w:spacing w:before="60" w:after="60"/>
              <w:jc w:val="center"/>
              <w:rPr>
                <w:szCs w:val="21"/>
              </w:rPr>
            </w:pPr>
            <w:r>
              <w:rPr>
                <w:szCs w:val="21"/>
              </w:rPr>
              <w:t>名称</w:t>
            </w:r>
          </w:p>
        </w:tc>
        <w:tc>
          <w:tcPr>
            <w:tcW w:w="2029" w:type="dxa"/>
            <w:vAlign w:val="center"/>
          </w:tcPr>
          <w:p w14:paraId="634A3E63">
            <w:pPr>
              <w:widowControl/>
              <w:topLinePunct/>
              <w:spacing w:before="60" w:after="60"/>
              <w:jc w:val="center"/>
              <w:rPr>
                <w:szCs w:val="21"/>
              </w:rPr>
            </w:pPr>
            <w:r>
              <w:rPr>
                <w:szCs w:val="21"/>
              </w:rPr>
              <w:t>项目单位要求</w:t>
            </w:r>
          </w:p>
        </w:tc>
        <w:tc>
          <w:tcPr>
            <w:tcW w:w="1860" w:type="dxa"/>
            <w:tcBorders>
              <w:right w:val="single" w:color="auto" w:sz="4" w:space="0"/>
            </w:tcBorders>
          </w:tcPr>
          <w:p w14:paraId="32483B33">
            <w:pPr>
              <w:topLinePunct/>
              <w:spacing w:before="60" w:after="60"/>
              <w:jc w:val="center"/>
              <w:rPr>
                <w:szCs w:val="21"/>
              </w:rPr>
            </w:pPr>
            <w:r>
              <w:rPr>
                <w:szCs w:val="21"/>
              </w:rPr>
              <w:t>投标方响应型式、规格</w:t>
            </w:r>
          </w:p>
        </w:tc>
        <w:tc>
          <w:tcPr>
            <w:tcW w:w="1701" w:type="dxa"/>
            <w:tcBorders>
              <w:right w:val="single" w:color="auto" w:sz="4" w:space="0"/>
            </w:tcBorders>
          </w:tcPr>
          <w:p w14:paraId="1813E833">
            <w:pPr>
              <w:topLinePunct/>
              <w:spacing w:before="60" w:after="60"/>
              <w:jc w:val="center"/>
              <w:rPr>
                <w:szCs w:val="21"/>
              </w:rPr>
            </w:pPr>
            <w:r>
              <w:rPr>
                <w:szCs w:val="21"/>
              </w:rPr>
              <w:t>投标方响应</w:t>
            </w:r>
            <w:r>
              <w:rPr>
                <w:rFonts w:hint="eastAsia"/>
                <w:szCs w:val="21"/>
              </w:rPr>
              <w:t>原材料</w:t>
            </w:r>
            <w:r>
              <w:rPr>
                <w:szCs w:val="21"/>
              </w:rPr>
              <w:t>生产厂家</w:t>
            </w:r>
          </w:p>
        </w:tc>
      </w:tr>
      <w:tr w14:paraId="7B990C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29DFC739">
            <w:pPr>
              <w:topLinePunct/>
              <w:spacing w:before="60" w:after="60"/>
              <w:jc w:val="center"/>
              <w:rPr>
                <w:szCs w:val="21"/>
              </w:rPr>
            </w:pPr>
            <w:r>
              <w:rPr>
                <w:rFonts w:hint="eastAsia"/>
                <w:szCs w:val="21"/>
              </w:rPr>
              <w:t>1</w:t>
            </w:r>
          </w:p>
        </w:tc>
        <w:tc>
          <w:tcPr>
            <w:tcW w:w="2841" w:type="dxa"/>
          </w:tcPr>
          <w:p w14:paraId="08EAB073">
            <w:pPr>
              <w:jc w:val="center"/>
              <w:rPr>
                <w:szCs w:val="21"/>
              </w:rPr>
            </w:pPr>
            <w:r>
              <w:rPr>
                <w:szCs w:val="21"/>
              </w:rPr>
              <w:t>铜</w:t>
            </w:r>
            <w:r>
              <w:rPr>
                <w:rFonts w:hint="eastAsia"/>
                <w:szCs w:val="21"/>
              </w:rPr>
              <w:t>导体</w:t>
            </w:r>
          </w:p>
        </w:tc>
        <w:tc>
          <w:tcPr>
            <w:tcW w:w="2029" w:type="dxa"/>
            <w:vAlign w:val="center"/>
          </w:tcPr>
          <w:p w14:paraId="2E7FDDFB">
            <w:pPr>
              <w:topLinePunct/>
              <w:spacing w:before="60" w:after="60"/>
              <w:rPr>
                <w:iCs/>
                <w:szCs w:val="21"/>
              </w:rPr>
            </w:pPr>
            <w:r>
              <w:rPr>
                <w:rFonts w:hint="eastAsia"/>
                <w:iCs/>
                <w:szCs w:val="21"/>
              </w:rPr>
              <w:t>/</w:t>
            </w:r>
          </w:p>
        </w:tc>
        <w:tc>
          <w:tcPr>
            <w:tcW w:w="1860" w:type="dxa"/>
            <w:vAlign w:val="center"/>
          </w:tcPr>
          <w:p w14:paraId="7A73B47B">
            <w:pPr>
              <w:topLinePunct/>
              <w:spacing w:before="60" w:after="60"/>
              <w:rPr>
                <w:szCs w:val="21"/>
              </w:rPr>
            </w:pPr>
          </w:p>
        </w:tc>
        <w:tc>
          <w:tcPr>
            <w:tcW w:w="1701" w:type="dxa"/>
          </w:tcPr>
          <w:p w14:paraId="43DFCBC5">
            <w:pPr>
              <w:topLinePunct/>
              <w:spacing w:before="60" w:after="60"/>
              <w:rPr>
                <w:szCs w:val="21"/>
              </w:rPr>
            </w:pPr>
          </w:p>
        </w:tc>
      </w:tr>
      <w:tr w14:paraId="7C510A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397E6C7E">
            <w:pPr>
              <w:topLinePunct/>
              <w:spacing w:before="60" w:after="60"/>
              <w:jc w:val="center"/>
              <w:rPr>
                <w:szCs w:val="21"/>
              </w:rPr>
            </w:pPr>
            <w:r>
              <w:rPr>
                <w:rFonts w:hint="eastAsia"/>
                <w:szCs w:val="21"/>
              </w:rPr>
              <w:t>2</w:t>
            </w:r>
          </w:p>
        </w:tc>
        <w:tc>
          <w:tcPr>
            <w:tcW w:w="2841" w:type="dxa"/>
          </w:tcPr>
          <w:p w14:paraId="4214EEEC">
            <w:pPr>
              <w:jc w:val="center"/>
              <w:rPr>
                <w:szCs w:val="21"/>
              </w:rPr>
            </w:pPr>
            <w:r>
              <w:rPr>
                <w:rFonts w:hint="eastAsia"/>
                <w:szCs w:val="21"/>
              </w:rPr>
              <w:t>纵向阻水材料</w:t>
            </w:r>
          </w:p>
        </w:tc>
        <w:tc>
          <w:tcPr>
            <w:tcW w:w="2029" w:type="dxa"/>
            <w:vAlign w:val="center"/>
          </w:tcPr>
          <w:p w14:paraId="381EA2B6">
            <w:pPr>
              <w:topLinePunct/>
              <w:spacing w:before="60" w:after="60"/>
              <w:rPr>
                <w:iCs/>
                <w:szCs w:val="21"/>
              </w:rPr>
            </w:pPr>
            <w:r>
              <w:rPr>
                <w:rFonts w:hint="eastAsia"/>
                <w:iCs/>
                <w:szCs w:val="21"/>
              </w:rPr>
              <w:t>/</w:t>
            </w:r>
          </w:p>
        </w:tc>
        <w:tc>
          <w:tcPr>
            <w:tcW w:w="1860" w:type="dxa"/>
            <w:vAlign w:val="center"/>
          </w:tcPr>
          <w:p w14:paraId="0A54E4D4">
            <w:pPr>
              <w:topLinePunct/>
              <w:spacing w:before="60" w:after="60"/>
              <w:rPr>
                <w:szCs w:val="21"/>
              </w:rPr>
            </w:pPr>
          </w:p>
        </w:tc>
        <w:tc>
          <w:tcPr>
            <w:tcW w:w="1701" w:type="dxa"/>
          </w:tcPr>
          <w:p w14:paraId="75DB6225">
            <w:pPr>
              <w:topLinePunct/>
              <w:spacing w:before="60" w:after="60"/>
              <w:rPr>
                <w:szCs w:val="21"/>
              </w:rPr>
            </w:pPr>
          </w:p>
        </w:tc>
      </w:tr>
      <w:tr w14:paraId="2A41A6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4BFC2C48">
            <w:pPr>
              <w:topLinePunct/>
              <w:spacing w:before="60" w:after="60"/>
              <w:jc w:val="center"/>
              <w:rPr>
                <w:szCs w:val="21"/>
              </w:rPr>
            </w:pPr>
            <w:r>
              <w:rPr>
                <w:rFonts w:hint="eastAsia"/>
                <w:szCs w:val="21"/>
              </w:rPr>
              <w:t>3</w:t>
            </w:r>
          </w:p>
        </w:tc>
        <w:tc>
          <w:tcPr>
            <w:tcW w:w="2841" w:type="dxa"/>
          </w:tcPr>
          <w:p w14:paraId="243B949C">
            <w:pPr>
              <w:jc w:val="center"/>
              <w:rPr>
                <w:szCs w:val="21"/>
              </w:rPr>
            </w:pPr>
            <w:r>
              <w:rPr>
                <w:rFonts w:hint="eastAsia"/>
                <w:szCs w:val="21"/>
              </w:rPr>
              <w:t>导体</w:t>
            </w:r>
            <w:r>
              <w:rPr>
                <w:szCs w:val="21"/>
              </w:rPr>
              <w:t>屏蔽层</w:t>
            </w:r>
          </w:p>
        </w:tc>
        <w:tc>
          <w:tcPr>
            <w:tcW w:w="2029" w:type="dxa"/>
          </w:tcPr>
          <w:p w14:paraId="1CC0DEF8">
            <w:pPr>
              <w:topLinePunct/>
              <w:spacing w:before="60" w:after="60"/>
              <w:rPr>
                <w:iCs/>
                <w:szCs w:val="21"/>
              </w:rPr>
            </w:pPr>
            <w:r>
              <w:rPr>
                <w:rFonts w:hint="eastAsia"/>
                <w:iCs/>
                <w:szCs w:val="21"/>
              </w:rPr>
              <w:t>/</w:t>
            </w:r>
          </w:p>
        </w:tc>
        <w:tc>
          <w:tcPr>
            <w:tcW w:w="1860" w:type="dxa"/>
            <w:vAlign w:val="center"/>
          </w:tcPr>
          <w:p w14:paraId="2E368FB6">
            <w:pPr>
              <w:topLinePunct/>
              <w:spacing w:before="60" w:after="60"/>
              <w:rPr>
                <w:szCs w:val="21"/>
              </w:rPr>
            </w:pPr>
          </w:p>
        </w:tc>
        <w:tc>
          <w:tcPr>
            <w:tcW w:w="1701" w:type="dxa"/>
          </w:tcPr>
          <w:p w14:paraId="7E33F4C2">
            <w:pPr>
              <w:topLinePunct/>
              <w:spacing w:before="60" w:after="60"/>
              <w:rPr>
                <w:szCs w:val="21"/>
              </w:rPr>
            </w:pPr>
          </w:p>
        </w:tc>
      </w:tr>
      <w:tr w14:paraId="1C4861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33A89E60">
            <w:pPr>
              <w:topLinePunct/>
              <w:spacing w:before="60" w:after="60"/>
              <w:jc w:val="center"/>
              <w:rPr>
                <w:szCs w:val="21"/>
              </w:rPr>
            </w:pPr>
            <w:r>
              <w:rPr>
                <w:rFonts w:hint="eastAsia"/>
                <w:szCs w:val="21"/>
              </w:rPr>
              <w:t>4</w:t>
            </w:r>
          </w:p>
        </w:tc>
        <w:tc>
          <w:tcPr>
            <w:tcW w:w="2841" w:type="dxa"/>
          </w:tcPr>
          <w:p w14:paraId="66D0A08A">
            <w:pPr>
              <w:jc w:val="center"/>
              <w:rPr>
                <w:szCs w:val="21"/>
              </w:rPr>
            </w:pPr>
            <w:r>
              <w:rPr>
                <w:rFonts w:hint="eastAsia"/>
                <w:szCs w:val="21"/>
              </w:rPr>
              <w:t>主</w:t>
            </w:r>
            <w:r>
              <w:rPr>
                <w:szCs w:val="21"/>
              </w:rPr>
              <w:t>绝缘</w:t>
            </w:r>
          </w:p>
        </w:tc>
        <w:tc>
          <w:tcPr>
            <w:tcW w:w="2029" w:type="dxa"/>
          </w:tcPr>
          <w:p w14:paraId="6CABBBE6">
            <w:pPr>
              <w:topLinePunct/>
              <w:spacing w:before="60" w:after="60"/>
              <w:rPr>
                <w:iCs/>
                <w:szCs w:val="21"/>
              </w:rPr>
            </w:pPr>
            <w:r>
              <w:rPr>
                <w:rFonts w:hint="eastAsia"/>
                <w:iCs/>
                <w:szCs w:val="21"/>
              </w:rPr>
              <w:t>/</w:t>
            </w:r>
          </w:p>
        </w:tc>
        <w:tc>
          <w:tcPr>
            <w:tcW w:w="1860" w:type="dxa"/>
            <w:vAlign w:val="center"/>
          </w:tcPr>
          <w:p w14:paraId="13546ABB">
            <w:pPr>
              <w:topLinePunct/>
              <w:spacing w:before="60" w:after="60"/>
              <w:rPr>
                <w:szCs w:val="21"/>
              </w:rPr>
            </w:pPr>
          </w:p>
        </w:tc>
        <w:tc>
          <w:tcPr>
            <w:tcW w:w="1701" w:type="dxa"/>
          </w:tcPr>
          <w:p w14:paraId="288F4B4C">
            <w:pPr>
              <w:topLinePunct/>
              <w:spacing w:before="60" w:after="60"/>
              <w:rPr>
                <w:szCs w:val="21"/>
              </w:rPr>
            </w:pPr>
          </w:p>
        </w:tc>
      </w:tr>
      <w:tr w14:paraId="0F80A7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1FCD6823">
            <w:pPr>
              <w:topLinePunct/>
              <w:spacing w:before="60" w:after="60"/>
              <w:jc w:val="center"/>
              <w:rPr>
                <w:szCs w:val="21"/>
              </w:rPr>
            </w:pPr>
            <w:r>
              <w:rPr>
                <w:rFonts w:hint="eastAsia"/>
                <w:szCs w:val="21"/>
              </w:rPr>
              <w:t>5</w:t>
            </w:r>
          </w:p>
        </w:tc>
        <w:tc>
          <w:tcPr>
            <w:tcW w:w="2841" w:type="dxa"/>
          </w:tcPr>
          <w:p w14:paraId="2620D7A4">
            <w:pPr>
              <w:jc w:val="center"/>
              <w:rPr>
                <w:szCs w:val="21"/>
              </w:rPr>
            </w:pPr>
            <w:r>
              <w:rPr>
                <w:rFonts w:hint="eastAsia"/>
                <w:szCs w:val="21"/>
              </w:rPr>
              <w:t>绝缘</w:t>
            </w:r>
            <w:r>
              <w:rPr>
                <w:szCs w:val="21"/>
              </w:rPr>
              <w:t>屏蔽层</w:t>
            </w:r>
          </w:p>
        </w:tc>
        <w:tc>
          <w:tcPr>
            <w:tcW w:w="2029" w:type="dxa"/>
          </w:tcPr>
          <w:p w14:paraId="54FD68A6">
            <w:pPr>
              <w:topLinePunct/>
              <w:spacing w:before="60" w:after="60"/>
              <w:rPr>
                <w:iCs/>
                <w:szCs w:val="21"/>
              </w:rPr>
            </w:pPr>
            <w:r>
              <w:rPr>
                <w:rFonts w:hint="eastAsia"/>
                <w:iCs/>
                <w:szCs w:val="21"/>
              </w:rPr>
              <w:t>/</w:t>
            </w:r>
          </w:p>
        </w:tc>
        <w:tc>
          <w:tcPr>
            <w:tcW w:w="1860" w:type="dxa"/>
            <w:vAlign w:val="center"/>
          </w:tcPr>
          <w:p w14:paraId="18A47961">
            <w:pPr>
              <w:topLinePunct/>
              <w:spacing w:before="60" w:after="60"/>
              <w:rPr>
                <w:szCs w:val="21"/>
              </w:rPr>
            </w:pPr>
          </w:p>
        </w:tc>
        <w:tc>
          <w:tcPr>
            <w:tcW w:w="1701" w:type="dxa"/>
          </w:tcPr>
          <w:p w14:paraId="78D1463E">
            <w:pPr>
              <w:topLinePunct/>
              <w:spacing w:before="60" w:after="60"/>
              <w:rPr>
                <w:szCs w:val="21"/>
              </w:rPr>
            </w:pPr>
          </w:p>
        </w:tc>
      </w:tr>
      <w:tr w14:paraId="52B7CF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55AF0699">
            <w:pPr>
              <w:topLinePunct/>
              <w:spacing w:before="60" w:after="60"/>
              <w:jc w:val="center"/>
              <w:rPr>
                <w:szCs w:val="21"/>
              </w:rPr>
            </w:pPr>
            <w:r>
              <w:rPr>
                <w:rFonts w:hint="eastAsia"/>
                <w:szCs w:val="21"/>
              </w:rPr>
              <w:t>6</w:t>
            </w:r>
          </w:p>
        </w:tc>
        <w:tc>
          <w:tcPr>
            <w:tcW w:w="2841" w:type="dxa"/>
          </w:tcPr>
          <w:p w14:paraId="369D03BC">
            <w:pPr>
              <w:jc w:val="center"/>
              <w:rPr>
                <w:szCs w:val="21"/>
              </w:rPr>
            </w:pPr>
            <w:r>
              <w:rPr>
                <w:rFonts w:hint="eastAsia"/>
                <w:szCs w:val="21"/>
              </w:rPr>
              <w:t>径向阻水带</w:t>
            </w:r>
          </w:p>
        </w:tc>
        <w:tc>
          <w:tcPr>
            <w:tcW w:w="2029" w:type="dxa"/>
          </w:tcPr>
          <w:p w14:paraId="40A50935">
            <w:pPr>
              <w:topLinePunct/>
              <w:spacing w:before="60" w:after="60"/>
              <w:rPr>
                <w:iCs/>
                <w:szCs w:val="21"/>
              </w:rPr>
            </w:pPr>
            <w:r>
              <w:rPr>
                <w:rFonts w:hint="eastAsia"/>
                <w:iCs/>
                <w:szCs w:val="21"/>
              </w:rPr>
              <w:t>/</w:t>
            </w:r>
          </w:p>
        </w:tc>
        <w:tc>
          <w:tcPr>
            <w:tcW w:w="1860" w:type="dxa"/>
            <w:vAlign w:val="center"/>
          </w:tcPr>
          <w:p w14:paraId="165EFBCA">
            <w:pPr>
              <w:topLinePunct/>
              <w:spacing w:before="60" w:after="60"/>
              <w:rPr>
                <w:szCs w:val="21"/>
              </w:rPr>
            </w:pPr>
          </w:p>
        </w:tc>
        <w:tc>
          <w:tcPr>
            <w:tcW w:w="1701" w:type="dxa"/>
          </w:tcPr>
          <w:p w14:paraId="54EE3D70">
            <w:pPr>
              <w:topLinePunct/>
              <w:spacing w:before="60" w:after="60"/>
              <w:rPr>
                <w:szCs w:val="21"/>
              </w:rPr>
            </w:pPr>
          </w:p>
        </w:tc>
      </w:tr>
      <w:tr w14:paraId="59AF4A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709A651E">
            <w:pPr>
              <w:topLinePunct/>
              <w:spacing w:before="60" w:after="60"/>
              <w:jc w:val="center"/>
              <w:rPr>
                <w:szCs w:val="21"/>
              </w:rPr>
            </w:pPr>
            <w:r>
              <w:rPr>
                <w:rFonts w:hint="eastAsia"/>
                <w:szCs w:val="21"/>
              </w:rPr>
              <w:t>7</w:t>
            </w:r>
          </w:p>
        </w:tc>
        <w:tc>
          <w:tcPr>
            <w:tcW w:w="2841" w:type="dxa"/>
          </w:tcPr>
          <w:p w14:paraId="6E261D4B">
            <w:pPr>
              <w:jc w:val="center"/>
              <w:rPr>
                <w:szCs w:val="21"/>
              </w:rPr>
            </w:pPr>
            <w:r>
              <w:rPr>
                <w:rFonts w:hint="eastAsia"/>
                <w:szCs w:val="21"/>
              </w:rPr>
              <w:t>金属</w:t>
            </w:r>
            <w:r>
              <w:rPr>
                <w:szCs w:val="21"/>
              </w:rPr>
              <w:t>护套</w:t>
            </w:r>
          </w:p>
        </w:tc>
        <w:tc>
          <w:tcPr>
            <w:tcW w:w="2029" w:type="dxa"/>
          </w:tcPr>
          <w:p w14:paraId="473EA794">
            <w:pPr>
              <w:topLinePunct/>
              <w:spacing w:before="60" w:after="60"/>
              <w:rPr>
                <w:iCs/>
                <w:szCs w:val="21"/>
              </w:rPr>
            </w:pPr>
            <w:r>
              <w:rPr>
                <w:rFonts w:hint="eastAsia"/>
                <w:iCs/>
                <w:szCs w:val="21"/>
              </w:rPr>
              <w:t>/</w:t>
            </w:r>
          </w:p>
        </w:tc>
        <w:tc>
          <w:tcPr>
            <w:tcW w:w="1860" w:type="dxa"/>
            <w:vAlign w:val="center"/>
          </w:tcPr>
          <w:p w14:paraId="49AFB0CE">
            <w:pPr>
              <w:topLinePunct/>
              <w:spacing w:before="60" w:after="60"/>
              <w:rPr>
                <w:szCs w:val="21"/>
              </w:rPr>
            </w:pPr>
          </w:p>
        </w:tc>
        <w:tc>
          <w:tcPr>
            <w:tcW w:w="1701" w:type="dxa"/>
          </w:tcPr>
          <w:p w14:paraId="741EB915">
            <w:pPr>
              <w:topLinePunct/>
              <w:spacing w:before="60" w:after="60"/>
              <w:rPr>
                <w:szCs w:val="21"/>
              </w:rPr>
            </w:pPr>
          </w:p>
        </w:tc>
      </w:tr>
      <w:tr w14:paraId="60D0A3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34BE4BD6">
            <w:pPr>
              <w:topLinePunct/>
              <w:spacing w:before="66" w:after="66"/>
              <w:jc w:val="center"/>
              <w:rPr>
                <w:szCs w:val="21"/>
              </w:rPr>
            </w:pPr>
            <w:r>
              <w:rPr>
                <w:rFonts w:hint="eastAsia"/>
                <w:szCs w:val="21"/>
              </w:rPr>
              <w:t>8</w:t>
            </w:r>
          </w:p>
        </w:tc>
        <w:tc>
          <w:tcPr>
            <w:tcW w:w="2841" w:type="dxa"/>
          </w:tcPr>
          <w:p w14:paraId="03702B42">
            <w:pPr>
              <w:jc w:val="center"/>
              <w:rPr>
                <w:szCs w:val="21"/>
              </w:rPr>
            </w:pPr>
            <w:r>
              <w:rPr>
                <w:rFonts w:hint="eastAsia"/>
                <w:szCs w:val="21"/>
              </w:rPr>
              <w:t>非金属</w:t>
            </w:r>
            <w:r>
              <w:rPr>
                <w:szCs w:val="21"/>
              </w:rPr>
              <w:t>护套</w:t>
            </w:r>
          </w:p>
        </w:tc>
        <w:tc>
          <w:tcPr>
            <w:tcW w:w="2029" w:type="dxa"/>
          </w:tcPr>
          <w:p w14:paraId="013846A4">
            <w:pPr>
              <w:topLinePunct/>
              <w:spacing w:before="60" w:after="60"/>
              <w:rPr>
                <w:iCs/>
                <w:szCs w:val="21"/>
              </w:rPr>
            </w:pPr>
            <w:r>
              <w:rPr>
                <w:rFonts w:hint="eastAsia"/>
                <w:iCs/>
                <w:szCs w:val="21"/>
              </w:rPr>
              <w:t>/</w:t>
            </w:r>
          </w:p>
        </w:tc>
        <w:tc>
          <w:tcPr>
            <w:tcW w:w="1860" w:type="dxa"/>
            <w:vAlign w:val="center"/>
          </w:tcPr>
          <w:p w14:paraId="66FAB5E0">
            <w:pPr>
              <w:topLinePunct/>
              <w:spacing w:before="60" w:after="60"/>
              <w:rPr>
                <w:szCs w:val="21"/>
              </w:rPr>
            </w:pPr>
          </w:p>
        </w:tc>
        <w:tc>
          <w:tcPr>
            <w:tcW w:w="1701" w:type="dxa"/>
          </w:tcPr>
          <w:p w14:paraId="3B204A56">
            <w:pPr>
              <w:topLinePunct/>
              <w:spacing w:before="60" w:after="60"/>
              <w:rPr>
                <w:szCs w:val="21"/>
              </w:rPr>
            </w:pPr>
          </w:p>
        </w:tc>
      </w:tr>
      <w:tr w14:paraId="79BD40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3F0EF351">
            <w:pPr>
              <w:jc w:val="center"/>
              <w:rPr>
                <w:szCs w:val="21"/>
              </w:rPr>
            </w:pPr>
            <w:r>
              <w:rPr>
                <w:rFonts w:hint="eastAsia"/>
                <w:szCs w:val="21"/>
              </w:rPr>
              <w:t>9</w:t>
            </w:r>
          </w:p>
        </w:tc>
        <w:tc>
          <w:tcPr>
            <w:tcW w:w="2841" w:type="dxa"/>
          </w:tcPr>
          <w:p w14:paraId="3B994B75">
            <w:pPr>
              <w:jc w:val="center"/>
              <w:rPr>
                <w:szCs w:val="21"/>
              </w:rPr>
            </w:pPr>
            <w:r>
              <w:rPr>
                <w:rFonts w:hint="eastAsia"/>
                <w:szCs w:val="21"/>
              </w:rPr>
              <w:t>铠装材料（钢、铜）</w:t>
            </w:r>
          </w:p>
        </w:tc>
        <w:tc>
          <w:tcPr>
            <w:tcW w:w="2029" w:type="dxa"/>
          </w:tcPr>
          <w:p w14:paraId="02F0A9F7">
            <w:pPr>
              <w:topLinePunct/>
              <w:spacing w:before="66" w:after="66"/>
              <w:rPr>
                <w:iCs/>
                <w:szCs w:val="21"/>
              </w:rPr>
            </w:pPr>
            <w:r>
              <w:rPr>
                <w:rFonts w:hint="eastAsia"/>
                <w:iCs/>
                <w:szCs w:val="21"/>
              </w:rPr>
              <w:t>/</w:t>
            </w:r>
          </w:p>
        </w:tc>
        <w:tc>
          <w:tcPr>
            <w:tcW w:w="1860" w:type="dxa"/>
            <w:vAlign w:val="center"/>
          </w:tcPr>
          <w:p w14:paraId="65B50FC4">
            <w:pPr>
              <w:topLinePunct/>
              <w:spacing w:before="66" w:after="66"/>
              <w:rPr>
                <w:szCs w:val="21"/>
              </w:rPr>
            </w:pPr>
          </w:p>
        </w:tc>
        <w:tc>
          <w:tcPr>
            <w:tcW w:w="1701" w:type="dxa"/>
          </w:tcPr>
          <w:p w14:paraId="6E2AC465">
            <w:pPr>
              <w:topLinePunct/>
              <w:spacing w:before="66" w:after="66"/>
              <w:rPr>
                <w:szCs w:val="21"/>
              </w:rPr>
            </w:pPr>
          </w:p>
        </w:tc>
      </w:tr>
      <w:tr w14:paraId="568A54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55" w:type="dxa"/>
            <w:vAlign w:val="center"/>
          </w:tcPr>
          <w:p w14:paraId="6C65A76C">
            <w:pPr>
              <w:jc w:val="center"/>
              <w:rPr>
                <w:szCs w:val="21"/>
              </w:rPr>
            </w:pPr>
            <w:r>
              <w:rPr>
                <w:rFonts w:hint="eastAsia"/>
                <w:szCs w:val="21"/>
              </w:rPr>
              <w:t>1</w:t>
            </w:r>
            <w:r>
              <w:rPr>
                <w:szCs w:val="21"/>
              </w:rPr>
              <w:t>0</w:t>
            </w:r>
          </w:p>
        </w:tc>
        <w:tc>
          <w:tcPr>
            <w:tcW w:w="2841" w:type="dxa"/>
          </w:tcPr>
          <w:p w14:paraId="12D4BDF8">
            <w:pPr>
              <w:jc w:val="center"/>
              <w:rPr>
                <w:szCs w:val="21"/>
              </w:rPr>
            </w:pPr>
            <w:r>
              <w:rPr>
                <w:rFonts w:hint="eastAsia"/>
                <w:szCs w:val="21"/>
              </w:rPr>
              <w:t>光纤单元</w:t>
            </w:r>
          </w:p>
        </w:tc>
        <w:tc>
          <w:tcPr>
            <w:tcW w:w="2029" w:type="dxa"/>
          </w:tcPr>
          <w:p w14:paraId="06887D95">
            <w:pPr>
              <w:topLinePunct/>
              <w:spacing w:before="66" w:after="66"/>
              <w:rPr>
                <w:iCs/>
                <w:szCs w:val="21"/>
              </w:rPr>
            </w:pPr>
            <w:r>
              <w:rPr>
                <w:rFonts w:hint="eastAsia"/>
                <w:iCs/>
                <w:szCs w:val="21"/>
              </w:rPr>
              <w:t>/</w:t>
            </w:r>
          </w:p>
        </w:tc>
        <w:tc>
          <w:tcPr>
            <w:tcW w:w="1860" w:type="dxa"/>
            <w:vAlign w:val="center"/>
          </w:tcPr>
          <w:p w14:paraId="3D46703B">
            <w:pPr>
              <w:topLinePunct/>
              <w:spacing w:before="66" w:after="66"/>
              <w:rPr>
                <w:szCs w:val="21"/>
              </w:rPr>
            </w:pPr>
          </w:p>
        </w:tc>
        <w:tc>
          <w:tcPr>
            <w:tcW w:w="1701" w:type="dxa"/>
          </w:tcPr>
          <w:p w14:paraId="524C5CA0">
            <w:pPr>
              <w:topLinePunct/>
              <w:spacing w:before="66" w:after="66"/>
              <w:rPr>
                <w:szCs w:val="21"/>
              </w:rPr>
            </w:pPr>
          </w:p>
        </w:tc>
      </w:tr>
    </w:tbl>
    <w:p w14:paraId="13C9F59E">
      <w:pPr>
        <w:rPr>
          <w:szCs w:val="21"/>
        </w:rPr>
      </w:pPr>
    </w:p>
    <w:p w14:paraId="45E06565">
      <w:pPr>
        <w:sectPr>
          <w:footerReference r:id="rId12" w:type="default"/>
          <w:pgSz w:w="11906" w:h="16838"/>
          <w:pgMar w:top="1134" w:right="1418" w:bottom="1418" w:left="1418" w:header="851" w:footer="992" w:gutter="0"/>
          <w:cols w:space="720" w:num="1"/>
          <w:docGrid w:type="lines" w:linePitch="312" w:charSpace="0"/>
        </w:sectPr>
      </w:pPr>
    </w:p>
    <w:p w14:paraId="4C9EB9F8">
      <w:pPr>
        <w:pStyle w:val="4"/>
        <w:spacing w:line="360" w:lineRule="auto"/>
        <w:ind w:left="0"/>
      </w:pPr>
      <w:bookmarkStart w:id="127" w:name="_Toc20200"/>
      <w:bookmarkStart w:id="128" w:name="_Toc232443358"/>
      <w:bookmarkStart w:id="129" w:name="_Toc7421"/>
      <w:bookmarkStart w:id="130" w:name="_Toc226123951"/>
      <w:bookmarkStart w:id="131" w:name="_Toc52271821"/>
      <w:r>
        <w:rPr>
          <w:rFonts w:hint="eastAsia"/>
        </w:rPr>
        <w:t>6</w:t>
      </w:r>
      <w:r>
        <w:t>.9 备品备件、专用工具和仪器仪表供货表</w:t>
      </w:r>
      <w:bookmarkEnd w:id="127"/>
      <w:bookmarkEnd w:id="128"/>
      <w:bookmarkEnd w:id="129"/>
      <w:bookmarkEnd w:id="130"/>
      <w:bookmarkEnd w:id="131"/>
    </w:p>
    <w:p w14:paraId="0051369D">
      <w:pPr>
        <w:adjustRightInd w:val="0"/>
        <w:snapToGrid w:val="0"/>
        <w:spacing w:line="360" w:lineRule="auto"/>
        <w:ind w:firstLine="420" w:firstLineChars="200"/>
        <w:rPr>
          <w:szCs w:val="21"/>
        </w:rPr>
      </w:pPr>
      <w:r>
        <w:rPr>
          <w:szCs w:val="21"/>
        </w:rPr>
        <w:t>投标方应向需方提供必备的备品备件、专用工具和仪器仪表清单</w:t>
      </w:r>
      <w:r>
        <w:rPr>
          <w:rFonts w:hint="eastAsia"/>
          <w:szCs w:val="21"/>
        </w:rPr>
        <w:t>，</w:t>
      </w:r>
      <w:r>
        <w:rPr>
          <w:szCs w:val="21"/>
        </w:rPr>
        <w:t>要求提供的备品备件、专用工具和仪器仪表应是新品, 与设备同型号、同工艺。</w:t>
      </w:r>
    </w:p>
    <w:p w14:paraId="46A8DE81">
      <w:pPr>
        <w:jc w:val="center"/>
        <w:rPr>
          <w:szCs w:val="21"/>
        </w:rPr>
      </w:pPr>
      <w:r>
        <w:rPr>
          <w:szCs w:val="21"/>
        </w:rPr>
        <w:t>表</w:t>
      </w:r>
      <w:r>
        <w:rPr>
          <w:rFonts w:hint="eastAsia"/>
          <w:szCs w:val="21"/>
        </w:rPr>
        <w:t>6</w:t>
      </w:r>
      <w:r>
        <w:rPr>
          <w:szCs w:val="21"/>
        </w:rPr>
        <w:t>.</w:t>
      </w:r>
      <w:r>
        <w:rPr>
          <w:rFonts w:hint="eastAsia"/>
          <w:szCs w:val="21"/>
        </w:rPr>
        <w:t>9-1</w:t>
      </w:r>
      <w:r>
        <w:rPr>
          <w:szCs w:val="21"/>
        </w:rPr>
        <w:t xml:space="preserve"> 必备及推荐的备品备件、专用工具和仪器仪表清单 （项目单位填写）</w:t>
      </w:r>
    </w:p>
    <w:tbl>
      <w:tblPr>
        <w:tblStyle w:val="8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14:paraId="4A70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14:paraId="576CE0EA">
            <w:pPr>
              <w:pStyle w:val="43"/>
              <w:jc w:val="center"/>
              <w:rPr>
                <w:rFonts w:ascii="Times New Roman" w:hAnsi="Times New Roman"/>
              </w:rPr>
            </w:pPr>
            <w:r>
              <w:rPr>
                <w:rFonts w:ascii="Times New Roman" w:hAnsi="Times New Roman"/>
              </w:rPr>
              <w:t>序号</w:t>
            </w:r>
          </w:p>
        </w:tc>
        <w:tc>
          <w:tcPr>
            <w:tcW w:w="1842" w:type="dxa"/>
            <w:vAlign w:val="center"/>
          </w:tcPr>
          <w:p w14:paraId="06FD685F">
            <w:pPr>
              <w:pStyle w:val="43"/>
              <w:jc w:val="center"/>
              <w:rPr>
                <w:rFonts w:ascii="Times New Roman" w:hAnsi="Times New Roman"/>
              </w:rPr>
            </w:pPr>
            <w:r>
              <w:rPr>
                <w:rFonts w:ascii="Times New Roman" w:hAnsi="Times New Roman"/>
              </w:rPr>
              <w:t>名称</w:t>
            </w:r>
          </w:p>
        </w:tc>
        <w:tc>
          <w:tcPr>
            <w:tcW w:w="994" w:type="dxa"/>
            <w:vAlign w:val="center"/>
          </w:tcPr>
          <w:p w14:paraId="4299C58D">
            <w:pPr>
              <w:pStyle w:val="43"/>
              <w:jc w:val="center"/>
              <w:rPr>
                <w:rFonts w:ascii="Times New Roman" w:hAnsi="Times New Roman"/>
              </w:rPr>
            </w:pPr>
            <w:r>
              <w:rPr>
                <w:rFonts w:ascii="Times New Roman" w:hAnsi="Times New Roman"/>
              </w:rPr>
              <w:t>型号及规格</w:t>
            </w:r>
          </w:p>
        </w:tc>
        <w:tc>
          <w:tcPr>
            <w:tcW w:w="1237" w:type="dxa"/>
            <w:vAlign w:val="center"/>
          </w:tcPr>
          <w:p w14:paraId="203C7F2D">
            <w:pPr>
              <w:pStyle w:val="43"/>
              <w:jc w:val="center"/>
              <w:rPr>
                <w:rFonts w:ascii="Times New Roman" w:hAnsi="Times New Roman"/>
              </w:rPr>
            </w:pPr>
            <w:r>
              <w:rPr>
                <w:rFonts w:ascii="Times New Roman" w:hAnsi="Times New Roman"/>
              </w:rPr>
              <w:t>单位</w:t>
            </w:r>
          </w:p>
        </w:tc>
        <w:tc>
          <w:tcPr>
            <w:tcW w:w="890" w:type="dxa"/>
            <w:vAlign w:val="center"/>
          </w:tcPr>
          <w:p w14:paraId="4BE7A9BA">
            <w:pPr>
              <w:pStyle w:val="43"/>
              <w:jc w:val="center"/>
              <w:rPr>
                <w:rFonts w:ascii="Times New Roman" w:hAnsi="Times New Roman"/>
              </w:rPr>
            </w:pPr>
            <w:r>
              <w:rPr>
                <w:rFonts w:ascii="Times New Roman" w:hAnsi="Times New Roman"/>
              </w:rPr>
              <w:t>数量</w:t>
            </w:r>
          </w:p>
        </w:tc>
        <w:tc>
          <w:tcPr>
            <w:tcW w:w="1504" w:type="dxa"/>
            <w:vAlign w:val="center"/>
          </w:tcPr>
          <w:p w14:paraId="1167303F">
            <w:pPr>
              <w:pStyle w:val="43"/>
              <w:jc w:val="center"/>
              <w:rPr>
                <w:rFonts w:ascii="Times New Roman" w:hAnsi="Times New Roman"/>
              </w:rPr>
            </w:pPr>
            <w:r>
              <w:rPr>
                <w:rFonts w:ascii="Times New Roman" w:hAnsi="Times New Roman"/>
              </w:rPr>
              <w:t>使用处</w:t>
            </w:r>
          </w:p>
        </w:tc>
        <w:tc>
          <w:tcPr>
            <w:tcW w:w="1060" w:type="dxa"/>
            <w:vAlign w:val="center"/>
          </w:tcPr>
          <w:p w14:paraId="3EB2950A">
            <w:pPr>
              <w:pStyle w:val="43"/>
              <w:jc w:val="center"/>
              <w:rPr>
                <w:rFonts w:ascii="Times New Roman" w:hAnsi="Times New Roman"/>
              </w:rPr>
            </w:pPr>
            <w:r>
              <w:rPr>
                <w:rFonts w:ascii="Times New Roman" w:hAnsi="Times New Roman"/>
              </w:rPr>
              <w:t>制造商</w:t>
            </w:r>
          </w:p>
        </w:tc>
        <w:tc>
          <w:tcPr>
            <w:tcW w:w="1085" w:type="dxa"/>
            <w:vAlign w:val="center"/>
          </w:tcPr>
          <w:p w14:paraId="640C644B">
            <w:pPr>
              <w:pStyle w:val="43"/>
              <w:jc w:val="center"/>
              <w:rPr>
                <w:rFonts w:ascii="Times New Roman" w:hAnsi="Times New Roman"/>
              </w:rPr>
            </w:pPr>
            <w:r>
              <w:rPr>
                <w:rFonts w:ascii="Times New Roman" w:hAnsi="Times New Roman"/>
              </w:rPr>
              <w:t>备  注</w:t>
            </w:r>
          </w:p>
        </w:tc>
      </w:tr>
      <w:tr w14:paraId="217B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4" w:type="dxa"/>
          </w:tcPr>
          <w:p w14:paraId="55E89B3E">
            <w:pPr>
              <w:pStyle w:val="43"/>
              <w:jc w:val="center"/>
              <w:rPr>
                <w:rFonts w:ascii="Times New Roman" w:hAnsi="Times New Roman"/>
              </w:rPr>
            </w:pPr>
          </w:p>
        </w:tc>
        <w:tc>
          <w:tcPr>
            <w:tcW w:w="1842" w:type="dxa"/>
          </w:tcPr>
          <w:p w14:paraId="57986BF2">
            <w:pPr>
              <w:pStyle w:val="43"/>
              <w:jc w:val="center"/>
              <w:rPr>
                <w:rFonts w:ascii="Times New Roman" w:hAnsi="Times New Roman"/>
              </w:rPr>
            </w:pPr>
          </w:p>
        </w:tc>
        <w:tc>
          <w:tcPr>
            <w:tcW w:w="994" w:type="dxa"/>
          </w:tcPr>
          <w:p w14:paraId="0D71F543">
            <w:pPr>
              <w:pStyle w:val="43"/>
              <w:jc w:val="center"/>
              <w:rPr>
                <w:rFonts w:ascii="Times New Roman" w:hAnsi="Times New Roman"/>
              </w:rPr>
            </w:pPr>
          </w:p>
        </w:tc>
        <w:tc>
          <w:tcPr>
            <w:tcW w:w="1237" w:type="dxa"/>
          </w:tcPr>
          <w:p w14:paraId="67DAD6B7">
            <w:pPr>
              <w:pStyle w:val="43"/>
              <w:jc w:val="center"/>
              <w:rPr>
                <w:rFonts w:ascii="Times New Roman" w:hAnsi="Times New Roman"/>
              </w:rPr>
            </w:pPr>
          </w:p>
        </w:tc>
        <w:tc>
          <w:tcPr>
            <w:tcW w:w="890" w:type="dxa"/>
          </w:tcPr>
          <w:p w14:paraId="516C2058">
            <w:pPr>
              <w:pStyle w:val="43"/>
              <w:jc w:val="center"/>
              <w:rPr>
                <w:rFonts w:ascii="Times New Roman" w:hAnsi="Times New Roman"/>
              </w:rPr>
            </w:pPr>
          </w:p>
        </w:tc>
        <w:tc>
          <w:tcPr>
            <w:tcW w:w="1504" w:type="dxa"/>
          </w:tcPr>
          <w:p w14:paraId="3C219F18">
            <w:pPr>
              <w:pStyle w:val="43"/>
              <w:jc w:val="center"/>
              <w:rPr>
                <w:rFonts w:ascii="Times New Roman" w:hAnsi="Times New Roman"/>
              </w:rPr>
            </w:pPr>
          </w:p>
        </w:tc>
        <w:tc>
          <w:tcPr>
            <w:tcW w:w="1060" w:type="dxa"/>
          </w:tcPr>
          <w:p w14:paraId="70E12E5D">
            <w:pPr>
              <w:pStyle w:val="43"/>
              <w:jc w:val="center"/>
              <w:rPr>
                <w:rFonts w:ascii="Times New Roman" w:hAnsi="Times New Roman"/>
              </w:rPr>
            </w:pPr>
          </w:p>
        </w:tc>
        <w:tc>
          <w:tcPr>
            <w:tcW w:w="1085" w:type="dxa"/>
          </w:tcPr>
          <w:p w14:paraId="09BC8D0A">
            <w:pPr>
              <w:pStyle w:val="43"/>
              <w:jc w:val="center"/>
              <w:rPr>
                <w:rFonts w:ascii="Times New Roman" w:hAnsi="Times New Roman"/>
              </w:rPr>
            </w:pPr>
          </w:p>
        </w:tc>
      </w:tr>
      <w:tr w14:paraId="1FB7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4" w:type="dxa"/>
          </w:tcPr>
          <w:p w14:paraId="18AFABAC">
            <w:pPr>
              <w:pStyle w:val="43"/>
              <w:jc w:val="center"/>
              <w:rPr>
                <w:rFonts w:ascii="Times New Roman" w:hAnsi="Times New Roman"/>
              </w:rPr>
            </w:pPr>
          </w:p>
        </w:tc>
        <w:tc>
          <w:tcPr>
            <w:tcW w:w="1842" w:type="dxa"/>
          </w:tcPr>
          <w:p w14:paraId="2659A1CE">
            <w:pPr>
              <w:pStyle w:val="43"/>
              <w:jc w:val="center"/>
              <w:rPr>
                <w:rFonts w:ascii="Times New Roman" w:hAnsi="Times New Roman"/>
              </w:rPr>
            </w:pPr>
          </w:p>
        </w:tc>
        <w:tc>
          <w:tcPr>
            <w:tcW w:w="994" w:type="dxa"/>
          </w:tcPr>
          <w:p w14:paraId="57A117C7">
            <w:pPr>
              <w:pStyle w:val="43"/>
              <w:jc w:val="center"/>
              <w:rPr>
                <w:rFonts w:ascii="Times New Roman" w:hAnsi="Times New Roman"/>
              </w:rPr>
            </w:pPr>
          </w:p>
        </w:tc>
        <w:tc>
          <w:tcPr>
            <w:tcW w:w="1237" w:type="dxa"/>
          </w:tcPr>
          <w:p w14:paraId="5A1A131F">
            <w:pPr>
              <w:pStyle w:val="43"/>
              <w:jc w:val="center"/>
              <w:rPr>
                <w:rFonts w:ascii="Times New Roman" w:hAnsi="Times New Roman"/>
              </w:rPr>
            </w:pPr>
          </w:p>
        </w:tc>
        <w:tc>
          <w:tcPr>
            <w:tcW w:w="890" w:type="dxa"/>
          </w:tcPr>
          <w:p w14:paraId="355C6055">
            <w:pPr>
              <w:pStyle w:val="43"/>
              <w:jc w:val="center"/>
              <w:rPr>
                <w:rFonts w:ascii="Times New Roman" w:hAnsi="Times New Roman"/>
              </w:rPr>
            </w:pPr>
          </w:p>
        </w:tc>
        <w:tc>
          <w:tcPr>
            <w:tcW w:w="1504" w:type="dxa"/>
          </w:tcPr>
          <w:p w14:paraId="33E86F14">
            <w:pPr>
              <w:pStyle w:val="43"/>
              <w:jc w:val="center"/>
              <w:rPr>
                <w:rFonts w:ascii="Times New Roman" w:hAnsi="Times New Roman"/>
              </w:rPr>
            </w:pPr>
          </w:p>
        </w:tc>
        <w:tc>
          <w:tcPr>
            <w:tcW w:w="1060" w:type="dxa"/>
          </w:tcPr>
          <w:p w14:paraId="76FA0FB4">
            <w:pPr>
              <w:pStyle w:val="43"/>
              <w:jc w:val="center"/>
              <w:rPr>
                <w:rFonts w:ascii="Times New Roman" w:hAnsi="Times New Roman"/>
              </w:rPr>
            </w:pPr>
          </w:p>
        </w:tc>
        <w:tc>
          <w:tcPr>
            <w:tcW w:w="1085" w:type="dxa"/>
          </w:tcPr>
          <w:p w14:paraId="72396A7E">
            <w:pPr>
              <w:pStyle w:val="43"/>
              <w:jc w:val="center"/>
              <w:rPr>
                <w:rFonts w:ascii="Times New Roman" w:hAnsi="Times New Roman"/>
              </w:rPr>
            </w:pPr>
          </w:p>
        </w:tc>
      </w:tr>
      <w:tr w14:paraId="4D20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4" w:type="dxa"/>
          </w:tcPr>
          <w:p w14:paraId="57CE5339">
            <w:pPr>
              <w:pStyle w:val="43"/>
              <w:jc w:val="center"/>
              <w:rPr>
                <w:rFonts w:ascii="Times New Roman" w:hAnsi="Times New Roman"/>
              </w:rPr>
            </w:pPr>
          </w:p>
        </w:tc>
        <w:tc>
          <w:tcPr>
            <w:tcW w:w="1842" w:type="dxa"/>
          </w:tcPr>
          <w:p w14:paraId="215B9EA8">
            <w:pPr>
              <w:pStyle w:val="43"/>
              <w:jc w:val="center"/>
              <w:rPr>
                <w:rFonts w:ascii="Times New Roman" w:hAnsi="Times New Roman"/>
              </w:rPr>
            </w:pPr>
          </w:p>
        </w:tc>
        <w:tc>
          <w:tcPr>
            <w:tcW w:w="994" w:type="dxa"/>
          </w:tcPr>
          <w:p w14:paraId="52E24A8D">
            <w:pPr>
              <w:pStyle w:val="43"/>
              <w:jc w:val="center"/>
              <w:rPr>
                <w:rFonts w:ascii="Times New Roman" w:hAnsi="Times New Roman"/>
              </w:rPr>
            </w:pPr>
          </w:p>
        </w:tc>
        <w:tc>
          <w:tcPr>
            <w:tcW w:w="1237" w:type="dxa"/>
          </w:tcPr>
          <w:p w14:paraId="4E52F3EA">
            <w:pPr>
              <w:pStyle w:val="43"/>
              <w:jc w:val="center"/>
              <w:rPr>
                <w:rFonts w:ascii="Times New Roman" w:hAnsi="Times New Roman"/>
              </w:rPr>
            </w:pPr>
          </w:p>
        </w:tc>
        <w:tc>
          <w:tcPr>
            <w:tcW w:w="890" w:type="dxa"/>
          </w:tcPr>
          <w:p w14:paraId="5F64390A">
            <w:pPr>
              <w:pStyle w:val="43"/>
              <w:jc w:val="center"/>
              <w:rPr>
                <w:rFonts w:ascii="Times New Roman" w:hAnsi="Times New Roman"/>
              </w:rPr>
            </w:pPr>
          </w:p>
        </w:tc>
        <w:tc>
          <w:tcPr>
            <w:tcW w:w="1504" w:type="dxa"/>
          </w:tcPr>
          <w:p w14:paraId="22ED1717">
            <w:pPr>
              <w:pStyle w:val="43"/>
              <w:jc w:val="center"/>
              <w:rPr>
                <w:rFonts w:ascii="Times New Roman" w:hAnsi="Times New Roman"/>
              </w:rPr>
            </w:pPr>
          </w:p>
        </w:tc>
        <w:tc>
          <w:tcPr>
            <w:tcW w:w="1060" w:type="dxa"/>
          </w:tcPr>
          <w:p w14:paraId="7C9B9AC1">
            <w:pPr>
              <w:pStyle w:val="43"/>
              <w:jc w:val="center"/>
              <w:rPr>
                <w:rFonts w:ascii="Times New Roman" w:hAnsi="Times New Roman"/>
              </w:rPr>
            </w:pPr>
          </w:p>
        </w:tc>
        <w:tc>
          <w:tcPr>
            <w:tcW w:w="1085" w:type="dxa"/>
          </w:tcPr>
          <w:p w14:paraId="788CD04D">
            <w:pPr>
              <w:pStyle w:val="43"/>
              <w:jc w:val="center"/>
              <w:rPr>
                <w:rFonts w:ascii="Times New Roman" w:hAnsi="Times New Roman"/>
              </w:rPr>
            </w:pPr>
          </w:p>
        </w:tc>
      </w:tr>
      <w:tr w14:paraId="6264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14:paraId="62908DFE">
            <w:pPr>
              <w:pStyle w:val="43"/>
              <w:jc w:val="center"/>
              <w:rPr>
                <w:rFonts w:ascii="Times New Roman" w:hAnsi="Times New Roman"/>
              </w:rPr>
            </w:pPr>
          </w:p>
        </w:tc>
        <w:tc>
          <w:tcPr>
            <w:tcW w:w="1842" w:type="dxa"/>
          </w:tcPr>
          <w:p w14:paraId="5EA42522">
            <w:pPr>
              <w:pStyle w:val="43"/>
              <w:jc w:val="center"/>
              <w:rPr>
                <w:rFonts w:ascii="Times New Roman" w:hAnsi="Times New Roman"/>
              </w:rPr>
            </w:pPr>
          </w:p>
        </w:tc>
        <w:tc>
          <w:tcPr>
            <w:tcW w:w="994" w:type="dxa"/>
          </w:tcPr>
          <w:p w14:paraId="5A317DB7">
            <w:pPr>
              <w:pStyle w:val="43"/>
              <w:jc w:val="center"/>
              <w:rPr>
                <w:rFonts w:ascii="Times New Roman" w:hAnsi="Times New Roman"/>
              </w:rPr>
            </w:pPr>
          </w:p>
        </w:tc>
        <w:tc>
          <w:tcPr>
            <w:tcW w:w="1237" w:type="dxa"/>
          </w:tcPr>
          <w:p w14:paraId="37B0B2B1">
            <w:pPr>
              <w:pStyle w:val="43"/>
              <w:jc w:val="center"/>
              <w:rPr>
                <w:rFonts w:ascii="Times New Roman" w:hAnsi="Times New Roman"/>
              </w:rPr>
            </w:pPr>
          </w:p>
        </w:tc>
        <w:tc>
          <w:tcPr>
            <w:tcW w:w="890" w:type="dxa"/>
          </w:tcPr>
          <w:p w14:paraId="10C408A5">
            <w:pPr>
              <w:pStyle w:val="43"/>
              <w:jc w:val="center"/>
              <w:rPr>
                <w:rFonts w:ascii="Times New Roman" w:hAnsi="Times New Roman"/>
              </w:rPr>
            </w:pPr>
          </w:p>
        </w:tc>
        <w:tc>
          <w:tcPr>
            <w:tcW w:w="1504" w:type="dxa"/>
          </w:tcPr>
          <w:p w14:paraId="4B8C5B56">
            <w:pPr>
              <w:pStyle w:val="43"/>
              <w:jc w:val="center"/>
              <w:rPr>
                <w:rFonts w:ascii="Times New Roman" w:hAnsi="Times New Roman"/>
              </w:rPr>
            </w:pPr>
          </w:p>
        </w:tc>
        <w:tc>
          <w:tcPr>
            <w:tcW w:w="1060" w:type="dxa"/>
          </w:tcPr>
          <w:p w14:paraId="6298D153">
            <w:pPr>
              <w:pStyle w:val="43"/>
              <w:jc w:val="center"/>
              <w:rPr>
                <w:rFonts w:ascii="Times New Roman" w:hAnsi="Times New Roman"/>
              </w:rPr>
            </w:pPr>
          </w:p>
        </w:tc>
        <w:tc>
          <w:tcPr>
            <w:tcW w:w="1085" w:type="dxa"/>
          </w:tcPr>
          <w:p w14:paraId="1BA34A40">
            <w:pPr>
              <w:pStyle w:val="43"/>
              <w:jc w:val="center"/>
              <w:rPr>
                <w:rFonts w:ascii="Times New Roman" w:hAnsi="Times New Roman"/>
              </w:rPr>
            </w:pPr>
          </w:p>
        </w:tc>
      </w:tr>
      <w:tr w14:paraId="3324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4" w:type="dxa"/>
          </w:tcPr>
          <w:p w14:paraId="3AC68E34">
            <w:pPr>
              <w:pStyle w:val="43"/>
              <w:jc w:val="center"/>
              <w:rPr>
                <w:rFonts w:ascii="Times New Roman" w:hAnsi="Times New Roman"/>
              </w:rPr>
            </w:pPr>
          </w:p>
        </w:tc>
        <w:tc>
          <w:tcPr>
            <w:tcW w:w="1842" w:type="dxa"/>
          </w:tcPr>
          <w:p w14:paraId="6E4A42AB">
            <w:pPr>
              <w:pStyle w:val="43"/>
              <w:jc w:val="center"/>
              <w:rPr>
                <w:rFonts w:ascii="Times New Roman" w:hAnsi="Times New Roman"/>
              </w:rPr>
            </w:pPr>
          </w:p>
        </w:tc>
        <w:tc>
          <w:tcPr>
            <w:tcW w:w="994" w:type="dxa"/>
          </w:tcPr>
          <w:p w14:paraId="31EC9BE6">
            <w:pPr>
              <w:pStyle w:val="43"/>
              <w:jc w:val="center"/>
              <w:rPr>
                <w:rFonts w:ascii="Times New Roman" w:hAnsi="Times New Roman"/>
              </w:rPr>
            </w:pPr>
          </w:p>
        </w:tc>
        <w:tc>
          <w:tcPr>
            <w:tcW w:w="1237" w:type="dxa"/>
          </w:tcPr>
          <w:p w14:paraId="5D25911B">
            <w:pPr>
              <w:pStyle w:val="43"/>
              <w:jc w:val="center"/>
              <w:rPr>
                <w:rFonts w:ascii="Times New Roman" w:hAnsi="Times New Roman"/>
              </w:rPr>
            </w:pPr>
          </w:p>
        </w:tc>
        <w:tc>
          <w:tcPr>
            <w:tcW w:w="890" w:type="dxa"/>
          </w:tcPr>
          <w:p w14:paraId="053CAEC0">
            <w:pPr>
              <w:pStyle w:val="43"/>
              <w:jc w:val="center"/>
              <w:rPr>
                <w:rFonts w:ascii="Times New Roman" w:hAnsi="Times New Roman"/>
              </w:rPr>
            </w:pPr>
          </w:p>
        </w:tc>
        <w:tc>
          <w:tcPr>
            <w:tcW w:w="1504" w:type="dxa"/>
          </w:tcPr>
          <w:p w14:paraId="0408AB7C">
            <w:pPr>
              <w:pStyle w:val="43"/>
              <w:jc w:val="center"/>
              <w:rPr>
                <w:rFonts w:ascii="Times New Roman" w:hAnsi="Times New Roman"/>
              </w:rPr>
            </w:pPr>
          </w:p>
        </w:tc>
        <w:tc>
          <w:tcPr>
            <w:tcW w:w="1060" w:type="dxa"/>
          </w:tcPr>
          <w:p w14:paraId="5BA75C35">
            <w:pPr>
              <w:pStyle w:val="43"/>
              <w:jc w:val="center"/>
              <w:rPr>
                <w:rFonts w:ascii="Times New Roman" w:hAnsi="Times New Roman"/>
              </w:rPr>
            </w:pPr>
          </w:p>
        </w:tc>
        <w:tc>
          <w:tcPr>
            <w:tcW w:w="1085" w:type="dxa"/>
          </w:tcPr>
          <w:p w14:paraId="3E8944E1">
            <w:pPr>
              <w:pStyle w:val="43"/>
              <w:jc w:val="center"/>
              <w:rPr>
                <w:rFonts w:ascii="Times New Roman" w:hAnsi="Times New Roman"/>
              </w:rPr>
            </w:pPr>
          </w:p>
        </w:tc>
      </w:tr>
      <w:tr w14:paraId="4D5EA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14:paraId="12C1A29A">
            <w:pPr>
              <w:pStyle w:val="43"/>
              <w:jc w:val="center"/>
              <w:rPr>
                <w:rFonts w:ascii="Times New Roman" w:hAnsi="Times New Roman"/>
              </w:rPr>
            </w:pPr>
          </w:p>
        </w:tc>
        <w:tc>
          <w:tcPr>
            <w:tcW w:w="1842" w:type="dxa"/>
          </w:tcPr>
          <w:p w14:paraId="2987B461">
            <w:pPr>
              <w:pStyle w:val="43"/>
              <w:jc w:val="center"/>
              <w:rPr>
                <w:rFonts w:ascii="Times New Roman" w:hAnsi="Times New Roman"/>
              </w:rPr>
            </w:pPr>
          </w:p>
        </w:tc>
        <w:tc>
          <w:tcPr>
            <w:tcW w:w="994" w:type="dxa"/>
          </w:tcPr>
          <w:p w14:paraId="561FBD30">
            <w:pPr>
              <w:pStyle w:val="43"/>
              <w:jc w:val="center"/>
              <w:rPr>
                <w:rFonts w:ascii="Times New Roman" w:hAnsi="Times New Roman"/>
              </w:rPr>
            </w:pPr>
          </w:p>
        </w:tc>
        <w:tc>
          <w:tcPr>
            <w:tcW w:w="1237" w:type="dxa"/>
          </w:tcPr>
          <w:p w14:paraId="1AA9AD03">
            <w:pPr>
              <w:pStyle w:val="43"/>
              <w:jc w:val="center"/>
              <w:rPr>
                <w:rFonts w:ascii="Times New Roman" w:hAnsi="Times New Roman"/>
              </w:rPr>
            </w:pPr>
          </w:p>
        </w:tc>
        <w:tc>
          <w:tcPr>
            <w:tcW w:w="890" w:type="dxa"/>
          </w:tcPr>
          <w:p w14:paraId="7A5F0602">
            <w:pPr>
              <w:pStyle w:val="43"/>
              <w:jc w:val="center"/>
              <w:rPr>
                <w:rFonts w:ascii="Times New Roman" w:hAnsi="Times New Roman"/>
              </w:rPr>
            </w:pPr>
          </w:p>
        </w:tc>
        <w:tc>
          <w:tcPr>
            <w:tcW w:w="1504" w:type="dxa"/>
          </w:tcPr>
          <w:p w14:paraId="2A76643A">
            <w:pPr>
              <w:pStyle w:val="43"/>
              <w:jc w:val="center"/>
              <w:rPr>
                <w:rFonts w:ascii="Times New Roman" w:hAnsi="Times New Roman"/>
              </w:rPr>
            </w:pPr>
          </w:p>
        </w:tc>
        <w:tc>
          <w:tcPr>
            <w:tcW w:w="1060" w:type="dxa"/>
          </w:tcPr>
          <w:p w14:paraId="1AEFD552">
            <w:pPr>
              <w:pStyle w:val="43"/>
              <w:jc w:val="center"/>
              <w:rPr>
                <w:rFonts w:ascii="Times New Roman" w:hAnsi="Times New Roman"/>
              </w:rPr>
            </w:pPr>
          </w:p>
        </w:tc>
        <w:tc>
          <w:tcPr>
            <w:tcW w:w="1085" w:type="dxa"/>
          </w:tcPr>
          <w:p w14:paraId="7DD772DE">
            <w:pPr>
              <w:pStyle w:val="43"/>
              <w:jc w:val="center"/>
              <w:rPr>
                <w:rFonts w:ascii="Times New Roman" w:hAnsi="Times New Roman"/>
              </w:rPr>
            </w:pPr>
          </w:p>
        </w:tc>
      </w:tr>
    </w:tbl>
    <w:p w14:paraId="42E58446">
      <w:pPr>
        <w:pStyle w:val="284"/>
      </w:pPr>
      <w:bookmarkStart w:id="132" w:name="_Toc232443359"/>
      <w:bookmarkStart w:id="133" w:name="_Toc226123952"/>
      <w:r>
        <w:t xml:space="preserve">7 </w:t>
      </w:r>
      <w:r>
        <w:rPr>
          <w:rFonts w:hint="eastAsia"/>
        </w:rPr>
        <w:t>试验</w:t>
      </w:r>
      <w:bookmarkEnd w:id="87"/>
      <w:bookmarkEnd w:id="132"/>
      <w:bookmarkEnd w:id="133"/>
    </w:p>
    <w:bookmarkEnd w:id="40"/>
    <w:bookmarkEnd w:id="41"/>
    <w:bookmarkEnd w:id="42"/>
    <w:bookmarkEnd w:id="43"/>
    <w:bookmarkEnd w:id="44"/>
    <w:bookmarkEnd w:id="45"/>
    <w:bookmarkEnd w:id="46"/>
    <w:bookmarkEnd w:id="47"/>
    <w:bookmarkEnd w:id="48"/>
    <w:bookmarkEnd w:id="49"/>
    <w:bookmarkEnd w:id="50"/>
    <w:p w14:paraId="7A103A8E">
      <w:pPr>
        <w:pStyle w:val="288"/>
      </w:pPr>
      <w:bookmarkStart w:id="134" w:name="_Toc277597215"/>
      <w:bookmarkStart w:id="135" w:name="_Toc286045144"/>
      <w:bookmarkStart w:id="136" w:name="_Toc387780011"/>
      <w:bookmarkStart w:id="137" w:name="_Toc283566828"/>
      <w:bookmarkStart w:id="138" w:name="_Toc322681867"/>
      <w:bookmarkStart w:id="139" w:name="_Toc279695722"/>
      <w:bookmarkStart w:id="140" w:name="_Toc282993302"/>
      <w:bookmarkStart w:id="141" w:name="_Toc279494181"/>
      <w:r>
        <w:t>XLPE</w:t>
      </w:r>
      <w:r>
        <w:rPr>
          <w:rFonts w:hint="eastAsia"/>
        </w:rPr>
        <w:t>电缆及其附件应开展型式试验、预鉴定试验、例行试验、抽样试验和竣工试验。具体的检验项目和试验方法应与引用的相应电压等级XLPE电缆附件的IEC、GB、DL标准及本规范的要求一致。本技术条目要求的试验，其试验费用由投标方承担。</w:t>
      </w:r>
      <w:r>
        <w:rPr>
          <w:rFonts w:ascii="Segoe UI" w:hAnsi="Segoe UI" w:cs="Segoe UI"/>
          <w:b/>
          <w:color w:val="0F1115"/>
          <w:shd w:val="clear" w:color="auto" w:fill="FFFFFF"/>
        </w:rPr>
        <w:t>所有与本工程相关的试验，须至少提前10个工作日书面通知招标方，并配合招标方派员赴现场进行检查</w:t>
      </w:r>
      <w:r>
        <w:rPr>
          <w:rFonts w:hint="eastAsia" w:ascii="Segoe UI" w:hAnsi="Segoe UI" w:cs="Segoe UI"/>
          <w:b/>
          <w:color w:val="0F1115"/>
          <w:shd w:val="clear" w:color="auto" w:fill="FFFFFF"/>
        </w:rPr>
        <w:t>与见证</w:t>
      </w:r>
      <w:r>
        <w:rPr>
          <w:rFonts w:ascii="Segoe UI" w:hAnsi="Segoe UI" w:cs="Segoe UI"/>
          <w:b/>
          <w:color w:val="0F1115"/>
          <w:shd w:val="clear" w:color="auto" w:fill="FFFFFF"/>
        </w:rPr>
        <w:t>。</w:t>
      </w:r>
    </w:p>
    <w:p w14:paraId="5BA36494">
      <w:pPr>
        <w:pStyle w:val="286"/>
        <w:rPr>
          <w:rFonts w:cs="宋体"/>
        </w:rPr>
      </w:pPr>
      <w:bookmarkStart w:id="142" w:name="_Toc232443360"/>
      <w:bookmarkStart w:id="143" w:name="_Toc226123953"/>
      <w:bookmarkStart w:id="144" w:name="_Toc22302718"/>
      <w:r>
        <w:rPr>
          <w:rFonts w:hint="eastAsia"/>
        </w:rPr>
        <w:t>7.1 型式试验</w:t>
      </w:r>
      <w:bookmarkEnd w:id="134"/>
      <w:bookmarkEnd w:id="135"/>
      <w:bookmarkEnd w:id="136"/>
      <w:bookmarkEnd w:id="137"/>
      <w:bookmarkEnd w:id="142"/>
      <w:bookmarkEnd w:id="143"/>
      <w:bookmarkEnd w:id="144"/>
    </w:p>
    <w:p w14:paraId="26565982">
      <w:pPr>
        <w:pStyle w:val="288"/>
      </w:pPr>
      <w:bookmarkStart w:id="145" w:name="_Toc240709968"/>
      <w:bookmarkStart w:id="146" w:name="_Toc282262844"/>
      <w:bookmarkStart w:id="147" w:name="_Toc387780013"/>
      <w:bookmarkStart w:id="148" w:name="_Toc286045146"/>
      <w:r>
        <w:t>试验项目、方法和要求应符合GB/T 41629.1</w:t>
      </w:r>
      <w:r>
        <w:rPr>
          <w:szCs w:val="24"/>
        </w:rPr>
        <w:t>第</w:t>
      </w:r>
      <w:r>
        <w:t>8</w:t>
      </w:r>
      <w:r>
        <w:rPr>
          <w:rFonts w:hint="eastAsia"/>
        </w:rPr>
        <w:t>章相关</w:t>
      </w:r>
      <w:r>
        <w:t>规定</w:t>
      </w:r>
      <w:r>
        <w:rPr>
          <w:rFonts w:hint="eastAsia"/>
        </w:rPr>
        <w:t>。除本工程海缆正式生产完成的型式试验外，若采用自主可控海缆方案，</w:t>
      </w:r>
      <w:r>
        <w:rPr>
          <w:rFonts w:hint="eastAsia"/>
          <w:b/>
        </w:rPr>
        <w:t>本工程供应的海缆成缆需截取挤出末端部分再进行型式试验。</w:t>
      </w:r>
    </w:p>
    <w:p w14:paraId="59B49E9A">
      <w:pPr>
        <w:pStyle w:val="286"/>
        <w:rPr>
          <w:rFonts w:cs="宋体"/>
        </w:rPr>
      </w:pPr>
      <w:bookmarkStart w:id="149" w:name="_Toc22302721"/>
      <w:bookmarkStart w:id="150" w:name="_Toc232443361"/>
      <w:bookmarkStart w:id="151" w:name="_Toc226123954"/>
      <w:r>
        <w:rPr>
          <w:rFonts w:hint="eastAsia"/>
        </w:rPr>
        <w:t>7.</w:t>
      </w:r>
      <w:r>
        <w:t xml:space="preserve">2 </w:t>
      </w:r>
      <w:r>
        <w:rPr>
          <w:rFonts w:hint="eastAsia"/>
        </w:rPr>
        <w:t>预鉴定试验</w:t>
      </w:r>
      <w:bookmarkEnd w:id="149"/>
      <w:bookmarkEnd w:id="150"/>
      <w:bookmarkEnd w:id="151"/>
    </w:p>
    <w:p w14:paraId="013553A3">
      <w:pPr>
        <w:pStyle w:val="288"/>
      </w:pPr>
      <w:r>
        <w:t>试验项目、方法和要求应符合GB/T 41629.1</w:t>
      </w:r>
      <w:r>
        <w:rPr>
          <w:szCs w:val="24"/>
        </w:rPr>
        <w:t>第</w:t>
      </w:r>
      <w:r>
        <w:t>9</w:t>
      </w:r>
      <w:r>
        <w:rPr>
          <w:rFonts w:hint="eastAsia"/>
        </w:rPr>
        <w:t>章相关</w:t>
      </w:r>
      <w:r>
        <w:t>规定</w:t>
      </w:r>
      <w:r>
        <w:rPr>
          <w:rFonts w:hint="eastAsia"/>
        </w:rPr>
        <w:t>。</w:t>
      </w:r>
    </w:p>
    <w:p w14:paraId="75D657F2">
      <w:pPr>
        <w:pStyle w:val="288"/>
      </w:pPr>
      <w:r>
        <w:rPr>
          <w:rFonts w:hint="eastAsia"/>
        </w:rPr>
        <w:t>如需开展预鉴定扩展试验时，</w:t>
      </w:r>
      <w:r>
        <w:t>试验项目、方法和要求应符合GB/T 41629.1</w:t>
      </w:r>
      <w:r>
        <w:rPr>
          <w:szCs w:val="24"/>
        </w:rPr>
        <w:t>第</w:t>
      </w:r>
      <w:r>
        <w:t>10</w:t>
      </w:r>
      <w:r>
        <w:rPr>
          <w:rFonts w:hint="eastAsia"/>
        </w:rPr>
        <w:t>章相关</w:t>
      </w:r>
      <w:r>
        <w:t>规定</w:t>
      </w:r>
      <w:r>
        <w:rPr>
          <w:rFonts w:hint="eastAsia"/>
        </w:rPr>
        <w:t>，并提供相应的试验报告。</w:t>
      </w:r>
    </w:p>
    <w:p w14:paraId="3AF8E6E9">
      <w:pPr>
        <w:pStyle w:val="286"/>
        <w:rPr>
          <w:rFonts w:cs="宋体"/>
        </w:rPr>
      </w:pPr>
      <w:bookmarkStart w:id="152" w:name="_Toc22302719"/>
      <w:bookmarkStart w:id="153" w:name="_Toc226123955"/>
      <w:bookmarkStart w:id="154" w:name="_Toc232443362"/>
      <w:r>
        <w:rPr>
          <w:rFonts w:hint="eastAsia"/>
        </w:rPr>
        <w:t>7.</w:t>
      </w:r>
      <w:r>
        <w:t>3</w:t>
      </w:r>
      <w:r>
        <w:rPr>
          <w:rFonts w:hint="eastAsia"/>
        </w:rPr>
        <w:t xml:space="preserve"> 例行试验</w:t>
      </w:r>
      <w:bookmarkEnd w:id="145"/>
      <w:bookmarkEnd w:id="146"/>
      <w:bookmarkEnd w:id="147"/>
      <w:bookmarkEnd w:id="148"/>
      <w:bookmarkEnd w:id="152"/>
      <w:bookmarkEnd w:id="153"/>
      <w:bookmarkEnd w:id="154"/>
    </w:p>
    <w:p w14:paraId="79BF51BB">
      <w:pPr>
        <w:pStyle w:val="288"/>
      </w:pPr>
      <w:r>
        <w:t>试验项目、方法和要求应符合GB/T 41629.1</w:t>
      </w:r>
      <w:r>
        <w:rPr>
          <w:szCs w:val="24"/>
        </w:rPr>
        <w:t>第</w:t>
      </w:r>
      <w:r>
        <w:t>6</w:t>
      </w:r>
      <w:r>
        <w:rPr>
          <w:rFonts w:hint="eastAsia"/>
        </w:rPr>
        <w:t>章相关</w:t>
      </w:r>
      <w:r>
        <w:t>规定</w:t>
      </w:r>
      <w:r>
        <w:rPr>
          <w:rFonts w:hint="eastAsia"/>
        </w:rPr>
        <w:t>，并在海缆发运前提供相应的试验报告。</w:t>
      </w:r>
    </w:p>
    <w:p w14:paraId="3BAF7203">
      <w:pPr>
        <w:pStyle w:val="288"/>
        <w:rPr>
          <w:rFonts w:ascii="宋体" w:hAnsi="宋体"/>
          <w:color w:val="000000"/>
        </w:rPr>
      </w:pPr>
      <w:r>
        <w:t>交货电缆例行试验除满足GB/T 41629.1第6.3节要求外</w:t>
      </w:r>
      <w:r>
        <w:rPr>
          <w:rFonts w:hint="eastAsia"/>
        </w:rPr>
        <w:t>，</w:t>
      </w:r>
      <w:r>
        <w:t>还应开展</w:t>
      </w:r>
      <w:r>
        <w:rPr>
          <w:rFonts w:hint="eastAsia"/>
        </w:rPr>
        <w:t>：</w:t>
      </w:r>
      <w:r>
        <w:rPr>
          <w:rFonts w:hint="eastAsia"/>
          <w:color w:val="000000"/>
        </w:rPr>
        <w:t>光纤单元测试，</w:t>
      </w:r>
      <w:r>
        <w:rPr>
          <w:rFonts w:hint="eastAsia" w:ascii="宋体" w:hAnsi="宋体"/>
          <w:color w:val="000000"/>
        </w:rPr>
        <w:t>每根光纤的衰减系数应符合本标书6</w:t>
      </w:r>
      <w:r>
        <w:rPr>
          <w:rFonts w:ascii="宋体" w:hAnsi="宋体"/>
          <w:color w:val="000000"/>
        </w:rPr>
        <w:t>.5</w:t>
      </w:r>
      <w:r>
        <w:rPr>
          <w:rFonts w:hint="eastAsia" w:ascii="宋体" w:hAnsi="宋体"/>
          <w:color w:val="000000"/>
        </w:rPr>
        <w:t>节</w:t>
      </w:r>
      <w:r>
        <w:rPr>
          <w:rFonts w:hint="eastAsia" w:hAnsi="仿宋_GB2312"/>
        </w:rPr>
        <w:t>表6</w:t>
      </w:r>
      <w:r>
        <w:rPr>
          <w:rFonts w:hAnsi="仿宋_GB2312"/>
        </w:rPr>
        <w:t>.5-</w:t>
      </w:r>
      <w:r>
        <w:rPr>
          <w:rFonts w:hint="eastAsia" w:hAnsi="仿宋_GB2312"/>
        </w:rPr>
        <w:t>1</w:t>
      </w:r>
      <w:r>
        <w:rPr>
          <w:rFonts w:hint="eastAsia" w:ascii="宋体" w:hAnsi="宋体"/>
          <w:color w:val="000000"/>
        </w:rPr>
        <w:t>之规定；</w:t>
      </w:r>
    </w:p>
    <w:p w14:paraId="54B5B953">
      <w:pPr>
        <w:pStyle w:val="286"/>
      </w:pPr>
      <w:bookmarkStart w:id="155" w:name="_Toc232443363"/>
      <w:bookmarkStart w:id="156" w:name="_Toc226123956"/>
      <w:bookmarkStart w:id="157" w:name="_Toc22302720"/>
      <w:bookmarkStart w:id="158" w:name="_Toc387780012"/>
      <w:bookmarkStart w:id="159" w:name="_Toc286045145"/>
      <w:bookmarkStart w:id="160" w:name="_Toc240709967"/>
      <w:bookmarkStart w:id="161" w:name="_Toc282262843"/>
      <w:bookmarkStart w:id="162" w:name="_Toc402125383"/>
      <w:r>
        <w:rPr>
          <w:rFonts w:hint="eastAsia"/>
        </w:rPr>
        <w:t>7.</w:t>
      </w:r>
      <w:r>
        <w:t>4</w:t>
      </w:r>
      <w:r>
        <w:rPr>
          <w:rFonts w:hint="eastAsia"/>
        </w:rPr>
        <w:t xml:space="preserve"> 抽样试验</w:t>
      </w:r>
      <w:bookmarkEnd w:id="155"/>
      <w:bookmarkEnd w:id="156"/>
      <w:bookmarkEnd w:id="157"/>
    </w:p>
    <w:p w14:paraId="5A9395FE">
      <w:pPr>
        <w:pStyle w:val="290"/>
      </w:pPr>
      <w:r>
        <w:t xml:space="preserve">7.4.1 </w:t>
      </w:r>
      <w:r>
        <w:rPr>
          <w:rFonts w:hint="eastAsia"/>
        </w:rPr>
        <w:t>常规抽样试验项目</w:t>
      </w:r>
    </w:p>
    <w:p w14:paraId="6AEE203D">
      <w:pPr>
        <w:pStyle w:val="288"/>
      </w:pPr>
      <w:r>
        <w:rPr>
          <w:rFonts w:hint="eastAsia"/>
        </w:rPr>
        <w:t>试验项目、方法和要求应符合</w:t>
      </w:r>
      <w:r>
        <w:t>GB/T 41629.1</w:t>
      </w:r>
      <w:r>
        <w:rPr>
          <w:rFonts w:hint="eastAsia"/>
        </w:rPr>
        <w:t>第</w:t>
      </w:r>
      <w:r>
        <w:t>7</w:t>
      </w:r>
      <w:r>
        <w:rPr>
          <w:rFonts w:hint="eastAsia"/>
        </w:rPr>
        <w:t>章相关规定，并在海缆发运前提供相应的试验报告。</w:t>
      </w:r>
    </w:p>
    <w:p w14:paraId="4C57C4BD">
      <w:pPr>
        <w:pStyle w:val="288"/>
      </w:pPr>
      <w:r>
        <w:rPr>
          <w:rFonts w:hint="eastAsia"/>
        </w:rPr>
        <w:t>抽样试验项目在同根电缆上截取尾端（成缆最后生产出来的部分）长度约为</w:t>
      </w:r>
      <w:r>
        <w:t>30m</w:t>
      </w:r>
      <w:r>
        <w:rPr>
          <w:rFonts w:hint="eastAsia"/>
        </w:rPr>
        <w:t>作为试验样本，本长度不含在招标长度内。</w:t>
      </w:r>
    </w:p>
    <w:p w14:paraId="5E2354CF">
      <w:pPr>
        <w:pStyle w:val="288"/>
      </w:pPr>
      <w:r>
        <w:rPr>
          <w:rFonts w:hint="eastAsia"/>
        </w:rPr>
        <w:t>如果抽样试验中的试样未通过</w:t>
      </w:r>
      <w:r>
        <w:t>GB/T 41629.1</w:t>
      </w:r>
      <w:r>
        <w:rPr>
          <w:rFonts w:hint="eastAsia"/>
        </w:rPr>
        <w:t>第</w:t>
      </w:r>
      <w:r>
        <w:t>8</w:t>
      </w:r>
      <w:r>
        <w:rPr>
          <w:rFonts w:hint="eastAsia"/>
        </w:rPr>
        <w:t>章</w:t>
      </w:r>
      <w:r>
        <w:t>8.4.1.1</w:t>
      </w:r>
      <w:r>
        <w:rPr>
          <w:rFonts w:hint="eastAsia"/>
        </w:rPr>
        <w:t>项中规定的任一项试验，则应从同一根海缆上另行截取</w:t>
      </w:r>
      <w:r>
        <w:t>2</w:t>
      </w:r>
      <w:r>
        <w:rPr>
          <w:rFonts w:hint="eastAsia"/>
        </w:rPr>
        <w:t>段试样，对未通过项目进行试验。如果这两个试样全部通过了原来不合格项目的试验，则对电缆均可认为符合规定要求。如果仍有一个试样未通过试验，则认为该电缆不合格。</w:t>
      </w:r>
    </w:p>
    <w:p w14:paraId="0C79745A">
      <w:pPr>
        <w:pStyle w:val="290"/>
      </w:pPr>
      <w:r>
        <w:t xml:space="preserve">7.4.2 </w:t>
      </w:r>
      <w:r>
        <w:rPr>
          <w:rFonts w:hint="eastAsia"/>
        </w:rPr>
        <w:t>针对海缆在短路电流下的稳定性试验项目</w:t>
      </w:r>
    </w:p>
    <w:p w14:paraId="2A714A6F">
      <w:pPr>
        <w:pStyle w:val="288"/>
      </w:pPr>
      <w:r>
        <w:rPr>
          <w:rFonts w:hint="eastAsia"/>
        </w:rPr>
        <w:t>除国标</w:t>
      </w:r>
      <w:r>
        <w:t>GB/T 41629</w:t>
      </w:r>
      <w:r>
        <w:rPr>
          <w:rFonts w:hint="eastAsia"/>
        </w:rPr>
        <w:t>中要求的试验内容之外，还应对</w:t>
      </w:r>
      <w:r>
        <w:t>500kV</w:t>
      </w:r>
      <w:r>
        <w:rPr>
          <w:rFonts w:hint="eastAsia"/>
        </w:rPr>
        <w:t>海缆系统及锚固装置在</w:t>
      </w:r>
      <w:r>
        <w:t>63kA/5s</w:t>
      </w:r>
      <w:r>
        <w:rPr>
          <w:rFonts w:hint="eastAsia"/>
        </w:rPr>
        <w:t>短路电流下的热稳定和动稳定性能进行验证，确保海缆导体及金属套满足短路热容量要求；锚固装置承受短路电动力不产生永久变形及损坏。</w:t>
      </w:r>
    </w:p>
    <w:p w14:paraId="57413E78">
      <w:pPr>
        <w:pStyle w:val="288"/>
      </w:pPr>
      <w:r>
        <w:rPr>
          <w:rFonts w:hint="eastAsia"/>
        </w:rPr>
        <w:t>针对以上需要，现提出以下建议试验方案。</w:t>
      </w:r>
    </w:p>
    <w:p w14:paraId="7D0659A2">
      <w:pPr>
        <w:pStyle w:val="288"/>
      </w:pPr>
      <w:r>
        <w:t>1</w:t>
      </w:r>
      <w:r>
        <w:rPr>
          <w:rFonts w:hint="eastAsia"/>
        </w:rPr>
        <w:t>、海缆金属套短路试验回路</w:t>
      </w:r>
    </w:p>
    <w:p w14:paraId="77A98619">
      <w:pPr>
        <w:pStyle w:val="288"/>
      </w:pPr>
      <w:r>
        <w:rPr>
          <w:rFonts w:hint="eastAsia"/>
        </w:rPr>
        <w:t>取本工程海缆样品</w:t>
      </w:r>
      <w:r>
        <w:t>完整段共6米，316L</w:t>
      </w:r>
      <w:r>
        <w:rPr>
          <w:rFonts w:hint="eastAsia"/>
        </w:rPr>
        <w:t>无磁</w:t>
      </w:r>
      <w:r>
        <w:t>不锈钢材料锚固装置共两个，</w:t>
      </w:r>
      <w:r>
        <w:rPr>
          <w:rFonts w:hint="eastAsia"/>
        </w:rPr>
        <w:t>建议试验方案</w:t>
      </w:r>
      <w:r>
        <w:t>示意图如图7.4-1，海缆两侧各固定一个锚固装置，海缆的一侧分别将A</w:t>
      </w:r>
      <w:r>
        <w:rPr>
          <w:rFonts w:hint="eastAsia"/>
        </w:rPr>
        <w:t>相、</w:t>
      </w:r>
      <w:r>
        <w:t>B</w:t>
      </w:r>
      <w:r>
        <w:rPr>
          <w:rFonts w:hint="eastAsia"/>
        </w:rPr>
        <w:t>相和</w:t>
      </w:r>
      <w:r>
        <w:t>C</w:t>
      </w:r>
      <w:r>
        <w:rPr>
          <w:rFonts w:hint="eastAsia"/>
        </w:rPr>
        <w:t>相三相铅套短接，另一侧分别将</w:t>
      </w:r>
      <w:r>
        <w:t>A</w:t>
      </w:r>
      <w:r>
        <w:rPr>
          <w:rFonts w:hint="eastAsia"/>
        </w:rPr>
        <w:t>相、</w:t>
      </w:r>
      <w:r>
        <w:t>B</w:t>
      </w:r>
      <w:r>
        <w:rPr>
          <w:rFonts w:hint="eastAsia"/>
        </w:rPr>
        <w:t>相和</w:t>
      </w:r>
      <w:r>
        <w:t>C</w:t>
      </w:r>
      <w:r>
        <w:rPr>
          <w:rFonts w:hint="eastAsia"/>
        </w:rPr>
        <w:t>相铅套和电源侧相连。</w:t>
      </w:r>
    </w:p>
    <w:p w14:paraId="3D8A5CCD">
      <w:pPr>
        <w:pStyle w:val="404"/>
        <w:shd w:val="clear" w:color="auto" w:fill="FFFFFF"/>
        <w:jc w:val="center"/>
        <w:rPr>
          <w:rFonts w:ascii="Segoe UI" w:hAnsi="Segoe UI" w:cs="Segoe UI"/>
          <w:color w:val="0F1115"/>
        </w:rPr>
      </w:pPr>
      <w:r>
        <w:drawing>
          <wp:inline distT="0" distB="0" distL="0" distR="0">
            <wp:extent cx="5274310" cy="2014855"/>
            <wp:effectExtent l="0" t="0" r="254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7"/>
                    <a:stretch>
                      <a:fillRect/>
                    </a:stretch>
                  </pic:blipFill>
                  <pic:spPr>
                    <a:xfrm>
                      <a:off x="0" y="0"/>
                      <a:ext cx="5274310" cy="2014855"/>
                    </a:xfrm>
                    <a:prstGeom prst="rect">
                      <a:avLst/>
                    </a:prstGeom>
                  </pic:spPr>
                </pic:pic>
              </a:graphicData>
            </a:graphic>
          </wp:inline>
        </w:drawing>
      </w:r>
    </w:p>
    <w:p w14:paraId="0016F7B9">
      <w:pPr>
        <w:jc w:val="center"/>
      </w:pPr>
      <w:r>
        <w:rPr>
          <w:rFonts w:hint="eastAsia"/>
          <w:szCs w:val="21"/>
        </w:rPr>
        <w:t>图</w:t>
      </w:r>
      <w:r>
        <w:rPr>
          <w:szCs w:val="21"/>
        </w:rPr>
        <w:t>7.4-1</w:t>
      </w:r>
      <w:r>
        <w:rPr>
          <w:rFonts w:hint="eastAsia"/>
          <w:szCs w:val="21"/>
        </w:rPr>
        <w:t>海缆及锚固短路回路布置示意图</w:t>
      </w:r>
    </w:p>
    <w:p w14:paraId="0C2A201E">
      <w:pPr>
        <w:pStyle w:val="288"/>
      </w:pPr>
      <w:r>
        <w:t>2</w:t>
      </w:r>
      <w:r>
        <w:rPr>
          <w:rFonts w:hint="eastAsia"/>
        </w:rPr>
        <w:t>、海缆导体及锚固短路试验回路</w:t>
      </w:r>
    </w:p>
    <w:p w14:paraId="471EE34F">
      <w:pPr>
        <w:pStyle w:val="288"/>
      </w:pPr>
      <w:r>
        <w:rPr>
          <w:rFonts w:hint="eastAsia"/>
        </w:rPr>
        <w:t>取本工程海缆样品完整段共</w:t>
      </w:r>
      <w:r>
        <w:t>6</w:t>
      </w:r>
      <w:r>
        <w:rPr>
          <w:rFonts w:hint="eastAsia"/>
        </w:rPr>
        <w:t>米，</w:t>
      </w:r>
      <w:r>
        <w:t>316L</w:t>
      </w:r>
      <w:r>
        <w:rPr>
          <w:rFonts w:hint="eastAsia"/>
        </w:rPr>
        <w:t>无磁不锈钢材料锚固装置共两个，建议试验方案示意图如图</w:t>
      </w:r>
      <w:r>
        <w:t>7.4-2</w:t>
      </w:r>
      <w:r>
        <w:rPr>
          <w:rFonts w:hint="eastAsia"/>
        </w:rPr>
        <w:t>，海缆两侧各固定一个锚固装置，海缆的一侧分别将</w:t>
      </w:r>
      <w:r>
        <w:t>A</w:t>
      </w:r>
      <w:r>
        <w:rPr>
          <w:rFonts w:hint="eastAsia"/>
        </w:rPr>
        <w:t>相、</w:t>
      </w:r>
      <w:r>
        <w:t>B</w:t>
      </w:r>
      <w:r>
        <w:rPr>
          <w:rFonts w:hint="eastAsia"/>
        </w:rPr>
        <w:t>相和</w:t>
      </w:r>
      <w:r>
        <w:t>C</w:t>
      </w:r>
      <w:r>
        <w:rPr>
          <w:rFonts w:hint="eastAsia"/>
        </w:rPr>
        <w:t>相三相导体短接，另一侧分别将</w:t>
      </w:r>
      <w:r>
        <w:t>A</w:t>
      </w:r>
      <w:r>
        <w:rPr>
          <w:rFonts w:hint="eastAsia"/>
        </w:rPr>
        <w:t>相、</w:t>
      </w:r>
      <w:r>
        <w:t>B</w:t>
      </w:r>
      <w:r>
        <w:rPr>
          <w:rFonts w:hint="eastAsia"/>
        </w:rPr>
        <w:t>相和</w:t>
      </w:r>
      <w:r>
        <w:t>C</w:t>
      </w:r>
      <w:r>
        <w:rPr>
          <w:rFonts w:hint="eastAsia"/>
        </w:rPr>
        <w:t>相导体和电源侧相连。</w:t>
      </w:r>
    </w:p>
    <w:p w14:paraId="07032EFB">
      <w:pPr>
        <w:jc w:val="center"/>
      </w:pPr>
      <w:r>
        <w:drawing>
          <wp:inline distT="0" distB="0" distL="0" distR="0">
            <wp:extent cx="5274310" cy="196405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8"/>
                    <a:stretch>
                      <a:fillRect/>
                    </a:stretch>
                  </pic:blipFill>
                  <pic:spPr>
                    <a:xfrm>
                      <a:off x="0" y="0"/>
                      <a:ext cx="5274310" cy="1964164"/>
                    </a:xfrm>
                    <a:prstGeom prst="rect">
                      <a:avLst/>
                    </a:prstGeom>
                  </pic:spPr>
                </pic:pic>
              </a:graphicData>
            </a:graphic>
          </wp:inline>
        </w:drawing>
      </w:r>
    </w:p>
    <w:p w14:paraId="202DF5F4">
      <w:pPr>
        <w:jc w:val="center"/>
      </w:pPr>
      <w:r>
        <w:rPr>
          <w:rFonts w:hint="eastAsia"/>
          <w:szCs w:val="21"/>
        </w:rPr>
        <w:t>图</w:t>
      </w:r>
      <w:r>
        <w:t>7.4-2</w:t>
      </w:r>
      <w:r>
        <w:rPr>
          <w:szCs w:val="21"/>
        </w:rPr>
        <w:t xml:space="preserve"> </w:t>
      </w:r>
      <w:r>
        <w:rPr>
          <w:rFonts w:hint="eastAsia"/>
          <w:szCs w:val="21"/>
        </w:rPr>
        <w:t>海缆及锚固短路回路布置示意图</w:t>
      </w:r>
    </w:p>
    <w:p w14:paraId="1E414FE9">
      <w:pPr>
        <w:pStyle w:val="288"/>
      </w:pPr>
      <w:r>
        <w:t>3</w:t>
      </w:r>
      <w:r>
        <w:rPr>
          <w:rFonts w:hint="eastAsia"/>
        </w:rPr>
        <w:t>、试验程序与试验后检查</w:t>
      </w:r>
    </w:p>
    <w:p w14:paraId="4AA34EF2">
      <w:pPr>
        <w:pStyle w:val="288"/>
      </w:pPr>
      <w:r>
        <w:t>试验前分别对导体和铅套进行直流电阻测量，并对两个回路导体表面敷设热电偶，在环境温度下，对</w:t>
      </w:r>
      <w:r>
        <w:rPr>
          <w:rFonts w:hint="eastAsia"/>
        </w:rPr>
        <w:t>两</w:t>
      </w:r>
      <w:r>
        <w:t>个回路分别施加热稳定63kA 5s的短路电路以及157.5kA的峰值电流，共3次，每次导体温度降到比环境温度高10</w:t>
      </w:r>
      <w:r>
        <w:rPr>
          <w:rFonts w:hint="eastAsia"/>
        </w:rPr>
        <w:t>℃</w:t>
      </w:r>
      <w:r>
        <w:t>后进行下一次试验。试验完成后再次对导体和铅套测量直流电阻。</w:t>
      </w:r>
    </w:p>
    <w:p w14:paraId="761887AE">
      <w:pPr>
        <w:pStyle w:val="288"/>
      </w:pPr>
      <w:r>
        <w:rPr>
          <w:rFonts w:hint="eastAsia"/>
        </w:rPr>
        <w:t>短路后，所有锚固装置及电缆夹具应保持固定在安装面，应完好无损，目测不应有锚固装置和电缆夹具造成的切割或损坏。导体和铅套直流电阻应无明显变化。</w:t>
      </w:r>
    </w:p>
    <w:p w14:paraId="261A2263">
      <w:pPr>
        <w:pStyle w:val="290"/>
      </w:pPr>
      <w:r>
        <w:t>7.4.</w:t>
      </w:r>
      <w:r>
        <w:rPr>
          <w:rFonts w:hint="eastAsia"/>
        </w:rPr>
        <w:t>3对招标方指定第三方机构的抽样试验</w:t>
      </w:r>
    </w:p>
    <w:p w14:paraId="53A5F353">
      <w:pPr>
        <w:pStyle w:val="290"/>
      </w:pPr>
      <w:r>
        <w:tab/>
      </w:r>
      <w:r>
        <w:rPr>
          <w:rFonts w:hint="eastAsia"/>
        </w:rPr>
        <w:t>投标方应配合招标方进行可能的第三方机构的抽样试验，并为该试验预留至少</w:t>
      </w:r>
      <w:r>
        <w:t>30m</w:t>
      </w:r>
      <w:r>
        <w:rPr>
          <w:rFonts w:hint="eastAsia"/>
        </w:rPr>
        <w:t>的成缆作为试验样本，本长度不含在招标长度内。</w:t>
      </w:r>
    </w:p>
    <w:p w14:paraId="20749C4F">
      <w:pPr>
        <w:pStyle w:val="286"/>
      </w:pPr>
      <w:bookmarkStart w:id="163" w:name="_Toc232443364"/>
      <w:bookmarkStart w:id="164" w:name="_Toc226123957"/>
      <w:r>
        <w:rPr>
          <w:rFonts w:hint="eastAsia"/>
        </w:rPr>
        <w:t>7.5 现场海缆运输前验收试验、施工前验收试验与施工时持续试验</w:t>
      </w:r>
      <w:bookmarkEnd w:id="163"/>
      <w:bookmarkEnd w:id="164"/>
    </w:p>
    <w:p w14:paraId="349D3E6B">
      <w:pPr>
        <w:pStyle w:val="288"/>
      </w:pPr>
      <w:r>
        <w:rPr>
          <w:rFonts w:hint="eastAsia"/>
        </w:rPr>
        <w:t>海缆成品出厂前，应完成</w:t>
      </w:r>
      <w:r>
        <w:t>GB/T 41629</w:t>
      </w:r>
      <w:r>
        <w:rPr>
          <w:rFonts w:hint="eastAsia"/>
        </w:rPr>
        <w:t>中要求的出厂试验，对海缆绝缘的交流电压试验，可以在海缆成品装船后再行测试。</w:t>
      </w:r>
    </w:p>
    <w:p w14:paraId="0F705FCC">
      <w:pPr>
        <w:pStyle w:val="288"/>
      </w:pPr>
      <w:r>
        <w:rPr>
          <w:rFonts w:hint="eastAsia"/>
        </w:rPr>
        <w:t>海缆成品装船后，应进行以下试验测试：</w:t>
      </w:r>
    </w:p>
    <w:p w14:paraId="6517CF2D">
      <w:pPr>
        <w:pStyle w:val="288"/>
      </w:pPr>
      <w:r>
        <w:rPr>
          <w:rFonts w:hint="eastAsia"/>
        </w:rPr>
        <w:t>1、绝缘的交流电压试验，对电缆绝缘施加交流试验电压。电压波形应基本为正弦形。根据现场实际试验条件，优先采用施加</w:t>
      </w:r>
      <w:r>
        <w:t>493kV</w:t>
      </w:r>
      <w:r>
        <w:rPr>
          <w:rFonts w:hint="eastAsia"/>
        </w:rPr>
        <w:t>交流电压，时间为</w:t>
      </w:r>
      <w:r>
        <w:t>1h</w:t>
      </w:r>
      <w:r>
        <w:rPr>
          <w:rFonts w:hint="eastAsia"/>
        </w:rPr>
        <w:t>，绝缘应不发生击穿。若现场无法实施，采用施加</w:t>
      </w:r>
      <w:r>
        <w:t>290kV</w:t>
      </w:r>
      <w:r>
        <w:rPr>
          <w:rFonts w:hint="eastAsia"/>
        </w:rPr>
        <w:t>（</w:t>
      </w:r>
      <w:r>
        <w:t>U0</w:t>
      </w:r>
      <w:r>
        <w:rPr>
          <w:rFonts w:hint="eastAsia"/>
        </w:rPr>
        <w:t>）交流电压，时间为</w:t>
      </w:r>
      <w:r>
        <w:t>24h</w:t>
      </w:r>
      <w:r>
        <w:rPr>
          <w:rFonts w:hint="eastAsia"/>
        </w:rPr>
        <w:t>，绝缘应不发生击穿。</w:t>
      </w:r>
    </w:p>
    <w:p w14:paraId="5D73E8C8">
      <w:pPr>
        <w:pStyle w:val="288"/>
      </w:pPr>
      <w:r>
        <w:t>2</w:t>
      </w:r>
      <w:r>
        <w:rPr>
          <w:rFonts w:hint="eastAsia"/>
        </w:rPr>
        <w:t>、时域反射仪（</w:t>
      </w:r>
      <w:r>
        <w:t>TDR</w:t>
      </w:r>
      <w:r>
        <w:rPr>
          <w:rFonts w:hint="eastAsia"/>
        </w:rPr>
        <w:t>）试验，以获得电缆行波传输特性的特征量，并作为基准值与过程验收阶段、运维期间的测量值进行比对。</w:t>
      </w:r>
    </w:p>
    <w:p w14:paraId="42B62F07">
      <w:pPr>
        <w:pStyle w:val="288"/>
      </w:pPr>
      <w:r>
        <w:t>3</w:t>
      </w:r>
      <w:r>
        <w:rPr>
          <w:rFonts w:hint="eastAsia"/>
        </w:rPr>
        <w:t>、宽频阻抗测试、高压频域介电响应测试（</w:t>
      </w:r>
      <w:r>
        <w:t>FDR</w:t>
      </w:r>
      <w:r>
        <w:rPr>
          <w:rFonts w:hint="eastAsia"/>
        </w:rPr>
        <w:t>）等辅助检测项目，用于及时发现绝缘潜在缺陷，并作为基准值与过程验收阶段、运维期间的测量值进行比对。</w:t>
      </w:r>
    </w:p>
    <w:p w14:paraId="6236E85F">
      <w:pPr>
        <w:pStyle w:val="288"/>
      </w:pPr>
      <w:r>
        <w:t>4</w:t>
      </w:r>
      <w:r>
        <w:rPr>
          <w:rFonts w:hint="eastAsia"/>
        </w:rPr>
        <w:t>、光纤完整性测试，海缆装船前后均应开展针对所有内置光缆的光纤完整性测试，并提供相应的测试报告。</w:t>
      </w:r>
    </w:p>
    <w:p w14:paraId="6F7D73A1">
      <w:pPr>
        <w:pStyle w:val="288"/>
      </w:pPr>
      <w:r>
        <w:rPr>
          <w:rFonts w:hint="eastAsia"/>
        </w:rPr>
        <w:t>海缆</w:t>
      </w:r>
      <w:r>
        <w:t>敷设前</w:t>
      </w:r>
      <w:r>
        <w:rPr>
          <w:rFonts w:hint="eastAsia"/>
        </w:rPr>
        <w:t>，应重复除交流电压试验之外的其他上述试验</w:t>
      </w:r>
      <w:r>
        <w:t>，与出厂验收阶段的测量值进行比对，及时发现运输过程中引入的损伤，并作为基准值与敷设安装后以及运维期间的测量值进行比对。</w:t>
      </w:r>
    </w:p>
    <w:p w14:paraId="3AC9CFA4">
      <w:pPr>
        <w:pStyle w:val="288"/>
      </w:pPr>
      <w:r>
        <w:rPr>
          <w:rFonts w:hint="eastAsia"/>
        </w:rPr>
        <w:t>海缆敷设时，应持续对敷设过程中的海缆进行光纤衰减测试，光纤性能测毕后，记录测试数据，施工、监理、业主现场确认后签字。</w:t>
      </w:r>
    </w:p>
    <w:bookmarkEnd w:id="158"/>
    <w:bookmarkEnd w:id="159"/>
    <w:bookmarkEnd w:id="160"/>
    <w:bookmarkEnd w:id="161"/>
    <w:bookmarkEnd w:id="162"/>
    <w:p w14:paraId="6B2F8CA2">
      <w:pPr>
        <w:pStyle w:val="286"/>
      </w:pPr>
      <w:bookmarkStart w:id="165" w:name="_Toc232443365"/>
      <w:bookmarkStart w:id="166" w:name="_Toc22302722"/>
      <w:bookmarkStart w:id="167" w:name="_Toc240709400"/>
      <w:bookmarkStart w:id="168" w:name="_Toc288494477"/>
      <w:bookmarkStart w:id="169" w:name="_Toc385582819"/>
      <w:bookmarkStart w:id="170" w:name="_Toc226123958"/>
      <w:bookmarkStart w:id="171" w:name="_Toc387613587"/>
      <w:r>
        <w:rPr>
          <w:rFonts w:hint="eastAsia"/>
        </w:rPr>
        <w:t>7</w:t>
      </w:r>
      <w:r>
        <w:t>.</w:t>
      </w:r>
      <w:r>
        <w:rPr>
          <w:rFonts w:hint="eastAsia"/>
        </w:rPr>
        <w:t>6</w:t>
      </w:r>
      <w:r>
        <w:t xml:space="preserve"> 竣工试验</w:t>
      </w:r>
      <w:bookmarkEnd w:id="165"/>
      <w:bookmarkEnd w:id="166"/>
      <w:bookmarkEnd w:id="167"/>
      <w:bookmarkEnd w:id="168"/>
      <w:bookmarkEnd w:id="169"/>
      <w:bookmarkEnd w:id="170"/>
      <w:bookmarkEnd w:id="171"/>
    </w:p>
    <w:p w14:paraId="1A331CB0">
      <w:pPr>
        <w:pStyle w:val="288"/>
      </w:pPr>
      <w:r>
        <w:t>电缆及附件安装完毕后，</w:t>
      </w:r>
      <w:r>
        <w:rPr>
          <w:rFonts w:hint="eastAsia"/>
        </w:rPr>
        <w:t>应开展竣工试验。除绝缘的交流电压试验与线路参数测试外，其他</w:t>
      </w:r>
      <w:r>
        <w:t>竣工试验</w:t>
      </w:r>
      <w:r>
        <w:rPr>
          <w:rFonts w:hint="eastAsia"/>
        </w:rPr>
        <w:t>应由</w:t>
      </w:r>
      <w:r>
        <w:t>投标方</w:t>
      </w:r>
      <w:r>
        <w:rPr>
          <w:rFonts w:hint="eastAsia"/>
        </w:rPr>
        <w:t>负责。</w:t>
      </w:r>
      <w:r>
        <w:t>试验项目、方法和要求应符合GB/T 41629.1</w:t>
      </w:r>
      <w:r>
        <w:rPr>
          <w:szCs w:val="24"/>
        </w:rPr>
        <w:t>第</w:t>
      </w:r>
      <w:r>
        <w:t>11</w:t>
      </w:r>
      <w:r>
        <w:rPr>
          <w:rFonts w:hint="eastAsia"/>
        </w:rPr>
        <w:t>章相关</w:t>
      </w:r>
      <w:r>
        <w:t>规定</w:t>
      </w:r>
      <w:r>
        <w:rPr>
          <w:rFonts w:hint="eastAsia"/>
        </w:rPr>
        <w:t>，并提供相应的试验报告。</w:t>
      </w:r>
    </w:p>
    <w:p w14:paraId="35E04CE7">
      <w:pPr>
        <w:pStyle w:val="288"/>
      </w:pPr>
      <w:r>
        <w:t>1</w:t>
      </w:r>
      <w:r>
        <w:rPr>
          <w:rFonts w:hint="eastAsia"/>
        </w:rPr>
        <w:t>、绝缘的交流电压试验</w:t>
      </w:r>
    </w:p>
    <w:p w14:paraId="78F2FFE6">
      <w:pPr>
        <w:pStyle w:val="288"/>
      </w:pPr>
      <w:r>
        <w:rPr>
          <w:rFonts w:hint="eastAsia"/>
        </w:rPr>
        <w:t>投标方不负责该试验，但应对该实验进行配合。该试验对电缆绝缘施加交流试验电压。电压波形应基本为正弦形。根据现场实际试验条件，优先采用施加</w:t>
      </w:r>
      <w:r>
        <w:t>493kV</w:t>
      </w:r>
      <w:r>
        <w:rPr>
          <w:rFonts w:hint="eastAsia"/>
        </w:rPr>
        <w:t>交流电压，时间为</w:t>
      </w:r>
      <w:r>
        <w:t>1h</w:t>
      </w:r>
      <w:r>
        <w:rPr>
          <w:rFonts w:hint="eastAsia"/>
        </w:rPr>
        <w:t>，绝缘应不发生击穿。若现场无法实施，采用施加</w:t>
      </w:r>
      <w:r>
        <w:t>290kV</w:t>
      </w:r>
      <w:r>
        <w:rPr>
          <w:rFonts w:hint="eastAsia"/>
        </w:rPr>
        <w:t>（</w:t>
      </w:r>
      <w:r>
        <w:t>U0</w:t>
      </w:r>
      <w:r>
        <w:rPr>
          <w:rFonts w:hint="eastAsia"/>
        </w:rPr>
        <w:t>）交流电压，时间为</w:t>
      </w:r>
      <w:r>
        <w:t>24h</w:t>
      </w:r>
      <w:r>
        <w:rPr>
          <w:rFonts w:hint="eastAsia"/>
        </w:rPr>
        <w:t>，绝缘应不发生击穿。</w:t>
      </w:r>
    </w:p>
    <w:p w14:paraId="1D500D6C">
      <w:pPr>
        <w:pStyle w:val="288"/>
      </w:pPr>
      <w:r>
        <w:t>2</w:t>
      </w:r>
      <w:r>
        <w:rPr>
          <w:rFonts w:hint="eastAsia"/>
        </w:rPr>
        <w:t>、TDR测试</w:t>
      </w:r>
    </w:p>
    <w:p w14:paraId="231FAD3F">
      <w:pPr>
        <w:pStyle w:val="288"/>
      </w:pPr>
      <w:r>
        <w:rPr>
          <w:rFonts w:hint="eastAsia"/>
        </w:rPr>
        <w:t>按照</w:t>
      </w:r>
      <w:r>
        <w:t>GB/T 41629.1第</w:t>
      </w:r>
      <w:r>
        <w:rPr>
          <w:rFonts w:hint="eastAsia"/>
        </w:rPr>
        <w:t>1</w:t>
      </w:r>
      <w:r>
        <w:t>1.2节要求</w:t>
      </w:r>
      <w:r>
        <w:rPr>
          <w:rFonts w:hint="eastAsia"/>
        </w:rPr>
        <w:t>，对海缆进行时域反射测量</w:t>
      </w:r>
      <w:r>
        <w:t>。</w:t>
      </w:r>
    </w:p>
    <w:p w14:paraId="11460888">
      <w:pPr>
        <w:pStyle w:val="288"/>
      </w:pPr>
      <w:r>
        <w:t>3</w:t>
      </w:r>
      <w:r>
        <w:rPr>
          <w:rFonts w:hint="eastAsia"/>
        </w:rPr>
        <w:t>、FDR测试</w:t>
      </w:r>
    </w:p>
    <w:p w14:paraId="46C1F730">
      <w:pPr>
        <w:pStyle w:val="288"/>
      </w:pPr>
      <w:r>
        <w:rPr>
          <w:rFonts w:hint="eastAsia"/>
        </w:rPr>
        <w:t>开展宽频阻抗测试、高压频域介电响应测试（FDR）等辅助检测项目，用于及时发现绝缘潜在缺陷，与出厂测量值、运输前测量值和施工前测量值进行比对。</w:t>
      </w:r>
    </w:p>
    <w:p w14:paraId="1A34C59B">
      <w:pPr>
        <w:pStyle w:val="288"/>
      </w:pPr>
      <w:r>
        <w:rPr>
          <w:rFonts w:hint="eastAsia"/>
        </w:rPr>
        <w:t>4、光纤单元试验</w:t>
      </w:r>
    </w:p>
    <w:p w14:paraId="758D84A0">
      <w:pPr>
        <w:pStyle w:val="288"/>
      </w:pPr>
      <w:r>
        <w:rPr>
          <w:rFonts w:hint="eastAsia"/>
        </w:rPr>
        <w:t>光纤单元应按照</w:t>
      </w:r>
      <w:r>
        <w:t>GB/T 41629.2第8.3节之</w:t>
      </w:r>
      <w:r>
        <w:rPr>
          <w:rFonts w:hint="eastAsia"/>
        </w:rPr>
        <w:t>规定的方法开展试验，测量每根光纤的衰减系数应符合本技术规范书</w:t>
      </w:r>
      <w:r>
        <w:t>6.5</w:t>
      </w:r>
      <w:r>
        <w:rPr>
          <w:rFonts w:hint="eastAsia"/>
        </w:rPr>
        <w:t>节表</w:t>
      </w:r>
      <w:r>
        <w:t>6.5-1</w:t>
      </w:r>
      <w:r>
        <w:rPr>
          <w:rFonts w:hint="eastAsia"/>
        </w:rPr>
        <w:t>之规定。</w:t>
      </w:r>
    </w:p>
    <w:p w14:paraId="5125EC9A">
      <w:pPr>
        <w:pStyle w:val="288"/>
      </w:pPr>
      <w:r>
        <w:rPr>
          <w:rFonts w:hint="eastAsia"/>
        </w:rPr>
        <w:t>5、线路参数测试</w:t>
      </w:r>
    </w:p>
    <w:p w14:paraId="36F2C12A">
      <w:pPr>
        <w:pStyle w:val="288"/>
      </w:pPr>
      <w:r>
        <w:rPr>
          <w:rFonts w:hint="eastAsia"/>
        </w:rPr>
        <w:t>投标方不负责该试验，该实验应</w:t>
      </w:r>
      <w:r>
        <w:t>按照南网投运标准测试正序、负序、零序的电阻、电抗、互感等参数</w:t>
      </w:r>
      <w:r>
        <w:rPr>
          <w:rFonts w:hint="eastAsia"/>
        </w:rPr>
        <w:t>。</w:t>
      </w:r>
    </w:p>
    <w:p w14:paraId="19E92D58">
      <w:pPr>
        <w:pStyle w:val="286"/>
      </w:pPr>
      <w:bookmarkStart w:id="172" w:name="_Toc232443366"/>
      <w:r>
        <w:t xml:space="preserve">7.7 </w:t>
      </w:r>
      <w:r>
        <w:rPr>
          <w:rFonts w:hint="eastAsia"/>
        </w:rPr>
        <w:t>海缆保护完成后试验</w:t>
      </w:r>
      <w:bookmarkEnd w:id="172"/>
    </w:p>
    <w:p w14:paraId="217D4E94">
      <w:pPr>
        <w:pStyle w:val="288"/>
      </w:pPr>
      <w:r>
        <w:rPr>
          <w:rFonts w:hint="eastAsia"/>
        </w:rPr>
        <w:t>海缆竣工带电后，仍需要对部分区段海缆开展开沟或抛石施工，施工过程可能对海缆造成损伤，因此考虑在海缆全部区段保护施工完成后，对海缆再次进行试验，实验内容如下：</w:t>
      </w:r>
    </w:p>
    <w:p w14:paraId="5F3C53CA">
      <w:pPr>
        <w:pStyle w:val="288"/>
      </w:pPr>
      <w:r>
        <w:t>1</w:t>
      </w:r>
      <w:r>
        <w:rPr>
          <w:rFonts w:hint="eastAsia"/>
        </w:rPr>
        <w:t>、时域反射仪（TDR）试验，以获得电缆行波传输特性的特征量，并作为基准值与海缆出厂运输阶段、过程验收阶段、运维期间的测量值进行比对。</w:t>
      </w:r>
    </w:p>
    <w:p w14:paraId="286745ED">
      <w:pPr>
        <w:pStyle w:val="288"/>
      </w:pPr>
      <w:r>
        <w:t>2</w:t>
      </w:r>
      <w:r>
        <w:rPr>
          <w:rFonts w:hint="eastAsia"/>
        </w:rPr>
        <w:t>、宽频阻抗测试、高压频域介电响应测试（FDR）等辅助检测项目，用于及时发现绝缘潜在缺陷，并作为基准值与海缆出厂运输阶段、过程验收阶段、运维期间的测量值进行比对。</w:t>
      </w:r>
    </w:p>
    <w:p w14:paraId="1CF24AE6">
      <w:pPr>
        <w:pStyle w:val="288"/>
      </w:pPr>
      <w:r>
        <w:t>3</w:t>
      </w:r>
      <w:r>
        <w:rPr>
          <w:rFonts w:hint="eastAsia"/>
        </w:rPr>
        <w:t>、光纤完整性测试，提供相应的测试报告。</w:t>
      </w:r>
    </w:p>
    <w:bookmarkEnd w:id="138"/>
    <w:bookmarkEnd w:id="139"/>
    <w:bookmarkEnd w:id="140"/>
    <w:bookmarkEnd w:id="141"/>
    <w:p w14:paraId="16301D11">
      <w:pPr>
        <w:pStyle w:val="286"/>
      </w:pPr>
      <w:bookmarkStart w:id="173" w:name="_Toc232443367"/>
      <w:r>
        <w:t xml:space="preserve">7.8 </w:t>
      </w:r>
      <w:r>
        <w:rPr>
          <w:rFonts w:hint="eastAsia"/>
        </w:rPr>
        <w:t>大长度挤出验证</w:t>
      </w:r>
      <w:bookmarkEnd w:id="173"/>
    </w:p>
    <w:p w14:paraId="4ED7E1E7">
      <w:pPr>
        <w:pStyle w:val="288"/>
      </w:pPr>
      <w:r>
        <w:rPr>
          <w:rFonts w:hint="eastAsia"/>
        </w:rPr>
        <w:t>若采用</w:t>
      </w:r>
      <w:r>
        <w:rPr>
          <w:rFonts w:hint="eastAsia" w:asciiTheme="minorEastAsia" w:hAnsiTheme="minorEastAsia" w:eastAsiaTheme="minorEastAsia"/>
          <w:szCs w:val="24"/>
        </w:rPr>
        <w:t>自主可控</w:t>
      </w:r>
      <w:r>
        <w:rPr>
          <w:rFonts w:hint="eastAsia"/>
        </w:rPr>
        <w:t>海缆方案，投标方应开展海缆绝缘大长度挤出验证，以系统评估其最大连续挤出能力。验证可通过设置一次或多次海缆绝缘连续挤出进行，但至少应证明：在本工程海缆生产条件下，能够满足</w:t>
      </w:r>
      <w:r>
        <w:rPr>
          <w:rFonts w:hint="eastAsia" w:cs="Times New Roman" w:asciiTheme="minorEastAsia" w:hAnsiTheme="minorEastAsia" w:eastAsiaTheme="minorEastAsia"/>
          <w:szCs w:val="24"/>
        </w:rPr>
        <w:t>本技术规范书</w:t>
      </w:r>
      <w:r>
        <w:rPr>
          <w:rFonts w:hint="eastAsia" w:cs="Times New Roman" w:asciiTheme="minorEastAsia" w:hAnsiTheme="minorEastAsia" w:eastAsiaTheme="minorEastAsia"/>
          <w:szCs w:val="24"/>
          <w:lang w:eastAsia="zh-CN"/>
        </w:rPr>
        <w:t>第</w:t>
      </w:r>
      <w:r>
        <w:rPr>
          <w:rFonts w:hint="eastAsia" w:cs="Times New Roman" w:asciiTheme="minorEastAsia" w:hAnsiTheme="minorEastAsia" w:eastAsiaTheme="minorEastAsia"/>
          <w:szCs w:val="24"/>
        </w:rPr>
        <w:t>1.2</w:t>
      </w:r>
      <w:r>
        <w:rPr>
          <w:rFonts w:cs="Times New Roman" w:asciiTheme="minorEastAsia" w:hAnsiTheme="minorEastAsia" w:eastAsiaTheme="minorEastAsia"/>
          <w:szCs w:val="24"/>
        </w:rPr>
        <w:t xml:space="preserve"> </w:t>
      </w:r>
      <w:r>
        <w:rPr>
          <w:rFonts w:hint="eastAsia" w:cs="Times New Roman" w:asciiTheme="minorEastAsia" w:hAnsiTheme="minorEastAsia" w:eastAsiaTheme="minorEastAsia"/>
          <w:szCs w:val="24"/>
          <w:lang w:eastAsia="zh-CN"/>
        </w:rPr>
        <w:t>条款</w:t>
      </w:r>
      <w:r>
        <w:rPr>
          <w:rFonts w:hint="eastAsia" w:cs="Times New Roman" w:asciiTheme="minorEastAsia" w:hAnsiTheme="minorEastAsia" w:eastAsiaTheme="minorEastAsia"/>
          <w:szCs w:val="24"/>
          <w:lang w:val="en-US" w:eastAsia="zh-CN"/>
        </w:rPr>
        <w:t>关于</w:t>
      </w:r>
      <w:r>
        <w:rPr>
          <w:rFonts w:hint="eastAsia"/>
        </w:rPr>
        <w:t>工厂接头的</w:t>
      </w:r>
      <w:r>
        <w:rPr>
          <w:rFonts w:hint="eastAsia"/>
          <w:lang w:val="en-US" w:eastAsia="zh-CN"/>
        </w:rPr>
        <w:t>要求</w:t>
      </w:r>
      <w:r>
        <w:rPr>
          <w:rFonts w:hint="eastAsia"/>
        </w:rPr>
        <w:t>。</w:t>
      </w:r>
    </w:p>
    <w:p w14:paraId="4B0234C2">
      <w:pPr>
        <w:pStyle w:val="288"/>
        <w:rPr>
          <w:rFonts w:ascii="Segoe UI" w:hAnsi="Segoe UI" w:cs="Segoe UI"/>
          <w:color w:val="0F1115"/>
          <w:shd w:val="clear" w:color="auto" w:fill="FFFFFF"/>
        </w:rPr>
      </w:pPr>
      <w:r>
        <w:rPr>
          <w:rFonts w:hint="eastAsia" w:ascii="Segoe UI" w:hAnsi="Segoe UI" w:cs="Segoe UI"/>
          <w:color w:val="0F1115"/>
          <w:shd w:val="clear" w:color="auto" w:fill="FFFFFF"/>
        </w:rPr>
        <w:t>此外，上述大长度绝缘挤出验证应在</w:t>
      </w:r>
      <w:r>
        <w:rPr>
          <w:rFonts w:hint="eastAsia" w:asciiTheme="minorEastAsia" w:hAnsiTheme="minorEastAsia" w:eastAsiaTheme="minorEastAsia"/>
          <w:szCs w:val="24"/>
        </w:rPr>
        <w:t>自主可控</w:t>
      </w:r>
      <w:r>
        <w:rPr>
          <w:rFonts w:hint="eastAsia" w:ascii="Segoe UI" w:hAnsi="Segoe UI" w:cs="Segoe UI"/>
          <w:color w:val="0F1115"/>
          <w:shd w:val="clear" w:color="auto" w:fill="FFFFFF"/>
        </w:rPr>
        <w:t>海缆研发结果专家评审会召开前完成（会议说明详见附录二）。投标方应提前制定详细的试验方案及成果验证方式，并在</w:t>
      </w:r>
      <w:r>
        <w:rPr>
          <w:rFonts w:hint="eastAsia" w:asciiTheme="minorEastAsia" w:hAnsiTheme="minorEastAsia" w:eastAsiaTheme="minorEastAsia"/>
          <w:szCs w:val="24"/>
        </w:rPr>
        <w:t>自主可控</w:t>
      </w:r>
      <w:r>
        <w:rPr>
          <w:rFonts w:hint="eastAsia" w:ascii="Segoe UI" w:hAnsi="Segoe UI" w:cs="Segoe UI"/>
          <w:color w:val="0F1115"/>
          <w:shd w:val="clear" w:color="auto" w:fill="FFFFFF"/>
        </w:rPr>
        <w:t>海缆研发中期专家评审会上向招标方（或技术评审方）进行汇报，相关内容须经招标方书面确认（或</w:t>
      </w:r>
      <w:r>
        <w:rPr>
          <w:rFonts w:ascii="Segoe UI" w:hAnsi="Segoe UI" w:cs="Segoe UI"/>
          <w:color w:val="0F1115"/>
          <w:shd w:val="clear" w:color="auto" w:fill="FFFFFF"/>
        </w:rPr>
        <w:t>“</w:t>
      </w:r>
      <w:r>
        <w:rPr>
          <w:rFonts w:hint="eastAsia" w:ascii="Segoe UI" w:hAnsi="Segoe UI" w:cs="Segoe UI"/>
          <w:color w:val="0F1115"/>
          <w:shd w:val="clear" w:color="auto" w:fill="FFFFFF"/>
        </w:rPr>
        <w:t>允许</w:t>
      </w:r>
      <w:r>
        <w:rPr>
          <w:rFonts w:ascii="Segoe UI" w:hAnsi="Segoe UI" w:cs="Segoe UI"/>
          <w:color w:val="0F1115"/>
          <w:shd w:val="clear" w:color="auto" w:fill="FFFFFF"/>
        </w:rPr>
        <w:t>”</w:t>
      </w:r>
      <w:r>
        <w:rPr>
          <w:rFonts w:hint="eastAsia" w:ascii="Segoe UI" w:hAnsi="Segoe UI" w:cs="Segoe UI"/>
          <w:color w:val="0F1115"/>
          <w:shd w:val="clear" w:color="auto" w:fill="FFFFFF"/>
        </w:rPr>
        <w:t>）后方可实施。试验方案应明确挤出长度、试验次数、取样位置、检测项目及合格判据等关键要素，确保验证过程可追溯、结论可信。</w:t>
      </w:r>
    </w:p>
    <w:p w14:paraId="2EAEC826">
      <w:pPr>
        <w:pStyle w:val="288"/>
      </w:pPr>
      <w:r>
        <w:rPr>
          <w:rFonts w:hint="eastAsia"/>
        </w:rPr>
        <w:t>该项试验内容不进行单独报价，</w:t>
      </w:r>
      <w:r>
        <w:rPr>
          <w:rFonts w:ascii="Segoe UI" w:hAnsi="Segoe UI" w:cs="Segoe UI"/>
          <w:color w:val="0F1115"/>
          <w:shd w:val="clear" w:color="auto" w:fill="FFFFFF"/>
        </w:rPr>
        <w:t>此项费用</w:t>
      </w:r>
      <w:r>
        <w:rPr>
          <w:rFonts w:hint="eastAsia" w:ascii="Segoe UI" w:hAnsi="Segoe UI" w:cs="Segoe UI"/>
          <w:color w:val="0F1115"/>
          <w:shd w:val="clear" w:color="auto" w:fill="FFFFFF"/>
        </w:rPr>
        <w:t>被</w:t>
      </w:r>
      <w:r>
        <w:rPr>
          <w:rFonts w:ascii="Segoe UI" w:hAnsi="Segoe UI" w:cs="Segoe UI"/>
          <w:color w:val="0F1115"/>
          <w:shd w:val="clear" w:color="auto" w:fill="FFFFFF"/>
        </w:rPr>
        <w:t>视为已分摊并包含在海缆本体报价中。</w:t>
      </w:r>
    </w:p>
    <w:p w14:paraId="02413333">
      <w:pPr>
        <w:pStyle w:val="286"/>
      </w:pPr>
      <w:bookmarkStart w:id="174" w:name="_Toc232443368"/>
      <w:r>
        <w:rPr>
          <w:rFonts w:hint="eastAsia"/>
        </w:rPr>
        <w:t>7.</w:t>
      </w:r>
      <w:r>
        <w:t xml:space="preserve">9 </w:t>
      </w:r>
      <w:r>
        <w:rPr>
          <w:rFonts w:hint="eastAsia"/>
        </w:rPr>
        <w:t>现场试验设备</w:t>
      </w:r>
      <w:bookmarkEnd w:id="174"/>
    </w:p>
    <w:p w14:paraId="1A55D364">
      <w:pPr>
        <w:pStyle w:val="43"/>
        <w:snapToGrid w:val="0"/>
        <w:spacing w:line="360" w:lineRule="auto"/>
        <w:ind w:firstLine="420" w:firstLineChars="200"/>
        <w:rPr>
          <w:rFonts w:ascii="Times New Roman" w:hAnsi="Times New Roman"/>
        </w:rPr>
      </w:pPr>
      <w:r>
        <w:rPr>
          <w:rFonts w:hint="eastAsia" w:ascii="Times New Roman" w:hAnsi="Times New Roman"/>
        </w:rPr>
        <w:t>投标方应填写以下关于现场试验设备的表格。</w:t>
      </w:r>
    </w:p>
    <w:p w14:paraId="699B6F15">
      <w:pPr>
        <w:snapToGrid w:val="0"/>
        <w:jc w:val="center"/>
        <w:rPr>
          <w:lang w:bidi="ar"/>
        </w:rPr>
      </w:pPr>
      <w:r>
        <w:rPr>
          <w:lang w:bidi="ar"/>
        </w:rPr>
        <w:t>表</w:t>
      </w:r>
      <w:r>
        <w:rPr>
          <w:rFonts w:hint="eastAsia"/>
          <w:lang w:bidi="ar"/>
        </w:rPr>
        <w:t>7.7</w:t>
      </w:r>
      <w:r>
        <w:rPr>
          <w:lang w:bidi="ar"/>
        </w:rPr>
        <w:t>-</w:t>
      </w:r>
      <w:r>
        <w:rPr>
          <w:rFonts w:hint="eastAsia"/>
          <w:lang w:bidi="ar"/>
        </w:rPr>
        <w:t>1</w:t>
      </w:r>
      <w:r>
        <w:rPr>
          <w:lang w:bidi="ar"/>
        </w:rPr>
        <w:tab/>
      </w:r>
      <w:r>
        <w:rPr>
          <w:lang w:bidi="ar"/>
        </w:rPr>
        <w:t>现</w:t>
      </w:r>
      <w:r>
        <w:rPr>
          <w:rFonts w:hint="eastAsia"/>
          <w:lang w:bidi="ar"/>
        </w:rPr>
        <w:t>场试验设备</w:t>
      </w:r>
    </w:p>
    <w:tbl>
      <w:tblPr>
        <w:tblStyle w:val="8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00"/>
        <w:gridCol w:w="2160"/>
        <w:gridCol w:w="1080"/>
        <w:gridCol w:w="1080"/>
        <w:gridCol w:w="2593"/>
      </w:tblGrid>
      <w:tr w14:paraId="7231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540" w:type="dxa"/>
            <w:vAlign w:val="center"/>
          </w:tcPr>
          <w:p w14:paraId="0B015B9D">
            <w:pPr>
              <w:snapToGrid w:val="0"/>
              <w:jc w:val="center"/>
              <w:rPr>
                <w:spacing w:val="6"/>
              </w:rPr>
            </w:pPr>
          </w:p>
        </w:tc>
        <w:tc>
          <w:tcPr>
            <w:tcW w:w="1800" w:type="dxa"/>
            <w:vAlign w:val="center"/>
          </w:tcPr>
          <w:p w14:paraId="4E24477D">
            <w:pPr>
              <w:snapToGrid w:val="0"/>
              <w:jc w:val="center"/>
              <w:rPr>
                <w:spacing w:val="6"/>
              </w:rPr>
            </w:pPr>
            <w:r>
              <w:rPr>
                <w:rFonts w:hint="eastAsia"/>
                <w:spacing w:val="6"/>
              </w:rPr>
              <w:t>名</w:t>
            </w:r>
            <w:r>
              <w:rPr>
                <w:spacing w:val="6"/>
              </w:rPr>
              <w:t xml:space="preserve">     </w:t>
            </w:r>
            <w:r>
              <w:rPr>
                <w:rFonts w:hint="eastAsia"/>
                <w:spacing w:val="6"/>
              </w:rPr>
              <w:t>称</w:t>
            </w:r>
          </w:p>
        </w:tc>
        <w:tc>
          <w:tcPr>
            <w:tcW w:w="2160" w:type="dxa"/>
            <w:vAlign w:val="center"/>
          </w:tcPr>
          <w:p w14:paraId="60D75BC0">
            <w:pPr>
              <w:snapToGrid w:val="0"/>
              <w:jc w:val="center"/>
              <w:rPr>
                <w:spacing w:val="6"/>
              </w:rPr>
            </w:pPr>
            <w:r>
              <w:rPr>
                <w:rFonts w:hint="eastAsia"/>
                <w:spacing w:val="6"/>
              </w:rPr>
              <w:t>型号及规格</w:t>
            </w:r>
          </w:p>
        </w:tc>
        <w:tc>
          <w:tcPr>
            <w:tcW w:w="1080" w:type="dxa"/>
            <w:vAlign w:val="center"/>
          </w:tcPr>
          <w:p w14:paraId="40E7D0AF">
            <w:pPr>
              <w:snapToGrid w:val="0"/>
              <w:jc w:val="center"/>
              <w:rPr>
                <w:spacing w:val="6"/>
              </w:rPr>
            </w:pPr>
            <w:r>
              <w:rPr>
                <w:rFonts w:hint="eastAsia"/>
                <w:spacing w:val="6"/>
              </w:rPr>
              <w:t>单</w:t>
            </w:r>
            <w:r>
              <w:rPr>
                <w:spacing w:val="6"/>
              </w:rPr>
              <w:t xml:space="preserve">  </w:t>
            </w:r>
            <w:r>
              <w:rPr>
                <w:rFonts w:hint="eastAsia"/>
                <w:spacing w:val="6"/>
              </w:rPr>
              <w:t>位</w:t>
            </w:r>
          </w:p>
        </w:tc>
        <w:tc>
          <w:tcPr>
            <w:tcW w:w="1080" w:type="dxa"/>
            <w:vAlign w:val="center"/>
          </w:tcPr>
          <w:p w14:paraId="183D8DB0">
            <w:pPr>
              <w:snapToGrid w:val="0"/>
              <w:jc w:val="center"/>
              <w:rPr>
                <w:spacing w:val="6"/>
              </w:rPr>
            </w:pPr>
            <w:r>
              <w:rPr>
                <w:rFonts w:hint="eastAsia"/>
                <w:spacing w:val="6"/>
              </w:rPr>
              <w:t>数</w:t>
            </w:r>
            <w:r>
              <w:rPr>
                <w:spacing w:val="6"/>
              </w:rPr>
              <w:t xml:space="preserve">  </w:t>
            </w:r>
            <w:r>
              <w:rPr>
                <w:rFonts w:hint="eastAsia"/>
                <w:spacing w:val="6"/>
              </w:rPr>
              <w:t>量</w:t>
            </w:r>
          </w:p>
        </w:tc>
        <w:tc>
          <w:tcPr>
            <w:tcW w:w="2593" w:type="dxa"/>
            <w:vAlign w:val="center"/>
          </w:tcPr>
          <w:p w14:paraId="0C7150B0">
            <w:pPr>
              <w:snapToGrid w:val="0"/>
              <w:jc w:val="center"/>
              <w:rPr>
                <w:spacing w:val="6"/>
              </w:rPr>
            </w:pPr>
            <w:r>
              <w:rPr>
                <w:rFonts w:hint="eastAsia"/>
                <w:spacing w:val="6"/>
              </w:rPr>
              <w:t>备</w:t>
            </w:r>
            <w:r>
              <w:rPr>
                <w:spacing w:val="6"/>
              </w:rPr>
              <w:t xml:space="preserve">    </w:t>
            </w:r>
            <w:r>
              <w:rPr>
                <w:rFonts w:hint="eastAsia"/>
                <w:spacing w:val="6"/>
              </w:rPr>
              <w:t>注</w:t>
            </w:r>
            <w:r>
              <w:rPr>
                <w:spacing w:val="6"/>
              </w:rPr>
              <w:br w:type="textWrapping"/>
            </w:r>
            <w:r>
              <w:rPr>
                <w:rFonts w:hint="eastAsia"/>
                <w:spacing w:val="6"/>
              </w:rPr>
              <w:t>（用途）</w:t>
            </w:r>
          </w:p>
        </w:tc>
      </w:tr>
      <w:tr w14:paraId="3E1AF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2F761DE">
            <w:pPr>
              <w:snapToGrid w:val="0"/>
              <w:jc w:val="center"/>
              <w:rPr>
                <w:spacing w:val="6"/>
              </w:rPr>
            </w:pPr>
            <w:r>
              <w:rPr>
                <w:rFonts w:hint="eastAsia"/>
                <w:spacing w:val="6"/>
              </w:rPr>
              <w:t>1</w:t>
            </w:r>
          </w:p>
        </w:tc>
        <w:tc>
          <w:tcPr>
            <w:tcW w:w="1800" w:type="dxa"/>
            <w:vAlign w:val="center"/>
          </w:tcPr>
          <w:p w14:paraId="47726561">
            <w:pPr>
              <w:snapToGrid w:val="0"/>
              <w:jc w:val="center"/>
              <w:rPr>
                <w:spacing w:val="6"/>
              </w:rPr>
            </w:pPr>
          </w:p>
        </w:tc>
        <w:tc>
          <w:tcPr>
            <w:tcW w:w="2160" w:type="dxa"/>
            <w:vAlign w:val="center"/>
          </w:tcPr>
          <w:p w14:paraId="0AA80B04">
            <w:pPr>
              <w:snapToGrid w:val="0"/>
              <w:jc w:val="center"/>
              <w:rPr>
                <w:spacing w:val="6"/>
              </w:rPr>
            </w:pPr>
          </w:p>
        </w:tc>
        <w:tc>
          <w:tcPr>
            <w:tcW w:w="1080" w:type="dxa"/>
            <w:vAlign w:val="center"/>
          </w:tcPr>
          <w:p w14:paraId="6BBB4495">
            <w:pPr>
              <w:snapToGrid w:val="0"/>
              <w:jc w:val="center"/>
              <w:rPr>
                <w:spacing w:val="6"/>
              </w:rPr>
            </w:pPr>
          </w:p>
        </w:tc>
        <w:tc>
          <w:tcPr>
            <w:tcW w:w="1080" w:type="dxa"/>
            <w:vAlign w:val="center"/>
          </w:tcPr>
          <w:p w14:paraId="0A4307CF">
            <w:pPr>
              <w:snapToGrid w:val="0"/>
              <w:jc w:val="center"/>
              <w:rPr>
                <w:spacing w:val="6"/>
              </w:rPr>
            </w:pPr>
          </w:p>
        </w:tc>
        <w:tc>
          <w:tcPr>
            <w:tcW w:w="2593" w:type="dxa"/>
            <w:vAlign w:val="center"/>
          </w:tcPr>
          <w:p w14:paraId="488F5775">
            <w:pPr>
              <w:snapToGrid w:val="0"/>
              <w:jc w:val="center"/>
              <w:rPr>
                <w:spacing w:val="6"/>
              </w:rPr>
            </w:pPr>
          </w:p>
        </w:tc>
      </w:tr>
      <w:tr w14:paraId="0E7C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AF79BD8">
            <w:pPr>
              <w:snapToGrid w:val="0"/>
              <w:jc w:val="center"/>
              <w:rPr>
                <w:spacing w:val="6"/>
              </w:rPr>
            </w:pPr>
            <w:r>
              <w:rPr>
                <w:rFonts w:hint="eastAsia"/>
                <w:spacing w:val="6"/>
              </w:rPr>
              <w:t>2</w:t>
            </w:r>
          </w:p>
        </w:tc>
        <w:tc>
          <w:tcPr>
            <w:tcW w:w="1800" w:type="dxa"/>
            <w:vAlign w:val="center"/>
          </w:tcPr>
          <w:p w14:paraId="78226B82">
            <w:pPr>
              <w:snapToGrid w:val="0"/>
              <w:jc w:val="center"/>
              <w:rPr>
                <w:spacing w:val="6"/>
              </w:rPr>
            </w:pPr>
          </w:p>
        </w:tc>
        <w:tc>
          <w:tcPr>
            <w:tcW w:w="2160" w:type="dxa"/>
            <w:vAlign w:val="center"/>
          </w:tcPr>
          <w:p w14:paraId="5B834359">
            <w:pPr>
              <w:snapToGrid w:val="0"/>
              <w:jc w:val="center"/>
              <w:rPr>
                <w:spacing w:val="6"/>
              </w:rPr>
            </w:pPr>
          </w:p>
        </w:tc>
        <w:tc>
          <w:tcPr>
            <w:tcW w:w="1080" w:type="dxa"/>
            <w:vAlign w:val="center"/>
          </w:tcPr>
          <w:p w14:paraId="55BBA78A">
            <w:pPr>
              <w:snapToGrid w:val="0"/>
              <w:jc w:val="center"/>
              <w:rPr>
                <w:spacing w:val="6"/>
              </w:rPr>
            </w:pPr>
          </w:p>
        </w:tc>
        <w:tc>
          <w:tcPr>
            <w:tcW w:w="1080" w:type="dxa"/>
            <w:vAlign w:val="center"/>
          </w:tcPr>
          <w:p w14:paraId="1B173CCA">
            <w:pPr>
              <w:snapToGrid w:val="0"/>
              <w:jc w:val="center"/>
              <w:rPr>
                <w:spacing w:val="6"/>
              </w:rPr>
            </w:pPr>
          </w:p>
        </w:tc>
        <w:tc>
          <w:tcPr>
            <w:tcW w:w="2593" w:type="dxa"/>
            <w:vAlign w:val="center"/>
          </w:tcPr>
          <w:p w14:paraId="6583DB2F">
            <w:pPr>
              <w:snapToGrid w:val="0"/>
              <w:jc w:val="center"/>
              <w:rPr>
                <w:spacing w:val="6"/>
              </w:rPr>
            </w:pPr>
          </w:p>
        </w:tc>
      </w:tr>
      <w:tr w14:paraId="64A2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CBBCD06">
            <w:pPr>
              <w:snapToGrid w:val="0"/>
              <w:jc w:val="center"/>
              <w:rPr>
                <w:spacing w:val="6"/>
              </w:rPr>
            </w:pPr>
            <w:r>
              <w:rPr>
                <w:rFonts w:hint="eastAsia"/>
                <w:spacing w:val="6"/>
              </w:rPr>
              <w:t>3</w:t>
            </w:r>
          </w:p>
        </w:tc>
        <w:tc>
          <w:tcPr>
            <w:tcW w:w="1800" w:type="dxa"/>
            <w:vAlign w:val="center"/>
          </w:tcPr>
          <w:p w14:paraId="2BB55053">
            <w:pPr>
              <w:snapToGrid w:val="0"/>
              <w:jc w:val="center"/>
              <w:rPr>
                <w:spacing w:val="6"/>
              </w:rPr>
            </w:pPr>
          </w:p>
        </w:tc>
        <w:tc>
          <w:tcPr>
            <w:tcW w:w="2160" w:type="dxa"/>
            <w:vAlign w:val="center"/>
          </w:tcPr>
          <w:p w14:paraId="65D73E44">
            <w:pPr>
              <w:snapToGrid w:val="0"/>
              <w:jc w:val="center"/>
              <w:rPr>
                <w:spacing w:val="6"/>
              </w:rPr>
            </w:pPr>
          </w:p>
        </w:tc>
        <w:tc>
          <w:tcPr>
            <w:tcW w:w="1080" w:type="dxa"/>
            <w:vAlign w:val="center"/>
          </w:tcPr>
          <w:p w14:paraId="0D7CA6CD">
            <w:pPr>
              <w:snapToGrid w:val="0"/>
              <w:jc w:val="center"/>
              <w:rPr>
                <w:spacing w:val="6"/>
              </w:rPr>
            </w:pPr>
          </w:p>
        </w:tc>
        <w:tc>
          <w:tcPr>
            <w:tcW w:w="1080" w:type="dxa"/>
            <w:vAlign w:val="center"/>
          </w:tcPr>
          <w:p w14:paraId="0217AFC3">
            <w:pPr>
              <w:snapToGrid w:val="0"/>
              <w:jc w:val="center"/>
              <w:rPr>
                <w:spacing w:val="6"/>
              </w:rPr>
            </w:pPr>
          </w:p>
        </w:tc>
        <w:tc>
          <w:tcPr>
            <w:tcW w:w="2593" w:type="dxa"/>
            <w:vAlign w:val="center"/>
          </w:tcPr>
          <w:p w14:paraId="61BE8289">
            <w:pPr>
              <w:snapToGrid w:val="0"/>
              <w:jc w:val="center"/>
              <w:rPr>
                <w:spacing w:val="6"/>
              </w:rPr>
            </w:pPr>
          </w:p>
        </w:tc>
      </w:tr>
      <w:tr w14:paraId="65EE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0A830C6">
            <w:pPr>
              <w:snapToGrid w:val="0"/>
              <w:jc w:val="center"/>
              <w:rPr>
                <w:spacing w:val="6"/>
              </w:rPr>
            </w:pPr>
          </w:p>
        </w:tc>
        <w:tc>
          <w:tcPr>
            <w:tcW w:w="1800" w:type="dxa"/>
            <w:vAlign w:val="center"/>
          </w:tcPr>
          <w:p w14:paraId="5F63F132">
            <w:pPr>
              <w:snapToGrid w:val="0"/>
              <w:jc w:val="center"/>
              <w:rPr>
                <w:spacing w:val="6"/>
              </w:rPr>
            </w:pPr>
          </w:p>
        </w:tc>
        <w:tc>
          <w:tcPr>
            <w:tcW w:w="2160" w:type="dxa"/>
            <w:vAlign w:val="center"/>
          </w:tcPr>
          <w:p w14:paraId="18290021">
            <w:pPr>
              <w:snapToGrid w:val="0"/>
              <w:jc w:val="center"/>
              <w:rPr>
                <w:spacing w:val="6"/>
              </w:rPr>
            </w:pPr>
          </w:p>
        </w:tc>
        <w:tc>
          <w:tcPr>
            <w:tcW w:w="1080" w:type="dxa"/>
            <w:vAlign w:val="center"/>
          </w:tcPr>
          <w:p w14:paraId="77F6BA37">
            <w:pPr>
              <w:snapToGrid w:val="0"/>
              <w:jc w:val="center"/>
              <w:rPr>
                <w:spacing w:val="6"/>
              </w:rPr>
            </w:pPr>
          </w:p>
        </w:tc>
        <w:tc>
          <w:tcPr>
            <w:tcW w:w="1080" w:type="dxa"/>
            <w:vAlign w:val="center"/>
          </w:tcPr>
          <w:p w14:paraId="4F52D414">
            <w:pPr>
              <w:snapToGrid w:val="0"/>
              <w:jc w:val="center"/>
              <w:rPr>
                <w:spacing w:val="6"/>
              </w:rPr>
            </w:pPr>
          </w:p>
        </w:tc>
        <w:tc>
          <w:tcPr>
            <w:tcW w:w="2593" w:type="dxa"/>
            <w:vAlign w:val="center"/>
          </w:tcPr>
          <w:p w14:paraId="379EE619">
            <w:pPr>
              <w:snapToGrid w:val="0"/>
              <w:jc w:val="center"/>
              <w:rPr>
                <w:spacing w:val="6"/>
              </w:rPr>
            </w:pPr>
          </w:p>
        </w:tc>
      </w:tr>
      <w:tr w14:paraId="02715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9F3B8F3">
            <w:pPr>
              <w:snapToGrid w:val="0"/>
              <w:jc w:val="center"/>
              <w:rPr>
                <w:spacing w:val="6"/>
              </w:rPr>
            </w:pPr>
          </w:p>
        </w:tc>
        <w:tc>
          <w:tcPr>
            <w:tcW w:w="1800" w:type="dxa"/>
            <w:vAlign w:val="center"/>
          </w:tcPr>
          <w:p w14:paraId="160B3D76">
            <w:pPr>
              <w:snapToGrid w:val="0"/>
              <w:jc w:val="center"/>
              <w:rPr>
                <w:spacing w:val="6"/>
              </w:rPr>
            </w:pPr>
          </w:p>
        </w:tc>
        <w:tc>
          <w:tcPr>
            <w:tcW w:w="2160" w:type="dxa"/>
            <w:vAlign w:val="center"/>
          </w:tcPr>
          <w:p w14:paraId="4841A305">
            <w:pPr>
              <w:snapToGrid w:val="0"/>
              <w:jc w:val="center"/>
              <w:rPr>
                <w:spacing w:val="6"/>
              </w:rPr>
            </w:pPr>
          </w:p>
        </w:tc>
        <w:tc>
          <w:tcPr>
            <w:tcW w:w="1080" w:type="dxa"/>
            <w:vAlign w:val="center"/>
          </w:tcPr>
          <w:p w14:paraId="1917D7C7">
            <w:pPr>
              <w:snapToGrid w:val="0"/>
              <w:jc w:val="center"/>
              <w:rPr>
                <w:spacing w:val="6"/>
              </w:rPr>
            </w:pPr>
          </w:p>
        </w:tc>
        <w:tc>
          <w:tcPr>
            <w:tcW w:w="1080" w:type="dxa"/>
            <w:vAlign w:val="center"/>
          </w:tcPr>
          <w:p w14:paraId="42BDA26B">
            <w:pPr>
              <w:snapToGrid w:val="0"/>
              <w:jc w:val="center"/>
              <w:rPr>
                <w:spacing w:val="6"/>
              </w:rPr>
            </w:pPr>
          </w:p>
        </w:tc>
        <w:tc>
          <w:tcPr>
            <w:tcW w:w="2593" w:type="dxa"/>
            <w:vAlign w:val="center"/>
          </w:tcPr>
          <w:p w14:paraId="000CB466">
            <w:pPr>
              <w:snapToGrid w:val="0"/>
              <w:jc w:val="center"/>
              <w:rPr>
                <w:spacing w:val="6"/>
              </w:rPr>
            </w:pPr>
          </w:p>
        </w:tc>
      </w:tr>
      <w:tr w14:paraId="44FD0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0692BE9">
            <w:pPr>
              <w:snapToGrid w:val="0"/>
              <w:jc w:val="center"/>
              <w:rPr>
                <w:spacing w:val="6"/>
              </w:rPr>
            </w:pPr>
          </w:p>
        </w:tc>
        <w:tc>
          <w:tcPr>
            <w:tcW w:w="1800" w:type="dxa"/>
            <w:vAlign w:val="center"/>
          </w:tcPr>
          <w:p w14:paraId="6DC6624D">
            <w:pPr>
              <w:snapToGrid w:val="0"/>
              <w:jc w:val="center"/>
              <w:rPr>
                <w:spacing w:val="6"/>
              </w:rPr>
            </w:pPr>
          </w:p>
        </w:tc>
        <w:tc>
          <w:tcPr>
            <w:tcW w:w="2160" w:type="dxa"/>
            <w:vAlign w:val="center"/>
          </w:tcPr>
          <w:p w14:paraId="6EB617BC">
            <w:pPr>
              <w:snapToGrid w:val="0"/>
              <w:jc w:val="center"/>
              <w:rPr>
                <w:spacing w:val="6"/>
              </w:rPr>
            </w:pPr>
          </w:p>
        </w:tc>
        <w:tc>
          <w:tcPr>
            <w:tcW w:w="1080" w:type="dxa"/>
            <w:vAlign w:val="center"/>
          </w:tcPr>
          <w:p w14:paraId="5AB97990">
            <w:pPr>
              <w:snapToGrid w:val="0"/>
              <w:jc w:val="center"/>
              <w:rPr>
                <w:spacing w:val="6"/>
              </w:rPr>
            </w:pPr>
          </w:p>
        </w:tc>
        <w:tc>
          <w:tcPr>
            <w:tcW w:w="1080" w:type="dxa"/>
            <w:vAlign w:val="center"/>
          </w:tcPr>
          <w:p w14:paraId="1879634E">
            <w:pPr>
              <w:snapToGrid w:val="0"/>
              <w:jc w:val="center"/>
              <w:rPr>
                <w:spacing w:val="6"/>
              </w:rPr>
            </w:pPr>
          </w:p>
        </w:tc>
        <w:tc>
          <w:tcPr>
            <w:tcW w:w="2593" w:type="dxa"/>
            <w:vAlign w:val="center"/>
          </w:tcPr>
          <w:p w14:paraId="03E36096">
            <w:pPr>
              <w:snapToGrid w:val="0"/>
              <w:jc w:val="center"/>
              <w:rPr>
                <w:spacing w:val="6"/>
              </w:rPr>
            </w:pPr>
          </w:p>
        </w:tc>
      </w:tr>
      <w:tr w14:paraId="4AE7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9C043C5">
            <w:pPr>
              <w:snapToGrid w:val="0"/>
              <w:jc w:val="center"/>
              <w:rPr>
                <w:spacing w:val="6"/>
              </w:rPr>
            </w:pPr>
          </w:p>
        </w:tc>
        <w:tc>
          <w:tcPr>
            <w:tcW w:w="1800" w:type="dxa"/>
            <w:vAlign w:val="center"/>
          </w:tcPr>
          <w:p w14:paraId="1FF4A147">
            <w:pPr>
              <w:snapToGrid w:val="0"/>
              <w:jc w:val="center"/>
              <w:rPr>
                <w:spacing w:val="6"/>
              </w:rPr>
            </w:pPr>
          </w:p>
        </w:tc>
        <w:tc>
          <w:tcPr>
            <w:tcW w:w="2160" w:type="dxa"/>
            <w:vAlign w:val="center"/>
          </w:tcPr>
          <w:p w14:paraId="06DBE9ED">
            <w:pPr>
              <w:snapToGrid w:val="0"/>
              <w:jc w:val="center"/>
              <w:rPr>
                <w:spacing w:val="6"/>
              </w:rPr>
            </w:pPr>
          </w:p>
        </w:tc>
        <w:tc>
          <w:tcPr>
            <w:tcW w:w="1080" w:type="dxa"/>
            <w:vAlign w:val="center"/>
          </w:tcPr>
          <w:p w14:paraId="3DA9E75D">
            <w:pPr>
              <w:snapToGrid w:val="0"/>
              <w:jc w:val="center"/>
              <w:rPr>
                <w:spacing w:val="6"/>
              </w:rPr>
            </w:pPr>
          </w:p>
        </w:tc>
        <w:tc>
          <w:tcPr>
            <w:tcW w:w="1080" w:type="dxa"/>
            <w:vAlign w:val="center"/>
          </w:tcPr>
          <w:p w14:paraId="3A1DB274">
            <w:pPr>
              <w:snapToGrid w:val="0"/>
              <w:jc w:val="center"/>
              <w:rPr>
                <w:spacing w:val="6"/>
              </w:rPr>
            </w:pPr>
          </w:p>
        </w:tc>
        <w:tc>
          <w:tcPr>
            <w:tcW w:w="2593" w:type="dxa"/>
            <w:vAlign w:val="center"/>
          </w:tcPr>
          <w:p w14:paraId="2053D38D">
            <w:pPr>
              <w:snapToGrid w:val="0"/>
              <w:jc w:val="center"/>
              <w:rPr>
                <w:spacing w:val="6"/>
              </w:rPr>
            </w:pPr>
          </w:p>
        </w:tc>
      </w:tr>
      <w:tr w14:paraId="7CD8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E19ACD9">
            <w:pPr>
              <w:snapToGrid w:val="0"/>
              <w:jc w:val="center"/>
              <w:rPr>
                <w:spacing w:val="6"/>
              </w:rPr>
            </w:pPr>
          </w:p>
        </w:tc>
        <w:tc>
          <w:tcPr>
            <w:tcW w:w="1800" w:type="dxa"/>
            <w:vAlign w:val="center"/>
          </w:tcPr>
          <w:p w14:paraId="2A08BFA0">
            <w:pPr>
              <w:snapToGrid w:val="0"/>
              <w:jc w:val="center"/>
              <w:rPr>
                <w:spacing w:val="6"/>
              </w:rPr>
            </w:pPr>
          </w:p>
        </w:tc>
        <w:tc>
          <w:tcPr>
            <w:tcW w:w="2160" w:type="dxa"/>
            <w:vAlign w:val="center"/>
          </w:tcPr>
          <w:p w14:paraId="2CAC18D8">
            <w:pPr>
              <w:snapToGrid w:val="0"/>
              <w:jc w:val="center"/>
              <w:rPr>
                <w:spacing w:val="6"/>
              </w:rPr>
            </w:pPr>
          </w:p>
        </w:tc>
        <w:tc>
          <w:tcPr>
            <w:tcW w:w="1080" w:type="dxa"/>
            <w:vAlign w:val="center"/>
          </w:tcPr>
          <w:p w14:paraId="6141E764">
            <w:pPr>
              <w:snapToGrid w:val="0"/>
              <w:jc w:val="center"/>
              <w:rPr>
                <w:spacing w:val="6"/>
              </w:rPr>
            </w:pPr>
          </w:p>
        </w:tc>
        <w:tc>
          <w:tcPr>
            <w:tcW w:w="1080" w:type="dxa"/>
            <w:vAlign w:val="center"/>
          </w:tcPr>
          <w:p w14:paraId="3856C7C3">
            <w:pPr>
              <w:snapToGrid w:val="0"/>
              <w:jc w:val="center"/>
              <w:rPr>
                <w:spacing w:val="6"/>
              </w:rPr>
            </w:pPr>
          </w:p>
        </w:tc>
        <w:tc>
          <w:tcPr>
            <w:tcW w:w="2593" w:type="dxa"/>
            <w:vAlign w:val="center"/>
          </w:tcPr>
          <w:p w14:paraId="743A54E9">
            <w:pPr>
              <w:snapToGrid w:val="0"/>
              <w:jc w:val="center"/>
              <w:rPr>
                <w:spacing w:val="6"/>
              </w:rPr>
            </w:pPr>
          </w:p>
        </w:tc>
      </w:tr>
    </w:tbl>
    <w:p w14:paraId="13752B5D">
      <w:pPr>
        <w:pStyle w:val="43"/>
        <w:snapToGrid w:val="0"/>
        <w:spacing w:line="360" w:lineRule="auto"/>
        <w:ind w:firstLine="420" w:firstLineChars="200"/>
        <w:rPr>
          <w:rFonts w:ascii="Times New Roman" w:hAnsi="Times New Roman"/>
        </w:rPr>
      </w:pPr>
      <w:r>
        <w:rPr>
          <w:rFonts w:hint="eastAsia" w:ascii="Times New Roman" w:hAnsi="Times New Roman"/>
        </w:rPr>
        <w:t>注：需招标方准备的试验设备、仪器请在备注栏中写出。</w:t>
      </w:r>
      <w:bookmarkStart w:id="175" w:name="_Toc278728930"/>
      <w:bookmarkEnd w:id="175"/>
      <w:bookmarkStart w:id="176" w:name="_Toc279695740"/>
      <w:bookmarkEnd w:id="176"/>
      <w:bookmarkStart w:id="177" w:name="_Toc279695723"/>
      <w:bookmarkEnd w:id="177"/>
      <w:bookmarkStart w:id="178" w:name="_Toc279695757"/>
      <w:bookmarkEnd w:id="178"/>
      <w:bookmarkStart w:id="179" w:name="_Toc279695899"/>
      <w:bookmarkEnd w:id="179"/>
      <w:bookmarkStart w:id="180" w:name="_Toc282993354"/>
      <w:bookmarkStart w:id="181" w:name="_Toc279696001"/>
      <w:bookmarkStart w:id="182" w:name="_Toc322681872"/>
      <w:bookmarkStart w:id="183" w:name="_Toc22302723"/>
      <w:bookmarkStart w:id="184" w:name="_Toc226123960"/>
      <w:bookmarkStart w:id="185" w:name="_Toc276492422"/>
      <w:bookmarkStart w:id="186" w:name="_Toc276490910"/>
    </w:p>
    <w:p w14:paraId="110D3839">
      <w:pPr>
        <w:pStyle w:val="284"/>
      </w:pPr>
      <w:bookmarkStart w:id="187" w:name="_Toc232443369"/>
      <w:r>
        <w:rPr>
          <w:rFonts w:hint="eastAsia"/>
        </w:rPr>
        <w:t>8</w:t>
      </w:r>
      <w:r>
        <w:t xml:space="preserve"> </w:t>
      </w:r>
      <w:r>
        <w:rPr>
          <w:rFonts w:hint="eastAsia"/>
        </w:rPr>
        <w:t>产品对环境的影响</w:t>
      </w:r>
      <w:bookmarkEnd w:id="180"/>
      <w:bookmarkEnd w:id="181"/>
      <w:bookmarkEnd w:id="182"/>
      <w:bookmarkEnd w:id="183"/>
      <w:bookmarkEnd w:id="184"/>
      <w:bookmarkEnd w:id="185"/>
      <w:bookmarkEnd w:id="186"/>
      <w:bookmarkEnd w:id="187"/>
    </w:p>
    <w:p w14:paraId="4332A757">
      <w:pPr>
        <w:pStyle w:val="43"/>
        <w:snapToGrid w:val="0"/>
        <w:spacing w:line="360" w:lineRule="auto"/>
        <w:ind w:firstLine="420" w:firstLineChars="200"/>
        <w:rPr>
          <w:rFonts w:ascii="Times New Roman" w:hAnsi="Times New Roman"/>
        </w:rPr>
      </w:pPr>
      <w:bookmarkStart w:id="188" w:name="_Toc276490915"/>
      <w:bookmarkStart w:id="189" w:name="_Toc276492433"/>
      <w:r>
        <w:rPr>
          <w:rFonts w:hint="eastAsia" w:ascii="Times New Roman" w:hAnsi="Times New Roman"/>
        </w:rPr>
        <w:t>投标方应该提供有关设备对环境影响所需要的材料。任何已知的化学危险和环境危害应在手册或使用说明中明确。</w:t>
      </w:r>
    </w:p>
    <w:p w14:paraId="094A9D22">
      <w:pPr>
        <w:pStyle w:val="43"/>
        <w:snapToGrid w:val="0"/>
        <w:spacing w:line="360" w:lineRule="auto"/>
        <w:ind w:firstLine="420" w:firstLineChars="200"/>
        <w:rPr>
          <w:rFonts w:ascii="Times New Roman" w:hAnsi="Times New Roman"/>
        </w:rPr>
      </w:pPr>
      <w:r>
        <w:rPr>
          <w:rFonts w:hint="eastAsia" w:ascii="Times New Roman" w:hAnsi="Times New Roman"/>
        </w:rPr>
        <w:t>投标方应该对有关设备的不同材料的使用寿命和拆除的程序给予必要的指导，对再循环使用的可能性给予简要说明。</w:t>
      </w:r>
      <w:bookmarkEnd w:id="188"/>
      <w:bookmarkEnd w:id="189"/>
    </w:p>
    <w:p w14:paraId="0E7AE3BE">
      <w:pPr>
        <w:pStyle w:val="43"/>
        <w:snapToGrid w:val="0"/>
        <w:spacing w:line="360" w:lineRule="auto"/>
        <w:ind w:firstLine="420" w:firstLineChars="200"/>
        <w:rPr>
          <w:rFonts w:ascii="Times New Roman" w:hAnsi="Times New Roman"/>
        </w:rPr>
      </w:pPr>
      <w:bookmarkStart w:id="190" w:name="_Toc402125406"/>
      <w:bookmarkEnd w:id="190"/>
      <w:bookmarkStart w:id="191" w:name="_Toc402125407"/>
      <w:bookmarkEnd w:id="191"/>
      <w:bookmarkStart w:id="192" w:name="_Toc402125408"/>
      <w:bookmarkEnd w:id="192"/>
      <w:r>
        <w:rPr>
          <w:rFonts w:hint="eastAsia" w:ascii="Times New Roman" w:hAnsi="Times New Roman"/>
        </w:rPr>
        <w:t xml:space="preserve">投标方可提供国家权威机构或南方电网公司认可的检测机构出具的电缆设备碳足迹计算报告或制造厂的电缆设备碳足迹计算自评价报告。碳足迹计算方法可参照标准ISO 14067及PAS 2050执行。 </w:t>
      </w:r>
    </w:p>
    <w:p w14:paraId="1B7FA0F4">
      <w:pPr>
        <w:pStyle w:val="284"/>
      </w:pPr>
      <w:bookmarkStart w:id="193" w:name="_Toc232443370"/>
      <w:bookmarkStart w:id="194" w:name="_Toc226123961"/>
      <w:bookmarkStart w:id="195" w:name="_Toc283142581"/>
      <w:bookmarkStart w:id="196" w:name="_Toc282428315"/>
      <w:bookmarkStart w:id="197" w:name="_Toc282433723"/>
      <w:bookmarkStart w:id="198" w:name="_Toc283011675"/>
      <w:r>
        <w:rPr>
          <w:rFonts w:hint="eastAsia"/>
        </w:rPr>
        <w:t>9</w:t>
      </w:r>
      <w:r>
        <w:t xml:space="preserve"> </w:t>
      </w:r>
      <w:r>
        <w:rPr>
          <w:rFonts w:hint="eastAsia"/>
        </w:rPr>
        <w:t>技术文件要求</w:t>
      </w:r>
      <w:bookmarkEnd w:id="193"/>
      <w:bookmarkEnd w:id="194"/>
    </w:p>
    <w:p w14:paraId="0A4E7B93">
      <w:pPr>
        <w:pStyle w:val="286"/>
      </w:pPr>
      <w:bookmarkStart w:id="199" w:name="_Toc232443371"/>
      <w:r>
        <w:t xml:space="preserve">9.1 </w:t>
      </w:r>
      <w:r>
        <w:rPr>
          <w:rFonts w:hint="eastAsia"/>
        </w:rPr>
        <w:t>一般要求</w:t>
      </w:r>
      <w:bookmarkEnd w:id="199"/>
    </w:p>
    <w:p w14:paraId="7FE75C16">
      <w:pPr>
        <w:pStyle w:val="152"/>
        <w:adjustRightInd w:val="0"/>
        <w:snapToGrid w:val="0"/>
        <w:spacing w:line="360" w:lineRule="auto"/>
        <w:rPr>
          <w:szCs w:val="21"/>
        </w:rPr>
      </w:pPr>
      <w:r>
        <w:rPr>
          <w:rFonts w:eastAsia="宋体" w:cs="Times New Roman"/>
          <w:szCs w:val="21"/>
        </w:rPr>
        <w:t xml:space="preserve">9.1.1 </w:t>
      </w:r>
      <w:r>
        <w:rPr>
          <w:rFonts w:ascii="宋体" w:hAnsi="宋体" w:eastAsia="宋体" w:cs="Times New Roman"/>
          <w:szCs w:val="21"/>
        </w:rPr>
        <w:t>投标方提供的图纸、资料、文件应使用国家法定单位制即国际单位制，语言为中文。</w:t>
      </w:r>
    </w:p>
    <w:p w14:paraId="69C4C634">
      <w:pPr>
        <w:pStyle w:val="152"/>
        <w:adjustRightInd w:val="0"/>
        <w:snapToGrid w:val="0"/>
        <w:spacing w:line="360" w:lineRule="auto"/>
        <w:rPr>
          <w:szCs w:val="21"/>
        </w:rPr>
      </w:pPr>
      <w:r>
        <w:rPr>
          <w:rFonts w:eastAsia="宋体" w:cs="Times New Roman"/>
          <w:szCs w:val="21"/>
        </w:rPr>
        <w:t>9.1.2</w:t>
      </w:r>
      <w:r>
        <w:rPr>
          <w:rFonts w:ascii="宋体" w:hAnsi="宋体" w:eastAsia="宋体" w:cs="Times New Roman"/>
          <w:szCs w:val="21"/>
        </w:rPr>
        <w:t>资料的组织结构清晰、逻辑性强。资料内容耍正确、准确、一致、清晰、完整，满足工程要求。</w:t>
      </w:r>
    </w:p>
    <w:p w14:paraId="3CF4AFCD">
      <w:pPr>
        <w:pStyle w:val="152"/>
        <w:adjustRightInd w:val="0"/>
        <w:snapToGrid w:val="0"/>
        <w:spacing w:line="360" w:lineRule="auto"/>
        <w:rPr>
          <w:szCs w:val="21"/>
        </w:rPr>
      </w:pPr>
      <w:r>
        <w:rPr>
          <w:rFonts w:eastAsia="宋体" w:cs="Times New Roman"/>
          <w:szCs w:val="21"/>
        </w:rPr>
        <w:t>9.1.3</w:t>
      </w:r>
      <w:r>
        <w:rPr>
          <w:rFonts w:ascii="宋体" w:hAnsi="宋体" w:eastAsia="宋体" w:cs="Times New Roman"/>
          <w:szCs w:val="21"/>
        </w:rPr>
        <w:t>对于其它没有列入合同技术资料清单，却是工程所必需的文件和资料，一经发现，投标方也应及时免费提供。如项目工程后续设备有改进时，投标方应及时免费提供新的技术资料。</w:t>
      </w:r>
    </w:p>
    <w:p w14:paraId="12092F6E">
      <w:pPr>
        <w:pStyle w:val="152"/>
        <w:adjustRightInd w:val="0"/>
        <w:snapToGrid w:val="0"/>
        <w:spacing w:line="360" w:lineRule="auto"/>
        <w:rPr>
          <w:szCs w:val="21"/>
        </w:rPr>
      </w:pPr>
      <w:r>
        <w:rPr>
          <w:rFonts w:eastAsia="宋体" w:cs="Times New Roman"/>
          <w:szCs w:val="21"/>
        </w:rPr>
        <w:t>9.1.4“</w:t>
      </w:r>
      <w:r>
        <w:rPr>
          <w:rFonts w:ascii="宋体" w:hAnsi="宋体" w:eastAsia="宋体" w:cs="Times New Roman"/>
          <w:szCs w:val="21"/>
        </w:rPr>
        <w:t>工厂图纸</w:t>
      </w:r>
      <w:r>
        <w:rPr>
          <w:rFonts w:eastAsia="宋体" w:cs="Times New Roman"/>
          <w:szCs w:val="21"/>
        </w:rPr>
        <w:t>”</w:t>
      </w:r>
      <w:r>
        <w:rPr>
          <w:rFonts w:ascii="宋体" w:hAnsi="宋体" w:eastAsia="宋体" w:cs="Times New Roman"/>
          <w:szCs w:val="21"/>
        </w:rPr>
        <w:t>包括制造、装配、安装和控制图、材料和设备的清单或表格、标准图、设计计算书、说明书、样本、小册子、特性图表、试验报告、</w:t>
      </w:r>
      <w:r>
        <w:rPr>
          <w:rFonts w:hint="eastAsia" w:ascii="宋体" w:hAnsi="宋体" w:eastAsia="宋体" w:cs="Times New Roman"/>
          <w:szCs w:val="21"/>
        </w:rPr>
        <w:t>产品</w:t>
      </w:r>
      <w:r>
        <w:rPr>
          <w:rFonts w:ascii="宋体" w:hAnsi="宋体" w:eastAsia="宋体" w:cs="Times New Roman"/>
          <w:szCs w:val="21"/>
        </w:rPr>
        <w:t>的照片以及涉及到与材料、设备和管道系统设计有关的图纸和说明等。</w:t>
      </w:r>
    </w:p>
    <w:p w14:paraId="056D4E47">
      <w:pPr>
        <w:pStyle w:val="152"/>
        <w:adjustRightInd w:val="0"/>
        <w:snapToGrid w:val="0"/>
        <w:spacing w:line="360" w:lineRule="auto"/>
        <w:rPr>
          <w:szCs w:val="21"/>
        </w:rPr>
      </w:pPr>
      <w:r>
        <w:rPr>
          <w:rFonts w:eastAsia="宋体" w:cs="Times New Roman"/>
          <w:szCs w:val="21"/>
        </w:rPr>
        <w:t>9.1.5</w:t>
      </w:r>
      <w:r>
        <w:rPr>
          <w:rFonts w:ascii="宋体" w:hAnsi="宋体" w:eastAsia="宋体" w:cs="Times New Roman"/>
          <w:szCs w:val="21"/>
        </w:rPr>
        <w:t>投标方应将</w:t>
      </w:r>
      <w:r>
        <w:rPr>
          <w:rFonts w:eastAsia="宋体" w:cs="Times New Roman"/>
          <w:szCs w:val="21"/>
        </w:rPr>
        <w:t>“</w:t>
      </w:r>
      <w:r>
        <w:rPr>
          <w:rFonts w:ascii="宋体" w:hAnsi="宋体" w:eastAsia="宋体" w:cs="Times New Roman"/>
          <w:szCs w:val="21"/>
        </w:rPr>
        <w:t>工厂图纸</w:t>
      </w:r>
      <w:r>
        <w:rPr>
          <w:rFonts w:eastAsia="宋体" w:cs="Times New Roman"/>
          <w:szCs w:val="21"/>
        </w:rPr>
        <w:t>”</w:t>
      </w:r>
      <w:r>
        <w:rPr>
          <w:rFonts w:ascii="宋体" w:hAnsi="宋体" w:eastAsia="宋体" w:cs="Times New Roman"/>
          <w:szCs w:val="21"/>
        </w:rPr>
        <w:t>提交给招标方审查认可。未经审查认可</w:t>
      </w:r>
      <w:r>
        <w:rPr>
          <w:rFonts w:eastAsia="宋体" w:cs="Times New Roman"/>
          <w:szCs w:val="21"/>
        </w:rPr>
        <w:t xml:space="preserve">, </w:t>
      </w:r>
      <w:r>
        <w:rPr>
          <w:rFonts w:ascii="宋体" w:hAnsi="宋体" w:eastAsia="宋体" w:cs="Times New Roman"/>
          <w:szCs w:val="21"/>
        </w:rPr>
        <w:t>不得进行备料和工厂生产。</w:t>
      </w:r>
    </w:p>
    <w:p w14:paraId="4D60BFED">
      <w:pPr>
        <w:pStyle w:val="152"/>
        <w:adjustRightInd w:val="0"/>
        <w:snapToGrid w:val="0"/>
        <w:spacing w:line="360" w:lineRule="auto"/>
        <w:rPr>
          <w:szCs w:val="21"/>
        </w:rPr>
      </w:pPr>
      <w:r>
        <w:rPr>
          <w:rFonts w:eastAsia="宋体" w:cs="Times New Roman"/>
          <w:szCs w:val="21"/>
        </w:rPr>
        <w:t>9.1.6</w:t>
      </w:r>
      <w:r>
        <w:rPr>
          <w:rFonts w:ascii="宋体" w:hAnsi="宋体" w:eastAsia="宋体" w:cs="Times New Roman"/>
          <w:szCs w:val="21"/>
        </w:rPr>
        <w:t>投标方应</w:t>
      </w:r>
      <w:r>
        <w:rPr>
          <w:rFonts w:hint="eastAsia" w:ascii="宋体" w:hAnsi="宋体" w:eastAsia="宋体" w:cs="Times New Roman"/>
          <w:szCs w:val="21"/>
        </w:rPr>
        <w:t>提供相关文件，保证</w:t>
      </w:r>
      <w:r>
        <w:rPr>
          <w:rFonts w:ascii="宋体" w:hAnsi="宋体" w:eastAsia="宋体" w:cs="Times New Roman"/>
          <w:szCs w:val="21"/>
        </w:rPr>
        <w:t>在</w:t>
      </w:r>
      <w:r>
        <w:rPr>
          <w:rFonts w:hint="eastAsia" w:eastAsia="宋体" w:cs="Times New Roman"/>
          <w:szCs w:val="21"/>
        </w:rPr>
        <w:t>4</w:t>
      </w:r>
      <w:r>
        <w:rPr>
          <w:rFonts w:eastAsia="宋体" w:cs="Times New Roman"/>
          <w:szCs w:val="21"/>
        </w:rPr>
        <w:t>0</w:t>
      </w:r>
      <w:r>
        <w:rPr>
          <w:rFonts w:ascii="宋体" w:hAnsi="宋体" w:eastAsia="宋体" w:cs="Times New Roman"/>
          <w:szCs w:val="21"/>
        </w:rPr>
        <w:t>年使用寿命期限内，提供设备所需备品备件。</w:t>
      </w:r>
    </w:p>
    <w:p w14:paraId="13AFC18A">
      <w:pPr>
        <w:pStyle w:val="152"/>
        <w:adjustRightInd w:val="0"/>
        <w:snapToGrid w:val="0"/>
        <w:spacing w:line="360" w:lineRule="auto"/>
        <w:rPr>
          <w:szCs w:val="21"/>
        </w:rPr>
      </w:pPr>
      <w:r>
        <w:rPr>
          <w:rFonts w:eastAsia="宋体" w:cs="Times New Roman"/>
          <w:szCs w:val="21"/>
        </w:rPr>
        <w:t xml:space="preserve">9.1.7 </w:t>
      </w:r>
      <w:r>
        <w:rPr>
          <w:rFonts w:ascii="宋体" w:hAnsi="宋体" w:eastAsia="宋体" w:cs="Times New Roman"/>
          <w:szCs w:val="21"/>
        </w:rPr>
        <w:t>投标方需</w:t>
      </w:r>
      <w:r>
        <w:rPr>
          <w:rFonts w:hint="eastAsia" w:ascii="宋体" w:hAnsi="宋体" w:eastAsia="宋体" w:cs="Times New Roman"/>
          <w:szCs w:val="21"/>
        </w:rPr>
        <w:t>提供招标文件要求的相应</w:t>
      </w:r>
      <w:r>
        <w:rPr>
          <w:rFonts w:ascii="宋体" w:hAnsi="宋体" w:eastAsia="宋体" w:cs="Times New Roman"/>
          <w:szCs w:val="21"/>
        </w:rPr>
        <w:t>设备</w:t>
      </w:r>
      <w:r>
        <w:rPr>
          <w:rFonts w:hint="eastAsia" w:ascii="宋体" w:hAnsi="宋体" w:eastAsia="宋体" w:cs="Times New Roman"/>
          <w:szCs w:val="21"/>
        </w:rPr>
        <w:t>的</w:t>
      </w:r>
      <w:r>
        <w:rPr>
          <w:rFonts w:ascii="宋体" w:hAnsi="宋体" w:eastAsia="宋体" w:cs="Times New Roman"/>
          <w:szCs w:val="21"/>
        </w:rPr>
        <w:t>供货及运行业绩（包括设备主要参数、工程名称及安装地点、投运时间、运行记录及证明）。</w:t>
      </w:r>
    </w:p>
    <w:p w14:paraId="58A087D3">
      <w:pPr>
        <w:pStyle w:val="152"/>
        <w:adjustRightInd w:val="0"/>
        <w:snapToGrid w:val="0"/>
        <w:spacing w:line="360" w:lineRule="auto"/>
        <w:rPr>
          <w:szCs w:val="21"/>
        </w:rPr>
      </w:pPr>
      <w:r>
        <w:rPr>
          <w:rFonts w:eastAsia="宋体" w:cs="Times New Roman"/>
          <w:szCs w:val="21"/>
        </w:rPr>
        <w:t xml:space="preserve">9.1.8 </w:t>
      </w:r>
      <w:r>
        <w:rPr>
          <w:rFonts w:ascii="宋体" w:hAnsi="宋体" w:eastAsia="宋体" w:cs="Times New Roman"/>
          <w:szCs w:val="21"/>
        </w:rPr>
        <w:t>投标方具有履行合同所需的技术和主要设备等生产能力的文件资料。</w:t>
      </w:r>
    </w:p>
    <w:p w14:paraId="21878870">
      <w:pPr>
        <w:pStyle w:val="152"/>
        <w:adjustRightInd w:val="0"/>
        <w:snapToGrid w:val="0"/>
        <w:spacing w:line="360" w:lineRule="auto"/>
        <w:rPr>
          <w:szCs w:val="21"/>
        </w:rPr>
      </w:pPr>
      <w:r>
        <w:rPr>
          <w:rFonts w:eastAsia="宋体" w:cs="Times New Roman"/>
          <w:szCs w:val="21"/>
        </w:rPr>
        <w:t xml:space="preserve">9.1.9 </w:t>
      </w:r>
      <w:r>
        <w:rPr>
          <w:rFonts w:ascii="宋体" w:hAnsi="宋体" w:eastAsia="宋体" w:cs="Times New Roman"/>
          <w:szCs w:val="21"/>
        </w:rPr>
        <w:t>投标方有能力履行合同设备维护保养、修理及其他服务义务的文件。</w:t>
      </w:r>
    </w:p>
    <w:p w14:paraId="678A01E8">
      <w:pPr>
        <w:pStyle w:val="152"/>
        <w:adjustRightInd w:val="0"/>
        <w:snapToGrid w:val="0"/>
        <w:spacing w:line="360" w:lineRule="auto"/>
        <w:rPr>
          <w:szCs w:val="21"/>
        </w:rPr>
      </w:pPr>
      <w:r>
        <w:rPr>
          <w:rFonts w:eastAsia="宋体" w:cs="Times New Roman"/>
          <w:szCs w:val="21"/>
        </w:rPr>
        <w:t>9.1.10</w:t>
      </w:r>
      <w:r>
        <w:rPr>
          <w:rFonts w:ascii="宋体" w:hAnsi="宋体" w:eastAsia="宋体" w:cs="Times New Roman"/>
          <w:szCs w:val="21"/>
        </w:rPr>
        <w:t>投标方应提供</w:t>
      </w:r>
      <w:r>
        <w:rPr>
          <w:rFonts w:hint="eastAsia" w:cs="Times New Roman" w:asciiTheme="minorEastAsia" w:hAnsiTheme="minorEastAsia" w:eastAsiaTheme="minorEastAsia"/>
          <w:szCs w:val="24"/>
        </w:rPr>
        <w:t>自主可控</w:t>
      </w:r>
      <w:r>
        <w:rPr>
          <w:rFonts w:hint="eastAsia" w:eastAsia="宋体" w:cs="Times New Roman"/>
          <w:szCs w:val="21"/>
        </w:rPr>
        <w:t>海缆（或依据规范可代替的海缆型号）与</w:t>
      </w:r>
      <w:r>
        <w:rPr>
          <w:rFonts w:hint="eastAsia" w:ascii="宋体" w:hAnsi="宋体" w:eastAsia="宋体" w:cs="Times New Roman"/>
          <w:szCs w:val="21"/>
        </w:rPr>
        <w:t>配套的</w:t>
      </w:r>
      <w:r>
        <w:rPr>
          <w:rFonts w:hint="eastAsia" w:eastAsia="宋体" w:cs="Times New Roman"/>
          <w:szCs w:val="21"/>
        </w:rPr>
        <w:t>海缆附件（或依据规范可代替的海缆附件型号）</w:t>
      </w:r>
      <w:r>
        <w:rPr>
          <w:rFonts w:ascii="宋体" w:hAnsi="宋体" w:eastAsia="宋体" w:cs="Times New Roman"/>
          <w:szCs w:val="21"/>
        </w:rPr>
        <w:t>的型式和</w:t>
      </w:r>
      <w:r>
        <w:rPr>
          <w:rFonts w:hint="eastAsia" w:ascii="宋体" w:hAnsi="宋体" w:eastAsia="宋体" w:cs="Times New Roman"/>
          <w:szCs w:val="21"/>
        </w:rPr>
        <w:t>预鉴定</w:t>
      </w:r>
      <w:r>
        <w:rPr>
          <w:rFonts w:ascii="宋体" w:hAnsi="宋体" w:eastAsia="宋体" w:cs="Times New Roman"/>
          <w:szCs w:val="21"/>
        </w:rPr>
        <w:t>试验报告</w:t>
      </w:r>
      <w:r>
        <w:rPr>
          <w:rFonts w:hint="eastAsia" w:ascii="宋体" w:hAnsi="宋体" w:eastAsia="宋体" w:cs="Times New Roman"/>
          <w:szCs w:val="21"/>
        </w:rPr>
        <w:t>。</w:t>
      </w:r>
    </w:p>
    <w:p w14:paraId="34781D97">
      <w:pPr>
        <w:pStyle w:val="152"/>
        <w:adjustRightInd w:val="0"/>
        <w:snapToGrid w:val="0"/>
        <w:spacing w:line="360" w:lineRule="auto"/>
        <w:rPr>
          <w:szCs w:val="21"/>
        </w:rPr>
      </w:pPr>
      <w:r>
        <w:rPr>
          <w:rFonts w:eastAsia="宋体" w:cs="Times New Roman"/>
          <w:szCs w:val="21"/>
        </w:rPr>
        <w:t>9.1.1</w:t>
      </w:r>
      <w:r>
        <w:rPr>
          <w:rFonts w:hint="eastAsia" w:eastAsia="宋体" w:cs="Times New Roman"/>
          <w:szCs w:val="21"/>
        </w:rPr>
        <w:t>1</w:t>
      </w:r>
      <w:r>
        <w:rPr>
          <w:rFonts w:ascii="宋体" w:hAnsi="宋体" w:eastAsia="宋体" w:cs="Times New Roman"/>
          <w:szCs w:val="21"/>
        </w:rPr>
        <w:t>投标方应提供</w:t>
      </w:r>
      <w:r>
        <w:rPr>
          <w:rFonts w:hint="eastAsia" w:ascii="宋体" w:hAnsi="宋体" w:eastAsia="宋体" w:cs="Times New Roman"/>
          <w:szCs w:val="21"/>
        </w:rPr>
        <w:t>其他绝缘料的</w:t>
      </w:r>
      <w:r>
        <w:rPr>
          <w:rFonts w:hint="eastAsia" w:eastAsia="宋体" w:cs="Times New Roman"/>
          <w:szCs w:val="21"/>
        </w:rPr>
        <w:t>同型号海缆（或依据规范可代替的海缆型号）与</w:t>
      </w:r>
      <w:r>
        <w:rPr>
          <w:rFonts w:hint="eastAsia" w:ascii="宋体" w:hAnsi="宋体" w:eastAsia="宋体" w:cs="Times New Roman"/>
          <w:szCs w:val="21"/>
        </w:rPr>
        <w:t>配套的</w:t>
      </w:r>
      <w:r>
        <w:rPr>
          <w:rFonts w:hint="eastAsia" w:eastAsia="宋体" w:cs="Times New Roman"/>
          <w:szCs w:val="21"/>
        </w:rPr>
        <w:t>海缆附件（或依据规范可代替的海缆附件型号）</w:t>
      </w:r>
      <w:r>
        <w:rPr>
          <w:rFonts w:ascii="宋体" w:hAnsi="宋体" w:eastAsia="宋体" w:cs="Times New Roman"/>
          <w:szCs w:val="21"/>
        </w:rPr>
        <w:t>的型式和</w:t>
      </w:r>
      <w:r>
        <w:rPr>
          <w:rFonts w:hint="eastAsia" w:ascii="宋体" w:hAnsi="宋体" w:eastAsia="宋体" w:cs="Times New Roman"/>
          <w:szCs w:val="21"/>
        </w:rPr>
        <w:t>预鉴定</w:t>
      </w:r>
      <w:r>
        <w:rPr>
          <w:rFonts w:ascii="宋体" w:hAnsi="宋体" w:eastAsia="宋体" w:cs="Times New Roman"/>
          <w:szCs w:val="21"/>
        </w:rPr>
        <w:t>试验报告。</w:t>
      </w:r>
    </w:p>
    <w:p w14:paraId="7F13EA71">
      <w:pPr>
        <w:pStyle w:val="152"/>
        <w:adjustRightInd w:val="0"/>
        <w:snapToGrid w:val="0"/>
        <w:spacing w:line="360" w:lineRule="auto"/>
        <w:rPr>
          <w:szCs w:val="21"/>
        </w:rPr>
      </w:pPr>
      <w:r>
        <w:rPr>
          <w:rFonts w:eastAsia="宋体" w:cs="Times New Roman"/>
          <w:szCs w:val="21"/>
        </w:rPr>
        <w:t>9.1.1</w:t>
      </w:r>
      <w:r>
        <w:rPr>
          <w:rFonts w:hint="eastAsia" w:eastAsia="宋体" w:cs="Times New Roman"/>
          <w:szCs w:val="21"/>
        </w:rPr>
        <w:t>2</w:t>
      </w:r>
      <w:r>
        <w:rPr>
          <w:rFonts w:eastAsia="宋体" w:cs="Times New Roman"/>
          <w:szCs w:val="21"/>
        </w:rPr>
        <w:t xml:space="preserve"> </w:t>
      </w:r>
      <w:r>
        <w:rPr>
          <w:rFonts w:ascii="宋体" w:hAnsi="宋体" w:eastAsia="宋体" w:cs="Times New Roman"/>
          <w:szCs w:val="21"/>
        </w:rPr>
        <w:t>投标方若采用新开发设备，则应提供该设备的型式试验及例行试验报告和挂网运行业绩。</w:t>
      </w:r>
    </w:p>
    <w:p w14:paraId="3A15E0EB">
      <w:pPr>
        <w:pStyle w:val="152"/>
        <w:adjustRightInd w:val="0"/>
        <w:snapToGrid w:val="0"/>
        <w:spacing w:line="360" w:lineRule="auto"/>
        <w:rPr>
          <w:szCs w:val="21"/>
        </w:rPr>
      </w:pPr>
      <w:r>
        <w:rPr>
          <w:rFonts w:eastAsia="宋体" w:cs="Times New Roman"/>
          <w:szCs w:val="21"/>
        </w:rPr>
        <w:t>9.1.1</w:t>
      </w:r>
      <w:r>
        <w:rPr>
          <w:rFonts w:hint="eastAsia" w:eastAsia="宋体" w:cs="Times New Roman"/>
          <w:szCs w:val="21"/>
        </w:rPr>
        <w:t>3</w:t>
      </w:r>
      <w:r>
        <w:rPr>
          <w:rFonts w:eastAsia="宋体" w:cs="Times New Roman"/>
          <w:szCs w:val="21"/>
        </w:rPr>
        <w:t xml:space="preserve"> </w:t>
      </w:r>
      <w:r>
        <w:rPr>
          <w:rFonts w:ascii="宋体" w:hAnsi="宋体" w:eastAsia="宋体" w:cs="Times New Roman"/>
          <w:szCs w:val="21"/>
        </w:rPr>
        <w:t>投标方需确保各类图纸与现场</w:t>
      </w:r>
      <w:r>
        <w:rPr>
          <w:rFonts w:eastAsia="宋体" w:cs="Times New Roman"/>
          <w:szCs w:val="21"/>
        </w:rPr>
        <w:t>“</w:t>
      </w:r>
      <w:r>
        <w:rPr>
          <w:rFonts w:ascii="宋体" w:hAnsi="宋体" w:eastAsia="宋体" w:cs="Times New Roman"/>
          <w:szCs w:val="21"/>
        </w:rPr>
        <w:t>四相符</w:t>
      </w:r>
      <w:r>
        <w:rPr>
          <w:rFonts w:eastAsia="宋体" w:cs="Times New Roman"/>
          <w:szCs w:val="21"/>
        </w:rPr>
        <w:t>”</w:t>
      </w:r>
      <w:r>
        <w:rPr>
          <w:rFonts w:ascii="宋体" w:hAnsi="宋体" w:eastAsia="宋体" w:cs="Times New Roman"/>
          <w:szCs w:val="21"/>
        </w:rPr>
        <w:t>，即：竣工图纸与现场实际相符；</w:t>
      </w:r>
      <w:r>
        <w:rPr>
          <w:rFonts w:hint="eastAsia" w:ascii="宋体" w:hAnsi="宋体" w:eastAsia="宋体" w:cs="Times New Roman"/>
          <w:szCs w:val="21"/>
        </w:rPr>
        <w:t>投标方</w:t>
      </w:r>
      <w:r>
        <w:rPr>
          <w:rFonts w:ascii="宋体" w:hAnsi="宋体" w:eastAsia="宋体" w:cs="Times New Roman"/>
          <w:szCs w:val="21"/>
        </w:rPr>
        <w:t>提供的设备原理图等图纸与现场实际相符；设备名称标识、电缆标识等与图纸相符；纸质图纸与电子图纸相符。</w:t>
      </w:r>
    </w:p>
    <w:p w14:paraId="7462788D">
      <w:pPr>
        <w:pStyle w:val="152"/>
        <w:adjustRightInd w:val="0"/>
        <w:snapToGrid w:val="0"/>
        <w:spacing w:line="360" w:lineRule="auto"/>
      </w:pPr>
      <w:r>
        <w:rPr>
          <w:rFonts w:eastAsia="宋体" w:cs="Times New Roman"/>
          <w:szCs w:val="21"/>
        </w:rPr>
        <w:t>9.1.1</w:t>
      </w:r>
      <w:r>
        <w:rPr>
          <w:rFonts w:hint="eastAsia" w:eastAsia="宋体" w:cs="Times New Roman"/>
          <w:szCs w:val="21"/>
        </w:rPr>
        <w:t>4</w:t>
      </w:r>
      <w:r>
        <w:rPr>
          <w:rFonts w:eastAsia="宋体" w:cs="Times New Roman"/>
          <w:szCs w:val="21"/>
        </w:rPr>
        <w:t xml:space="preserve"> </w:t>
      </w:r>
      <w:r>
        <w:rPr>
          <w:rFonts w:ascii="宋体" w:hAnsi="宋体" w:eastAsia="宋体" w:cs="Times New Roman"/>
          <w:szCs w:val="21"/>
        </w:rPr>
        <w:t>投标方应提供合同产品原材料和组部件的型号</w:t>
      </w:r>
      <w:r>
        <w:rPr>
          <w:rFonts w:eastAsia="宋体" w:cs="Times New Roman"/>
          <w:szCs w:val="21"/>
        </w:rPr>
        <w:t>、规格、厂家、原产地的清单，并提供原材料和组部件的详细技术参数</w:t>
      </w:r>
      <w:r>
        <w:rPr>
          <w:rFonts w:ascii="宋体" w:hAnsi="宋体" w:eastAsia="宋体" w:cs="Times New Roman"/>
          <w:szCs w:val="21"/>
        </w:rPr>
        <w:t>、试验报告和应用业绩，供招标方进行评估。要求投标方提供的信息内容应具体明确。投标方须承诺做好招标方派出的设备监造代表对合同产品所使用的原材料和组部件的监造工作。</w:t>
      </w:r>
    </w:p>
    <w:p w14:paraId="00B7A99F">
      <w:pPr>
        <w:pStyle w:val="286"/>
      </w:pPr>
      <w:bookmarkStart w:id="200" w:name="_Toc232443372"/>
      <w:r>
        <w:t xml:space="preserve">9.2 </w:t>
      </w:r>
      <w:r>
        <w:rPr>
          <w:rFonts w:hint="eastAsia"/>
        </w:rPr>
        <w:t>投标时应提供的技术资料和图纸</w:t>
      </w:r>
      <w:bookmarkEnd w:id="200"/>
    </w:p>
    <w:p w14:paraId="20F2D78F">
      <w:pPr>
        <w:pStyle w:val="152"/>
        <w:adjustRightInd w:val="0"/>
        <w:snapToGrid w:val="0"/>
        <w:spacing w:line="360" w:lineRule="auto"/>
        <w:rPr>
          <w:rFonts w:eastAsia="宋体" w:cs="Times New Roman"/>
          <w:szCs w:val="21"/>
        </w:rPr>
      </w:pPr>
      <w:r>
        <w:rPr>
          <w:rFonts w:eastAsia="宋体" w:cs="Times New Roman"/>
          <w:szCs w:val="21"/>
        </w:rPr>
        <w:t xml:space="preserve">9.2.1 </w:t>
      </w:r>
      <w:r>
        <w:rPr>
          <w:rFonts w:hint="eastAsia" w:eastAsia="宋体" w:cs="Times New Roman"/>
          <w:szCs w:val="21"/>
        </w:rPr>
        <w:t>提供海缆系统及其附属设备的国家级鉴定证书</w:t>
      </w:r>
      <w:r>
        <w:rPr>
          <w:rFonts w:hint="eastAsia" w:eastAsia="宋体" w:cs="Times New Roman"/>
          <w:b/>
          <w:szCs w:val="21"/>
        </w:rPr>
        <w:t>（如有）</w:t>
      </w:r>
      <w:r>
        <w:rPr>
          <w:rFonts w:hint="eastAsia" w:eastAsia="宋体" w:cs="Times New Roman"/>
          <w:szCs w:val="21"/>
        </w:rPr>
        <w:t>。</w:t>
      </w:r>
    </w:p>
    <w:p w14:paraId="1F445588">
      <w:pPr>
        <w:pStyle w:val="152"/>
        <w:adjustRightInd w:val="0"/>
        <w:snapToGrid w:val="0"/>
        <w:spacing w:line="360" w:lineRule="auto"/>
        <w:rPr>
          <w:rFonts w:eastAsia="宋体" w:cs="Times New Roman"/>
          <w:szCs w:val="21"/>
        </w:rPr>
      </w:pPr>
      <w:r>
        <w:rPr>
          <w:rFonts w:eastAsia="宋体" w:cs="Times New Roman"/>
          <w:szCs w:val="21"/>
        </w:rPr>
        <w:t xml:space="preserve">9.2.2 </w:t>
      </w:r>
      <w:r>
        <w:rPr>
          <w:rFonts w:hint="eastAsia" w:eastAsia="宋体" w:cs="Times New Roman"/>
          <w:szCs w:val="21"/>
        </w:rPr>
        <w:t>依照行标</w:t>
      </w:r>
      <w:r>
        <w:rPr>
          <w:rFonts w:eastAsia="宋体" w:cs="Times New Roman"/>
          <w:szCs w:val="21"/>
        </w:rPr>
        <w:t>DL/T 2060</w:t>
      </w:r>
      <w:r>
        <w:rPr>
          <w:rFonts w:hint="eastAsia" w:eastAsia="宋体" w:cs="Times New Roman"/>
          <w:szCs w:val="21"/>
        </w:rPr>
        <w:t>与国标</w:t>
      </w:r>
      <w:r>
        <w:rPr>
          <w:rFonts w:eastAsia="宋体" w:cs="Times New Roman"/>
          <w:szCs w:val="21"/>
        </w:rPr>
        <w:t>GB/T41629</w:t>
      </w:r>
      <w:r>
        <w:rPr>
          <w:rFonts w:hint="eastAsia" w:eastAsia="宋体" w:cs="Times New Roman"/>
          <w:szCs w:val="21"/>
        </w:rPr>
        <w:t>要求的</w:t>
      </w:r>
      <w:r>
        <w:rPr>
          <w:rFonts w:hint="eastAsia" w:cs="Times New Roman" w:asciiTheme="minorEastAsia" w:hAnsiTheme="minorEastAsia" w:eastAsiaTheme="minorEastAsia"/>
          <w:szCs w:val="24"/>
        </w:rPr>
        <w:t>自主可控</w:t>
      </w:r>
      <w:r>
        <w:rPr>
          <w:rFonts w:hint="eastAsia" w:eastAsia="宋体" w:cs="Times New Roman"/>
          <w:szCs w:val="21"/>
        </w:rPr>
        <w:t>海缆及其附件的型式试验与预鉴定试验报告</w:t>
      </w:r>
      <w:r>
        <w:rPr>
          <w:rFonts w:hint="eastAsia" w:eastAsia="宋体" w:cs="Times New Roman"/>
          <w:b/>
          <w:szCs w:val="21"/>
        </w:rPr>
        <w:t>（如有）</w:t>
      </w:r>
      <w:r>
        <w:rPr>
          <w:rFonts w:hint="eastAsia" w:eastAsia="宋体" w:cs="Times New Roman"/>
          <w:szCs w:val="21"/>
        </w:rPr>
        <w:t>与其他</w:t>
      </w:r>
      <w:r>
        <w:rPr>
          <w:rFonts w:hint="eastAsia" w:ascii="宋体" w:hAnsi="宋体" w:eastAsia="宋体" w:cs="Times New Roman"/>
          <w:szCs w:val="21"/>
        </w:rPr>
        <w:t>绝缘料的</w:t>
      </w:r>
      <w:r>
        <w:rPr>
          <w:rFonts w:hint="eastAsia" w:eastAsia="宋体" w:cs="Times New Roman"/>
          <w:szCs w:val="21"/>
        </w:rPr>
        <w:t>海缆及其附件的型式试验与预鉴定试验报告</w:t>
      </w:r>
      <w:r>
        <w:rPr>
          <w:rFonts w:ascii="宋体" w:hAnsi="宋体" w:eastAsia="宋体" w:cs="Times New Roman"/>
          <w:szCs w:val="21"/>
        </w:rPr>
        <w:t>。</w:t>
      </w:r>
    </w:p>
    <w:p w14:paraId="1B91F373">
      <w:pPr>
        <w:pStyle w:val="152"/>
        <w:adjustRightInd w:val="0"/>
        <w:snapToGrid w:val="0"/>
        <w:spacing w:line="360" w:lineRule="auto"/>
        <w:rPr>
          <w:rFonts w:eastAsia="宋体" w:cs="Times New Roman"/>
          <w:szCs w:val="21"/>
        </w:rPr>
      </w:pPr>
      <w:r>
        <w:rPr>
          <w:rFonts w:eastAsia="宋体" w:cs="Times New Roman"/>
          <w:szCs w:val="21"/>
        </w:rPr>
        <w:t xml:space="preserve">9.2.3 </w:t>
      </w:r>
      <w:r>
        <w:rPr>
          <w:rFonts w:hint="eastAsia" w:eastAsia="宋体" w:cs="Times New Roman"/>
          <w:szCs w:val="21"/>
        </w:rPr>
        <w:t>海缆系统图。</w:t>
      </w:r>
    </w:p>
    <w:p w14:paraId="493544FA">
      <w:pPr>
        <w:pStyle w:val="152"/>
        <w:adjustRightInd w:val="0"/>
        <w:snapToGrid w:val="0"/>
        <w:spacing w:line="360" w:lineRule="auto"/>
        <w:rPr>
          <w:rFonts w:eastAsia="宋体" w:cs="Times New Roman"/>
          <w:szCs w:val="21"/>
        </w:rPr>
      </w:pPr>
      <w:r>
        <w:rPr>
          <w:rFonts w:eastAsia="宋体" w:cs="Times New Roman"/>
          <w:szCs w:val="21"/>
        </w:rPr>
        <w:t xml:space="preserve">9.2.4 </w:t>
      </w:r>
      <w:r>
        <w:rPr>
          <w:rFonts w:hint="eastAsia" w:eastAsia="宋体" w:cs="Times New Roman"/>
          <w:szCs w:val="21"/>
        </w:rPr>
        <w:t>海缆断面图及结构尺寸（标明型号、额定电压，注明每部分厚度、外径及其公差）。</w:t>
      </w:r>
    </w:p>
    <w:p w14:paraId="1BA403E0">
      <w:pPr>
        <w:pStyle w:val="152"/>
        <w:adjustRightInd w:val="0"/>
        <w:snapToGrid w:val="0"/>
        <w:spacing w:line="360" w:lineRule="auto"/>
        <w:rPr>
          <w:rFonts w:eastAsia="宋体" w:cs="Times New Roman"/>
          <w:szCs w:val="21"/>
        </w:rPr>
      </w:pPr>
      <w:r>
        <w:rPr>
          <w:rFonts w:eastAsia="宋体" w:cs="Times New Roman"/>
          <w:szCs w:val="21"/>
        </w:rPr>
        <w:t xml:space="preserve">9.2.5 </w:t>
      </w:r>
      <w:r>
        <w:rPr>
          <w:rFonts w:hint="eastAsia" w:eastAsia="宋体" w:cs="Times New Roman"/>
          <w:szCs w:val="21"/>
        </w:rPr>
        <w:t>海缆的规格说明（如：电性能参数、弯曲半径等）</w:t>
      </w:r>
      <w:r>
        <w:rPr>
          <w:rFonts w:hint="eastAsia" w:eastAsia="宋体" w:cs="Times New Roman"/>
          <w:b/>
          <w:szCs w:val="21"/>
        </w:rPr>
        <w:t>（如有）</w:t>
      </w:r>
      <w:r>
        <w:rPr>
          <w:rFonts w:hint="eastAsia" w:eastAsia="宋体" w:cs="Times New Roman"/>
          <w:szCs w:val="21"/>
        </w:rPr>
        <w:t>。</w:t>
      </w:r>
    </w:p>
    <w:p w14:paraId="7E356A75">
      <w:pPr>
        <w:pStyle w:val="152"/>
        <w:adjustRightInd w:val="0"/>
        <w:snapToGrid w:val="0"/>
        <w:spacing w:line="360" w:lineRule="auto"/>
        <w:rPr>
          <w:rFonts w:eastAsia="宋体" w:cs="Times New Roman"/>
          <w:szCs w:val="21"/>
        </w:rPr>
      </w:pPr>
      <w:r>
        <w:rPr>
          <w:rFonts w:eastAsia="宋体" w:cs="Times New Roman"/>
          <w:szCs w:val="21"/>
        </w:rPr>
        <w:t xml:space="preserve">9.2.6 </w:t>
      </w:r>
      <w:r>
        <w:rPr>
          <w:rFonts w:hint="eastAsia" w:eastAsia="宋体" w:cs="Times New Roman"/>
          <w:szCs w:val="21"/>
        </w:rPr>
        <w:t>海缆工厂接头图纸。</w:t>
      </w:r>
    </w:p>
    <w:p w14:paraId="624212A6">
      <w:pPr>
        <w:pStyle w:val="152"/>
        <w:adjustRightInd w:val="0"/>
        <w:snapToGrid w:val="0"/>
        <w:spacing w:line="360" w:lineRule="auto"/>
        <w:rPr>
          <w:rFonts w:eastAsia="宋体" w:cs="Times New Roman"/>
          <w:szCs w:val="21"/>
        </w:rPr>
      </w:pPr>
      <w:r>
        <w:rPr>
          <w:rFonts w:eastAsia="宋体" w:cs="Times New Roman"/>
          <w:szCs w:val="21"/>
        </w:rPr>
        <w:t xml:space="preserve">9.2.7 </w:t>
      </w:r>
      <w:r>
        <w:rPr>
          <w:rFonts w:hint="eastAsia" w:eastAsia="宋体" w:cs="Times New Roman"/>
          <w:szCs w:val="21"/>
        </w:rPr>
        <w:t>各类计算书（含依据的计算公式、有关参数选择和计算结果）：</w:t>
      </w:r>
    </w:p>
    <w:p w14:paraId="1BD245CB">
      <w:pPr>
        <w:pStyle w:val="152"/>
        <w:adjustRightInd w:val="0"/>
        <w:snapToGrid w:val="0"/>
        <w:spacing w:line="360" w:lineRule="auto"/>
        <w:rPr>
          <w:rFonts w:eastAsia="宋体" w:cs="Times New Roman"/>
          <w:szCs w:val="21"/>
        </w:rPr>
      </w:pPr>
      <w:r>
        <w:rPr>
          <w:rFonts w:eastAsia="宋体" w:cs="Times New Roman"/>
          <w:szCs w:val="21"/>
        </w:rPr>
        <w:t>1</w:t>
      </w:r>
      <w:r>
        <w:rPr>
          <w:rFonts w:hint="eastAsia" w:eastAsia="宋体" w:cs="Times New Roman"/>
          <w:szCs w:val="21"/>
        </w:rPr>
        <w:t>、持续（</w:t>
      </w:r>
      <w:r>
        <w:rPr>
          <w:rFonts w:eastAsia="宋体" w:cs="Times New Roman"/>
          <w:szCs w:val="21"/>
        </w:rPr>
        <w:t>100%</w:t>
      </w:r>
      <w:r>
        <w:rPr>
          <w:rFonts w:hint="eastAsia" w:eastAsia="宋体" w:cs="Times New Roman"/>
          <w:szCs w:val="21"/>
        </w:rPr>
        <w:t>负荷率）运行载流量（计算应循依</w:t>
      </w:r>
      <w:r>
        <w:rPr>
          <w:rFonts w:eastAsia="宋体" w:cs="Times New Roman"/>
          <w:szCs w:val="21"/>
        </w:rPr>
        <w:t>IEC 60287</w:t>
      </w:r>
      <w:r>
        <w:rPr>
          <w:rFonts w:hint="eastAsia" w:eastAsia="宋体" w:cs="Times New Roman"/>
          <w:szCs w:val="21"/>
        </w:rPr>
        <w:t>等公认标准方法，在此基础上可以辅助采用数值模拟计算等其他手段加以佐证计算），针对海缆的不同敷设区段分别进行详细计算；</w:t>
      </w:r>
    </w:p>
    <w:p w14:paraId="6CCC4E44">
      <w:pPr>
        <w:pStyle w:val="152"/>
        <w:adjustRightInd w:val="0"/>
        <w:snapToGrid w:val="0"/>
        <w:spacing w:line="360" w:lineRule="auto"/>
        <w:rPr>
          <w:rFonts w:eastAsia="宋体" w:cs="Times New Roman"/>
          <w:szCs w:val="21"/>
        </w:rPr>
      </w:pPr>
      <w:r>
        <w:rPr>
          <w:rFonts w:eastAsia="宋体" w:cs="Times New Roman"/>
          <w:szCs w:val="21"/>
        </w:rPr>
        <w:t>2</w:t>
      </w:r>
      <w:r>
        <w:rPr>
          <w:rFonts w:hint="eastAsia" w:eastAsia="宋体" w:cs="Times New Roman"/>
          <w:szCs w:val="21"/>
        </w:rPr>
        <w:t>、海缆热载流量与土壤（海底）热阻率、海缆埋深、土壤（水）温度的关系曲线；</w:t>
      </w:r>
    </w:p>
    <w:p w14:paraId="74E37884">
      <w:pPr>
        <w:pStyle w:val="152"/>
        <w:adjustRightInd w:val="0"/>
        <w:snapToGrid w:val="0"/>
        <w:spacing w:line="360" w:lineRule="auto"/>
        <w:rPr>
          <w:rFonts w:eastAsia="宋体" w:cs="Times New Roman"/>
          <w:szCs w:val="21"/>
        </w:rPr>
      </w:pPr>
      <w:r>
        <w:rPr>
          <w:rFonts w:eastAsia="宋体" w:cs="Times New Roman"/>
          <w:szCs w:val="21"/>
        </w:rPr>
        <w:t>3</w:t>
      </w:r>
      <w:r>
        <w:rPr>
          <w:rFonts w:hint="eastAsia" w:eastAsia="宋体" w:cs="Times New Roman"/>
          <w:szCs w:val="21"/>
        </w:rPr>
        <w:t>、短时过负荷能力说明；</w:t>
      </w:r>
    </w:p>
    <w:p w14:paraId="55935CDC">
      <w:pPr>
        <w:pStyle w:val="152"/>
        <w:adjustRightInd w:val="0"/>
        <w:snapToGrid w:val="0"/>
        <w:spacing w:line="360" w:lineRule="auto"/>
        <w:rPr>
          <w:rFonts w:eastAsia="宋体" w:cs="Times New Roman"/>
          <w:szCs w:val="21"/>
        </w:rPr>
      </w:pPr>
      <w:r>
        <w:rPr>
          <w:rFonts w:eastAsia="宋体" w:cs="Times New Roman"/>
          <w:szCs w:val="21"/>
        </w:rPr>
        <w:t>4</w:t>
      </w:r>
      <w:r>
        <w:rPr>
          <w:rFonts w:hint="eastAsia" w:eastAsia="宋体" w:cs="Times New Roman"/>
          <w:szCs w:val="21"/>
        </w:rPr>
        <w:t>、电缆导体以及金属屏蔽（金属套）的短路热稳定校验；</w:t>
      </w:r>
    </w:p>
    <w:p w14:paraId="115E35F9">
      <w:pPr>
        <w:pStyle w:val="152"/>
        <w:adjustRightInd w:val="0"/>
        <w:snapToGrid w:val="0"/>
        <w:spacing w:line="360" w:lineRule="auto"/>
        <w:rPr>
          <w:rFonts w:eastAsia="宋体" w:cs="Times New Roman"/>
          <w:szCs w:val="21"/>
        </w:rPr>
      </w:pPr>
      <w:r>
        <w:rPr>
          <w:szCs w:val="21"/>
        </w:rPr>
        <w:t>5</w:t>
      </w:r>
      <w:r>
        <w:rPr>
          <w:rFonts w:hint="eastAsia"/>
          <w:szCs w:val="21"/>
        </w:rPr>
        <w:t>、海缆机械性能计算书，包含海缆最大允许牵引力、海缆侧压力、海中段海缆敷设拉力；包含本项目海缆在定向钻中的敷设拉力计算及阻力降低措施；</w:t>
      </w:r>
    </w:p>
    <w:p w14:paraId="664940F6">
      <w:pPr>
        <w:pStyle w:val="152"/>
        <w:adjustRightInd w:val="0"/>
        <w:snapToGrid w:val="0"/>
        <w:spacing w:line="360" w:lineRule="auto"/>
        <w:rPr>
          <w:rFonts w:eastAsia="宋体" w:cs="Times New Roman"/>
          <w:szCs w:val="21"/>
        </w:rPr>
      </w:pPr>
      <w:r>
        <w:rPr>
          <w:rFonts w:eastAsia="宋体" w:cs="Times New Roman"/>
          <w:szCs w:val="21"/>
        </w:rPr>
        <w:t>6</w:t>
      </w:r>
      <w:r>
        <w:rPr>
          <w:rFonts w:hint="eastAsia" w:eastAsia="宋体" w:cs="Times New Roman"/>
          <w:szCs w:val="21"/>
        </w:rPr>
        <w:t>、海缆中间部分金属护套和钢丝铠装层之间的感应电势和电位差计算及说明；</w:t>
      </w:r>
    </w:p>
    <w:p w14:paraId="234DFD5A">
      <w:pPr>
        <w:pStyle w:val="152"/>
        <w:adjustRightInd w:val="0"/>
        <w:snapToGrid w:val="0"/>
        <w:spacing w:line="360" w:lineRule="auto"/>
        <w:rPr>
          <w:rFonts w:eastAsia="宋体" w:cs="Times New Roman"/>
          <w:szCs w:val="21"/>
        </w:rPr>
      </w:pPr>
      <w:r>
        <w:rPr>
          <w:rFonts w:eastAsia="宋体" w:cs="Times New Roman"/>
          <w:szCs w:val="21"/>
        </w:rPr>
        <w:t>7</w:t>
      </w:r>
      <w:r>
        <w:rPr>
          <w:rFonts w:hint="eastAsia" w:eastAsia="宋体" w:cs="Times New Roman"/>
          <w:szCs w:val="21"/>
        </w:rPr>
        <w:t>、海缆允许的自由跨度计算说明书</w:t>
      </w:r>
    </w:p>
    <w:p w14:paraId="01FD3353">
      <w:pPr>
        <w:pStyle w:val="152"/>
        <w:adjustRightInd w:val="0"/>
        <w:snapToGrid w:val="0"/>
        <w:spacing w:line="360" w:lineRule="auto"/>
        <w:rPr>
          <w:rFonts w:eastAsia="宋体" w:cs="Times New Roman"/>
          <w:szCs w:val="21"/>
        </w:rPr>
      </w:pPr>
      <w:r>
        <w:rPr>
          <w:rFonts w:eastAsia="宋体" w:cs="Times New Roman"/>
          <w:szCs w:val="21"/>
        </w:rPr>
        <w:t xml:space="preserve">9.2.8 </w:t>
      </w:r>
      <w:r>
        <w:rPr>
          <w:rFonts w:hint="eastAsia" w:eastAsia="宋体" w:cs="Times New Roman"/>
          <w:szCs w:val="21"/>
        </w:rPr>
        <w:t>海缆光缆结构图、光缆设计报告、光缆试验报告</w:t>
      </w:r>
      <w:r>
        <w:rPr>
          <w:rFonts w:eastAsia="宋体" w:cs="Times New Roman"/>
          <w:szCs w:val="21"/>
        </w:rPr>
        <w:t>(</w:t>
      </w:r>
      <w:r>
        <w:rPr>
          <w:rFonts w:hint="eastAsia" w:eastAsia="宋体" w:cs="Times New Roman"/>
          <w:szCs w:val="21"/>
        </w:rPr>
        <w:t>含试验方案、试验结果等内容</w:t>
      </w:r>
      <w:r>
        <w:rPr>
          <w:rFonts w:eastAsia="宋体" w:cs="Times New Roman"/>
          <w:szCs w:val="21"/>
        </w:rPr>
        <w:t>)</w:t>
      </w:r>
      <w:r>
        <w:rPr>
          <w:rFonts w:hint="eastAsia" w:eastAsia="宋体" w:cs="Times New Roman"/>
          <w:szCs w:val="21"/>
        </w:rPr>
        <w:t>与光缆维修接头结构图及安装使用说明书。</w:t>
      </w:r>
    </w:p>
    <w:p w14:paraId="69A6B185">
      <w:pPr>
        <w:pStyle w:val="152"/>
        <w:adjustRightInd w:val="0"/>
        <w:snapToGrid w:val="0"/>
        <w:spacing w:line="360" w:lineRule="auto"/>
        <w:rPr>
          <w:rFonts w:eastAsia="宋体" w:cs="Times New Roman"/>
          <w:szCs w:val="21"/>
        </w:rPr>
      </w:pPr>
      <w:r>
        <w:rPr>
          <w:rFonts w:eastAsia="宋体" w:cs="Times New Roman"/>
          <w:szCs w:val="21"/>
        </w:rPr>
        <w:t xml:space="preserve">9.2.9 </w:t>
      </w:r>
      <w:r>
        <w:rPr>
          <w:rFonts w:hint="eastAsia" w:eastAsia="宋体" w:cs="Times New Roman"/>
          <w:szCs w:val="21"/>
        </w:rPr>
        <w:t>绝缘的最小工频平均击穿场强和最小冲击平均击穿场强的试验报告（如有）。</w:t>
      </w:r>
    </w:p>
    <w:p w14:paraId="3AF52844">
      <w:pPr>
        <w:pStyle w:val="152"/>
        <w:adjustRightInd w:val="0"/>
        <w:snapToGrid w:val="0"/>
        <w:spacing w:line="360" w:lineRule="auto"/>
        <w:rPr>
          <w:rFonts w:eastAsia="宋体" w:cs="Times New Roman"/>
          <w:szCs w:val="21"/>
        </w:rPr>
      </w:pPr>
      <w:r>
        <w:rPr>
          <w:rFonts w:eastAsia="宋体" w:cs="Times New Roman"/>
          <w:szCs w:val="21"/>
        </w:rPr>
        <w:t xml:space="preserve">9.2.10 </w:t>
      </w:r>
      <w:r>
        <w:rPr>
          <w:rFonts w:hint="eastAsia" w:eastAsia="宋体" w:cs="Times New Roman"/>
          <w:szCs w:val="21"/>
        </w:rPr>
        <w:t>原材料来源（含绝缘料、半导电料的供货商及其牌号）、性能指标和参数。</w:t>
      </w:r>
    </w:p>
    <w:p w14:paraId="6A16873A">
      <w:pPr>
        <w:pStyle w:val="152"/>
        <w:adjustRightInd w:val="0"/>
        <w:snapToGrid w:val="0"/>
        <w:spacing w:line="360" w:lineRule="auto"/>
        <w:rPr>
          <w:rFonts w:eastAsia="宋体" w:cs="Times New Roman"/>
          <w:szCs w:val="21"/>
        </w:rPr>
      </w:pPr>
      <w:r>
        <w:rPr>
          <w:rFonts w:eastAsia="宋体" w:cs="Times New Roman"/>
          <w:szCs w:val="21"/>
        </w:rPr>
        <w:t xml:space="preserve">9.2.11 </w:t>
      </w:r>
      <w:r>
        <w:rPr>
          <w:rFonts w:hint="eastAsia" w:eastAsia="宋体" w:cs="Times New Roman"/>
          <w:szCs w:val="21"/>
        </w:rPr>
        <w:t>海缆纵向阻水性能报告（如有）。</w:t>
      </w:r>
    </w:p>
    <w:p w14:paraId="7D4EA3B1">
      <w:pPr>
        <w:pStyle w:val="152"/>
        <w:adjustRightInd w:val="0"/>
        <w:snapToGrid w:val="0"/>
        <w:spacing w:line="360" w:lineRule="auto"/>
        <w:rPr>
          <w:rFonts w:eastAsia="宋体" w:cs="Times New Roman"/>
          <w:szCs w:val="21"/>
        </w:rPr>
      </w:pPr>
      <w:r>
        <w:rPr>
          <w:rFonts w:eastAsia="宋体" w:cs="Times New Roman"/>
          <w:szCs w:val="21"/>
        </w:rPr>
        <w:t xml:space="preserve">9.2.12 </w:t>
      </w:r>
      <w:r>
        <w:rPr>
          <w:rFonts w:hint="eastAsia" w:eastAsia="宋体" w:cs="Times New Roman"/>
          <w:szCs w:val="21"/>
        </w:rPr>
        <w:t>海缆设备碳足迹计算报告（如有）。</w:t>
      </w:r>
    </w:p>
    <w:p w14:paraId="4CEAC585">
      <w:pPr>
        <w:pStyle w:val="152"/>
        <w:adjustRightInd w:val="0"/>
        <w:snapToGrid w:val="0"/>
        <w:spacing w:line="360" w:lineRule="auto"/>
        <w:rPr>
          <w:rFonts w:eastAsia="宋体" w:cs="Times New Roman"/>
          <w:szCs w:val="21"/>
        </w:rPr>
      </w:pPr>
      <w:r>
        <w:rPr>
          <w:rFonts w:eastAsia="宋体" w:cs="Times New Roman"/>
          <w:szCs w:val="21"/>
        </w:rPr>
        <w:t xml:space="preserve">9.2.13 </w:t>
      </w:r>
      <w:r>
        <w:rPr>
          <w:rFonts w:hint="eastAsia" w:eastAsia="宋体" w:cs="Times New Roman"/>
          <w:szCs w:val="21"/>
        </w:rPr>
        <w:t>海缆及其附属备件检修手册及运维建议书，应包含相关运维检修周期、试验项目及周期。</w:t>
      </w:r>
    </w:p>
    <w:p w14:paraId="65A861D8">
      <w:pPr>
        <w:pStyle w:val="152"/>
        <w:adjustRightInd w:val="0"/>
        <w:snapToGrid w:val="0"/>
        <w:spacing w:line="360" w:lineRule="auto"/>
        <w:rPr>
          <w:rFonts w:eastAsia="宋体" w:cs="Times New Roman"/>
          <w:szCs w:val="21"/>
        </w:rPr>
      </w:pPr>
      <w:r>
        <w:rPr>
          <w:rFonts w:eastAsia="宋体" w:cs="Times New Roman"/>
          <w:szCs w:val="21"/>
        </w:rPr>
        <w:t xml:space="preserve">9.2.14 </w:t>
      </w:r>
      <w:r>
        <w:rPr>
          <w:rFonts w:hint="eastAsia" w:eastAsia="宋体" w:cs="Times New Roman"/>
          <w:szCs w:val="21"/>
        </w:rPr>
        <w:t>提供最新的国家技术监督局抽检报告（如有）。</w:t>
      </w:r>
    </w:p>
    <w:p w14:paraId="07BE9634">
      <w:pPr>
        <w:pStyle w:val="152"/>
        <w:adjustRightInd w:val="0"/>
        <w:snapToGrid w:val="0"/>
        <w:spacing w:line="360" w:lineRule="auto"/>
        <w:ind w:firstLine="422"/>
        <w:rPr>
          <w:rFonts w:eastAsia="宋体" w:cs="Times New Roman"/>
          <w:b/>
          <w:szCs w:val="21"/>
        </w:rPr>
      </w:pPr>
      <w:r>
        <w:rPr>
          <w:rFonts w:hint="eastAsia" w:eastAsia="宋体" w:cs="Times New Roman"/>
          <w:b/>
          <w:szCs w:val="21"/>
        </w:rPr>
        <w:t>9.2.</w:t>
      </w:r>
      <w:r>
        <w:rPr>
          <w:rFonts w:eastAsia="宋体" w:cs="Times New Roman"/>
          <w:b/>
          <w:szCs w:val="21"/>
        </w:rPr>
        <w:t>15</w:t>
      </w:r>
      <w:r>
        <w:rPr>
          <w:rFonts w:hint="eastAsia" w:eastAsia="宋体" w:cs="Times New Roman"/>
          <w:b/>
          <w:szCs w:val="21"/>
        </w:rPr>
        <w:t>自主可控绝缘料海缆与自主可控屏蔽料海缆的当前研发情况、研发进度与研发成果。</w:t>
      </w:r>
      <w:r>
        <w:rPr>
          <w:rFonts w:hint="eastAsia"/>
        </w:rPr>
        <w:t>（如采用自主可控海缆方案）</w:t>
      </w:r>
    </w:p>
    <w:p w14:paraId="35951099">
      <w:pPr>
        <w:pStyle w:val="152"/>
        <w:adjustRightInd w:val="0"/>
        <w:snapToGrid w:val="0"/>
        <w:spacing w:line="360" w:lineRule="auto"/>
        <w:ind w:firstLine="422"/>
        <w:rPr>
          <w:rFonts w:eastAsia="宋体" w:cs="Times New Roman"/>
          <w:b/>
          <w:szCs w:val="21"/>
        </w:rPr>
      </w:pPr>
      <w:r>
        <w:rPr>
          <w:rFonts w:hint="eastAsia" w:eastAsia="宋体" w:cs="Times New Roman"/>
          <w:b/>
          <w:szCs w:val="21"/>
        </w:rPr>
        <w:t>9</w:t>
      </w:r>
      <w:r>
        <w:rPr>
          <w:rFonts w:eastAsia="宋体" w:cs="Times New Roman"/>
          <w:b/>
          <w:szCs w:val="21"/>
        </w:rPr>
        <w:t xml:space="preserve">.2.16 </w:t>
      </w:r>
      <w:r>
        <w:rPr>
          <w:rFonts w:hint="eastAsia" w:eastAsia="宋体" w:cs="Times New Roman"/>
          <w:b/>
          <w:szCs w:val="21"/>
        </w:rPr>
        <w:t>自主可控海缆攻关的响应方案、对应研发计划及绝缘料与屏蔽料的潜在供应商情况说明。研发计划至少需包含但不限于：自主</w:t>
      </w:r>
      <w:r>
        <w:rPr>
          <w:rFonts w:hint="eastAsia" w:eastAsia="宋体" w:cs="Times New Roman"/>
          <w:b/>
          <w:szCs w:val="21"/>
          <w:lang w:val="en-US" w:eastAsia="zh-CN"/>
        </w:rPr>
        <w:t>可控</w:t>
      </w:r>
      <w:r>
        <w:rPr>
          <w:rFonts w:hint="eastAsia" w:eastAsia="宋体" w:cs="Times New Roman"/>
          <w:b/>
          <w:szCs w:val="21"/>
        </w:rPr>
        <w:t>绝缘料材料大长度挤出性能提升（如有）、样缆制造、样缆型式试验、大长度挤出验证试验、样缆预鉴定试验、工程缆型式试验(大长度挤出生产末段)、海缆生产时间、运输到货时间。</w:t>
      </w:r>
      <w:r>
        <w:rPr>
          <w:rFonts w:hint="eastAsia"/>
        </w:rPr>
        <w:t>（如采用</w:t>
      </w:r>
      <w:r>
        <w:rPr>
          <w:rFonts w:hint="eastAsia" w:cs="Times New Roman" w:asciiTheme="minorEastAsia" w:hAnsiTheme="minorEastAsia" w:eastAsiaTheme="minorEastAsia"/>
          <w:szCs w:val="24"/>
        </w:rPr>
        <w:t>自主可控</w:t>
      </w:r>
      <w:r>
        <w:rPr>
          <w:rFonts w:hint="eastAsia"/>
        </w:rPr>
        <w:t>海缆方案）</w:t>
      </w:r>
    </w:p>
    <w:p w14:paraId="32AA90E7">
      <w:pPr>
        <w:pStyle w:val="152"/>
        <w:adjustRightInd w:val="0"/>
        <w:snapToGrid w:val="0"/>
        <w:spacing w:line="360" w:lineRule="auto"/>
        <w:rPr>
          <w:rFonts w:eastAsia="宋体" w:cs="Times New Roman"/>
          <w:szCs w:val="21"/>
        </w:rPr>
      </w:pPr>
      <w:r>
        <w:rPr>
          <w:rFonts w:hint="eastAsia" w:eastAsia="宋体" w:cs="Times New Roman"/>
          <w:szCs w:val="21"/>
        </w:rPr>
        <w:t>对以上所提及的所有技术资料及图纸，若在工程的施工阶段与竣工阶段有相应更新升版，投标方均应向招标方及时提供。</w:t>
      </w:r>
    </w:p>
    <w:p w14:paraId="5485C728">
      <w:pPr>
        <w:pStyle w:val="286"/>
      </w:pPr>
      <w:bookmarkStart w:id="201" w:name="_Toc232443373"/>
      <w:r>
        <w:t xml:space="preserve">9.3 </w:t>
      </w:r>
      <w:r>
        <w:rPr>
          <w:rFonts w:hint="eastAsia"/>
        </w:rPr>
        <w:t>中标后应提供的技术资料和图纸</w:t>
      </w:r>
      <w:bookmarkEnd w:id="201"/>
    </w:p>
    <w:p w14:paraId="2B36302F">
      <w:pPr>
        <w:pStyle w:val="43"/>
        <w:snapToGrid w:val="0"/>
        <w:spacing w:line="360" w:lineRule="auto"/>
        <w:ind w:firstLine="420" w:firstLineChars="200"/>
        <w:rPr>
          <w:rFonts w:ascii="Times New Roman" w:hAnsi="Times New Roman"/>
        </w:rPr>
      </w:pPr>
      <w:r>
        <w:rPr>
          <w:rFonts w:hint="eastAsia" w:ascii="Times New Roman" w:hAnsi="Times New Roman"/>
        </w:rPr>
        <w:t>投标方须承诺，在合同签订后，如招标方提出需求，应在</w:t>
      </w:r>
      <w:r>
        <w:rPr>
          <w:rFonts w:ascii="Times New Roman" w:hAnsi="Times New Roman"/>
        </w:rPr>
        <w:t>7</w:t>
      </w:r>
      <w:r>
        <w:rPr>
          <w:rFonts w:hint="eastAsia" w:ascii="Times New Roman" w:hAnsi="Times New Roman"/>
        </w:rPr>
        <w:t>个工作日内提供以下所列材料、</w:t>
      </w:r>
      <w:r>
        <w:rPr>
          <w:rFonts w:ascii="Times New Roman" w:hAnsi="Times New Roman"/>
        </w:rPr>
        <w:t>9.2</w:t>
      </w:r>
      <w:r>
        <w:rPr>
          <w:rFonts w:hint="eastAsia" w:ascii="Times New Roman" w:hAnsi="Times New Roman"/>
        </w:rPr>
        <w:t>章节中提及的需提交材料的更新升版以及招标方要求的其他所有必要资料、图纸和文件（不限于清单内容），以供工程设计、安装及运维使用。提供的纸质版文件不少于</w:t>
      </w:r>
      <w:r>
        <w:rPr>
          <w:rFonts w:ascii="Times New Roman" w:hAnsi="Times New Roman"/>
        </w:rPr>
        <w:t>6</w:t>
      </w:r>
      <w:r>
        <w:rPr>
          <w:rFonts w:hint="eastAsia" w:ascii="Times New Roman" w:hAnsi="Times New Roman"/>
        </w:rPr>
        <w:t>套，电子版光盘不少于</w:t>
      </w:r>
      <w:r>
        <w:rPr>
          <w:rFonts w:ascii="Times New Roman" w:hAnsi="Times New Roman"/>
        </w:rPr>
        <w:t>2</w:t>
      </w:r>
      <w:r>
        <w:rPr>
          <w:rFonts w:hint="eastAsia" w:ascii="Times New Roman" w:hAnsi="Times New Roman"/>
        </w:rPr>
        <w:t>套。</w:t>
      </w:r>
    </w:p>
    <w:p w14:paraId="58E34F11">
      <w:pPr>
        <w:pStyle w:val="43"/>
        <w:snapToGrid w:val="0"/>
        <w:spacing w:line="360" w:lineRule="auto"/>
        <w:ind w:firstLine="420" w:firstLineChars="200"/>
        <w:rPr>
          <w:rFonts w:ascii="Times New Roman" w:hAnsi="Times New Roman"/>
        </w:rPr>
      </w:pPr>
      <w:r>
        <w:rPr>
          <w:rFonts w:hint="eastAsia" w:ascii="Times New Roman" w:hAnsi="Times New Roman"/>
        </w:rPr>
        <w:t>9</w:t>
      </w:r>
      <w:r>
        <w:rPr>
          <w:rFonts w:ascii="Times New Roman" w:hAnsi="Times New Roman"/>
        </w:rPr>
        <w:t xml:space="preserve">.3.1 </w:t>
      </w:r>
      <w:r>
        <w:rPr>
          <w:rFonts w:hint="eastAsia" w:cs="Times New Roman" w:asciiTheme="minorEastAsia" w:hAnsiTheme="minorEastAsia" w:eastAsiaTheme="minorEastAsia"/>
          <w:szCs w:val="24"/>
        </w:rPr>
        <w:t>自主可控</w:t>
      </w:r>
      <w:r>
        <w:rPr>
          <w:rFonts w:hint="eastAsia" w:ascii="Times New Roman" w:hAnsi="Times New Roman"/>
        </w:rPr>
        <w:t>海缆联合攻关计划（如采用</w:t>
      </w:r>
      <w:r>
        <w:rPr>
          <w:rFonts w:hint="eastAsia" w:cs="Times New Roman" w:asciiTheme="minorEastAsia" w:hAnsiTheme="minorEastAsia" w:eastAsiaTheme="minorEastAsia"/>
          <w:szCs w:val="24"/>
        </w:rPr>
        <w:t>自主可控</w:t>
      </w:r>
      <w:r>
        <w:rPr>
          <w:rFonts w:hint="eastAsia" w:ascii="Times New Roman" w:hAnsi="Times New Roman"/>
        </w:rPr>
        <w:t>海缆方案）。</w:t>
      </w:r>
    </w:p>
    <w:p w14:paraId="235D30C5">
      <w:pPr>
        <w:pStyle w:val="43"/>
        <w:snapToGrid w:val="0"/>
        <w:spacing w:line="360" w:lineRule="auto"/>
        <w:ind w:firstLine="420" w:firstLineChars="200"/>
        <w:rPr>
          <w:rFonts w:ascii="Times New Roman" w:hAnsi="Times New Roman"/>
        </w:rPr>
      </w:pPr>
      <w:r>
        <w:rPr>
          <w:rFonts w:ascii="Times New Roman" w:hAnsi="Times New Roman" w:cs="Times New Roman"/>
        </w:rPr>
        <w:t xml:space="preserve">9.3.2 </w:t>
      </w:r>
      <w:r>
        <w:rPr>
          <w:rFonts w:hint="eastAsia" w:cs="Times New Roman"/>
        </w:rPr>
        <w:t>海缆路由图及说明书（含海缆工厂接头位置说明）。</w:t>
      </w:r>
    </w:p>
    <w:p w14:paraId="4924B721">
      <w:pPr>
        <w:pStyle w:val="152"/>
        <w:adjustRightInd w:val="0"/>
        <w:snapToGrid w:val="0"/>
        <w:spacing w:line="360" w:lineRule="auto"/>
        <w:rPr>
          <w:rFonts w:eastAsia="宋体" w:cs="Times New Roman"/>
          <w:szCs w:val="21"/>
        </w:rPr>
      </w:pPr>
      <w:r>
        <w:rPr>
          <w:rFonts w:eastAsia="宋体" w:cs="Times New Roman"/>
          <w:szCs w:val="21"/>
        </w:rPr>
        <w:t>9.3.3</w:t>
      </w:r>
      <w:r>
        <w:rPr>
          <w:rFonts w:hint="eastAsia" w:eastAsia="宋体" w:cs="Times New Roman"/>
          <w:szCs w:val="21"/>
        </w:rPr>
        <w:t>海缆抢修接头的结构图及安装使用说明书（均应标明型号、额定电压、标称截面、各层结构材质、尺寸、质量等，并提供全套安装图和零部件图）。</w:t>
      </w:r>
    </w:p>
    <w:p w14:paraId="2092445B">
      <w:pPr>
        <w:pStyle w:val="152"/>
        <w:adjustRightInd w:val="0"/>
        <w:snapToGrid w:val="0"/>
        <w:spacing w:line="360" w:lineRule="auto"/>
        <w:rPr>
          <w:rFonts w:eastAsia="宋体" w:cs="Times New Roman"/>
          <w:szCs w:val="21"/>
        </w:rPr>
      </w:pPr>
      <w:r>
        <w:rPr>
          <w:rFonts w:eastAsia="宋体" w:cs="Times New Roman"/>
          <w:szCs w:val="21"/>
        </w:rPr>
        <w:t xml:space="preserve">9.3.4 </w:t>
      </w:r>
      <w:r>
        <w:rPr>
          <w:rFonts w:hint="eastAsia" w:eastAsia="宋体" w:cs="Times New Roman"/>
          <w:szCs w:val="21"/>
        </w:rPr>
        <w:t>海缆铠装锚固装置图及安装使用说明书。</w:t>
      </w:r>
    </w:p>
    <w:p w14:paraId="265528F5">
      <w:pPr>
        <w:pStyle w:val="152"/>
        <w:adjustRightInd w:val="0"/>
        <w:snapToGrid w:val="0"/>
        <w:spacing w:line="360" w:lineRule="auto"/>
        <w:rPr>
          <w:rFonts w:eastAsia="宋体" w:cs="Times New Roman"/>
          <w:szCs w:val="21"/>
        </w:rPr>
      </w:pPr>
      <w:r>
        <w:rPr>
          <w:rFonts w:eastAsia="宋体" w:cs="Times New Roman"/>
          <w:szCs w:val="21"/>
        </w:rPr>
        <w:t xml:space="preserve">9.3.5 </w:t>
      </w:r>
      <w:r>
        <w:rPr>
          <w:rFonts w:hint="eastAsia" w:eastAsia="宋体" w:cs="Times New Roman"/>
          <w:szCs w:val="21"/>
        </w:rPr>
        <w:t>牵引头、封帽的结构图。</w:t>
      </w:r>
    </w:p>
    <w:p w14:paraId="2C1106F0">
      <w:pPr>
        <w:pStyle w:val="152"/>
        <w:adjustRightInd w:val="0"/>
        <w:snapToGrid w:val="0"/>
        <w:spacing w:line="360" w:lineRule="auto"/>
        <w:rPr>
          <w:rFonts w:eastAsia="宋体" w:cs="Times New Roman"/>
          <w:szCs w:val="21"/>
        </w:rPr>
      </w:pPr>
      <w:r>
        <w:rPr>
          <w:rFonts w:eastAsia="宋体" w:cs="Times New Roman"/>
          <w:szCs w:val="21"/>
        </w:rPr>
        <w:t xml:space="preserve">9.3.6 </w:t>
      </w:r>
      <w:r>
        <w:rPr>
          <w:rFonts w:hint="eastAsia" w:eastAsia="宋体" w:cs="Times New Roman"/>
          <w:szCs w:val="21"/>
        </w:rPr>
        <w:t>除</w:t>
      </w:r>
      <w:r>
        <w:rPr>
          <w:rFonts w:eastAsia="宋体" w:cs="Times New Roman"/>
          <w:szCs w:val="21"/>
        </w:rPr>
        <w:t>9.2</w:t>
      </w:r>
      <w:r>
        <w:rPr>
          <w:rFonts w:hint="eastAsia" w:eastAsia="宋体" w:cs="Times New Roman"/>
          <w:szCs w:val="21"/>
        </w:rPr>
        <w:t>章节提及的各类计算书外，其他的海缆计算书（含依据的计算公式、有关参数选择和计算结果）：</w:t>
      </w:r>
    </w:p>
    <w:p w14:paraId="2443E70D">
      <w:pPr>
        <w:pStyle w:val="152"/>
        <w:adjustRightInd w:val="0"/>
        <w:snapToGrid w:val="0"/>
        <w:spacing w:line="360" w:lineRule="auto"/>
        <w:rPr>
          <w:rFonts w:eastAsia="宋体" w:cs="Times New Roman"/>
          <w:szCs w:val="21"/>
        </w:rPr>
      </w:pPr>
      <w:r>
        <w:rPr>
          <w:rFonts w:eastAsia="宋体" w:cs="Times New Roman"/>
          <w:szCs w:val="21"/>
        </w:rPr>
        <w:t>1</w:t>
      </w:r>
      <w:r>
        <w:rPr>
          <w:rFonts w:hint="eastAsia" w:eastAsia="宋体" w:cs="Times New Roman"/>
          <w:szCs w:val="21"/>
        </w:rPr>
        <w:t>、海缆主绝缘计算书；</w:t>
      </w:r>
    </w:p>
    <w:p w14:paraId="5C03AA99">
      <w:pPr>
        <w:pStyle w:val="152"/>
        <w:adjustRightInd w:val="0"/>
        <w:snapToGrid w:val="0"/>
        <w:spacing w:line="360" w:lineRule="auto"/>
        <w:rPr>
          <w:rFonts w:eastAsia="宋体" w:cs="Times New Roman"/>
          <w:szCs w:val="21"/>
        </w:rPr>
      </w:pPr>
      <w:r>
        <w:rPr>
          <w:rFonts w:eastAsia="宋体" w:cs="Times New Roman"/>
          <w:szCs w:val="21"/>
        </w:rPr>
        <w:t>2</w:t>
      </w:r>
      <w:r>
        <w:rPr>
          <w:rFonts w:hint="eastAsia" w:eastAsia="宋体" w:cs="Times New Roman"/>
          <w:szCs w:val="21"/>
        </w:rPr>
        <w:t>、海缆截面各层张力分布计算；</w:t>
      </w:r>
    </w:p>
    <w:p w14:paraId="13B4975C">
      <w:pPr>
        <w:pStyle w:val="152"/>
        <w:adjustRightInd w:val="0"/>
        <w:snapToGrid w:val="0"/>
        <w:spacing w:line="360" w:lineRule="auto"/>
        <w:rPr>
          <w:rFonts w:eastAsia="宋体" w:cs="Times New Roman"/>
          <w:szCs w:val="21"/>
        </w:rPr>
      </w:pPr>
      <w:r>
        <w:rPr>
          <w:rFonts w:eastAsia="宋体" w:cs="Times New Roman"/>
          <w:szCs w:val="21"/>
        </w:rPr>
        <w:t>9.3.7</w:t>
      </w:r>
      <w:r>
        <w:rPr>
          <w:rFonts w:hint="eastAsia" w:eastAsia="宋体" w:cs="Times New Roman"/>
          <w:szCs w:val="21"/>
        </w:rPr>
        <w:t>中标人须提供完整可追溯的</w:t>
      </w:r>
      <w:r>
        <w:rPr>
          <w:rFonts w:hint="eastAsia" w:cs="Times New Roman" w:asciiTheme="minorEastAsia" w:hAnsiTheme="minorEastAsia" w:eastAsiaTheme="minorEastAsia"/>
          <w:szCs w:val="24"/>
        </w:rPr>
        <w:t>自主可控海缆</w:t>
      </w:r>
      <w:r>
        <w:rPr>
          <w:rFonts w:hint="eastAsia" w:eastAsia="宋体" w:cs="Times New Roman"/>
          <w:szCs w:val="21"/>
        </w:rPr>
        <w:t>研发试验与生产数据。</w:t>
      </w:r>
    </w:p>
    <w:p w14:paraId="121F6DDB">
      <w:pPr>
        <w:pStyle w:val="152"/>
        <w:adjustRightInd w:val="0"/>
        <w:snapToGrid w:val="0"/>
        <w:spacing w:line="360" w:lineRule="auto"/>
        <w:rPr>
          <w:rFonts w:eastAsia="宋体" w:cs="Times New Roman"/>
          <w:szCs w:val="21"/>
        </w:rPr>
      </w:pPr>
    </w:p>
    <w:p w14:paraId="5AC61E55">
      <w:pPr>
        <w:pStyle w:val="286"/>
      </w:pPr>
      <w:bookmarkStart w:id="202" w:name="_Toc232443374"/>
      <w:r>
        <w:rPr>
          <w:rFonts w:hint="eastAsia"/>
        </w:rPr>
        <w:t>9.</w:t>
      </w:r>
      <w:bookmarkEnd w:id="195"/>
      <w:bookmarkEnd w:id="196"/>
      <w:bookmarkEnd w:id="197"/>
      <w:bookmarkEnd w:id="198"/>
      <w:bookmarkStart w:id="203" w:name="_Toc282433724"/>
      <w:bookmarkStart w:id="204" w:name="_Toc283011676"/>
      <w:bookmarkStart w:id="205" w:name="_Toc282428316"/>
      <w:bookmarkStart w:id="206" w:name="_Toc277686885"/>
      <w:bookmarkStart w:id="207" w:name="_Toc283142582"/>
      <w:r>
        <w:t>4</w:t>
      </w:r>
      <w:r>
        <w:rPr>
          <w:rFonts w:hint="eastAsia"/>
        </w:rPr>
        <w:t xml:space="preserve"> 设计联络</w:t>
      </w:r>
      <w:bookmarkEnd w:id="202"/>
      <w:bookmarkEnd w:id="203"/>
      <w:bookmarkEnd w:id="204"/>
      <w:bookmarkEnd w:id="205"/>
      <w:bookmarkEnd w:id="206"/>
      <w:bookmarkEnd w:id="207"/>
    </w:p>
    <w:p w14:paraId="7D86906C">
      <w:pPr>
        <w:pStyle w:val="152"/>
        <w:adjustRightInd w:val="0"/>
        <w:snapToGrid w:val="0"/>
        <w:spacing w:line="360" w:lineRule="auto"/>
        <w:rPr>
          <w:rFonts w:eastAsia="宋体" w:cs="Times New Roman"/>
          <w:szCs w:val="21"/>
        </w:rPr>
      </w:pPr>
      <w:r>
        <w:rPr>
          <w:szCs w:val="21"/>
        </w:rPr>
        <w:t>1</w:t>
      </w:r>
      <w:r>
        <w:rPr>
          <w:rFonts w:hint="eastAsia"/>
          <w:szCs w:val="21"/>
        </w:rPr>
        <w:t>、投标方应在合同签订后的一个月内，向招标方提供正式版的用</w:t>
      </w:r>
      <w:r>
        <w:rPr>
          <w:rFonts w:hint="eastAsia" w:eastAsia="宋体" w:cs="Times New Roman"/>
          <w:szCs w:val="21"/>
        </w:rPr>
        <w:t>于设计、设备监造和检验、现场安装和调试以及运行维护方面的图纸、说明书和有关技术资料，同时向招标方设计代表提供拷贝光盘</w:t>
      </w:r>
      <w:r>
        <w:rPr>
          <w:rFonts w:eastAsia="宋体" w:cs="Times New Roman"/>
          <w:szCs w:val="21"/>
        </w:rPr>
        <w:t>2</w:t>
      </w:r>
      <w:r>
        <w:rPr>
          <w:rFonts w:hint="eastAsia" w:eastAsia="宋体" w:cs="Times New Roman"/>
          <w:szCs w:val="21"/>
        </w:rPr>
        <w:t>份（图纸为</w:t>
      </w:r>
      <w:r>
        <w:rPr>
          <w:rFonts w:eastAsia="宋体" w:cs="Times New Roman"/>
          <w:szCs w:val="21"/>
        </w:rPr>
        <w:t>AutoCAD</w:t>
      </w:r>
      <w:r>
        <w:rPr>
          <w:rFonts w:hint="eastAsia" w:eastAsia="宋体" w:cs="Times New Roman"/>
          <w:szCs w:val="21"/>
        </w:rPr>
        <w:t>版、文字资料为</w:t>
      </w:r>
      <w:r>
        <w:rPr>
          <w:rFonts w:eastAsia="宋体" w:cs="Times New Roman"/>
          <w:szCs w:val="21"/>
        </w:rPr>
        <w:t>Word</w:t>
      </w:r>
      <w:r>
        <w:rPr>
          <w:rFonts w:hint="eastAsia" w:eastAsia="宋体" w:cs="Times New Roman"/>
          <w:szCs w:val="21"/>
        </w:rPr>
        <w:t>版）。</w:t>
      </w:r>
    </w:p>
    <w:p w14:paraId="2E5F6E81">
      <w:pPr>
        <w:pStyle w:val="152"/>
        <w:adjustRightInd w:val="0"/>
        <w:snapToGrid w:val="0"/>
        <w:spacing w:line="360" w:lineRule="auto"/>
      </w:pPr>
      <w:r>
        <w:rPr>
          <w:rFonts w:eastAsia="宋体" w:cs="Times New Roman"/>
          <w:szCs w:val="21"/>
        </w:rPr>
        <w:t>2</w:t>
      </w:r>
      <w:r>
        <w:rPr>
          <w:rFonts w:hint="eastAsia" w:eastAsia="宋体" w:cs="Times New Roman"/>
          <w:szCs w:val="21"/>
        </w:rPr>
        <w:t>、</w:t>
      </w:r>
      <w:r>
        <w:rPr>
          <w:rFonts w:hint="eastAsia"/>
        </w:rPr>
        <w:t>双方当事人应按照附录一的规定进行并完成设计联络。</w:t>
      </w:r>
    </w:p>
    <w:p w14:paraId="1E1F1AAA">
      <w:pPr>
        <w:pStyle w:val="152"/>
        <w:adjustRightInd w:val="0"/>
        <w:snapToGrid w:val="0"/>
        <w:spacing w:line="360" w:lineRule="auto"/>
        <w:rPr>
          <w:rFonts w:eastAsia="宋体" w:cs="Times New Roman"/>
          <w:szCs w:val="21"/>
        </w:rPr>
      </w:pPr>
      <w:r>
        <w:rPr>
          <w:rFonts w:hint="eastAsia" w:eastAsia="宋体" w:cs="Times New Roman"/>
          <w:szCs w:val="21"/>
        </w:rPr>
        <w:t>3、设计联络会的次数、内容、日程安排、地点、费用和参加的人数详见附录一的规定。</w:t>
      </w:r>
    </w:p>
    <w:p w14:paraId="2A4EB065">
      <w:pPr>
        <w:pStyle w:val="152"/>
        <w:adjustRightInd w:val="0"/>
        <w:snapToGrid w:val="0"/>
        <w:spacing w:line="360" w:lineRule="auto"/>
        <w:rPr>
          <w:rFonts w:eastAsia="宋体" w:cs="Times New Roman"/>
          <w:szCs w:val="21"/>
        </w:rPr>
      </w:pPr>
      <w:r>
        <w:rPr>
          <w:rFonts w:hint="eastAsia"/>
        </w:rPr>
        <w:t>4、设计联络会后遗留问题及投标方在进一步设计中遇到的问题，双方将以传真(电子邮件)同时以邮政快递的方式沟通解决。如有必要，由双方协商时间、地点另行召开设计联络会。</w:t>
      </w:r>
    </w:p>
    <w:p w14:paraId="27D1D4DB">
      <w:pPr>
        <w:pStyle w:val="43"/>
        <w:snapToGrid w:val="0"/>
        <w:spacing w:line="360" w:lineRule="auto"/>
        <w:ind w:firstLine="420" w:firstLineChars="200"/>
      </w:pPr>
      <w:r>
        <w:rPr>
          <w:rFonts w:hint="eastAsia"/>
        </w:rPr>
        <w:t>5、投标方提供的图纸必须经招标方代表确认。</w:t>
      </w:r>
    </w:p>
    <w:p w14:paraId="37DF97F2">
      <w:pPr>
        <w:pStyle w:val="43"/>
        <w:snapToGrid w:val="0"/>
        <w:spacing w:line="360" w:lineRule="auto"/>
        <w:ind w:firstLine="420" w:firstLineChars="200"/>
      </w:pPr>
      <w:r>
        <w:rPr>
          <w:rFonts w:hint="eastAsia"/>
        </w:rPr>
        <w:t>6、部分图纸资料若无法提供，应及时向招标方代表说明并取得书面确认。</w:t>
      </w:r>
    </w:p>
    <w:p w14:paraId="17D4F635">
      <w:pPr>
        <w:pStyle w:val="286"/>
      </w:pPr>
      <w:bookmarkStart w:id="208" w:name="_Toc232443375"/>
      <w:r>
        <w:rPr>
          <w:rFonts w:hint="eastAsia"/>
        </w:rPr>
        <w:t>9.</w:t>
      </w:r>
      <w:r>
        <w:t xml:space="preserve">5 </w:t>
      </w:r>
      <w:r>
        <w:rPr>
          <w:rFonts w:hint="eastAsia"/>
        </w:rPr>
        <w:t>自主可控海缆</w:t>
      </w:r>
      <w:r>
        <w:t>研发</w:t>
      </w:r>
      <w:r>
        <w:rPr>
          <w:rFonts w:hint="eastAsia"/>
        </w:rPr>
        <w:t>机制</w:t>
      </w:r>
      <w:bookmarkEnd w:id="208"/>
    </w:p>
    <w:p w14:paraId="5FF61A2E">
      <w:pPr>
        <w:pStyle w:val="152"/>
        <w:adjustRightInd w:val="0"/>
        <w:snapToGrid w:val="0"/>
        <w:spacing w:line="360" w:lineRule="auto"/>
        <w:rPr>
          <w:szCs w:val="21"/>
        </w:rPr>
      </w:pPr>
      <w:r>
        <w:rPr>
          <w:rFonts w:hint="eastAsia"/>
          <w:szCs w:val="21"/>
        </w:rPr>
        <w:t>若投标方采用自主可控海缆方案，投标方应协助招标方组建攻关团队，并落实以下攻关要求。</w:t>
      </w:r>
    </w:p>
    <w:p w14:paraId="7F57491F">
      <w:pPr>
        <w:pStyle w:val="152"/>
        <w:adjustRightInd w:val="0"/>
        <w:snapToGrid w:val="0"/>
        <w:spacing w:line="360" w:lineRule="auto"/>
        <w:rPr>
          <w:szCs w:val="21"/>
        </w:rPr>
      </w:pPr>
      <w:r>
        <w:rPr>
          <w:szCs w:val="21"/>
        </w:rPr>
        <w:t>1</w:t>
      </w:r>
      <w:r>
        <w:rPr>
          <w:rFonts w:hint="eastAsia"/>
          <w:szCs w:val="21"/>
        </w:rPr>
        <w:t>、投标方应在合同签订后的</w:t>
      </w:r>
      <w:r>
        <w:rPr>
          <w:rFonts w:hint="eastAsia"/>
          <w:szCs w:val="21"/>
          <w:u w:val="single"/>
        </w:rPr>
        <w:t>7</w:t>
      </w:r>
      <w:r>
        <w:rPr>
          <w:rFonts w:hint="eastAsia"/>
          <w:szCs w:val="21"/>
        </w:rPr>
        <w:t>天内，向招标方提供正式版的</w:t>
      </w:r>
      <w:r>
        <w:rPr>
          <w:rFonts w:hint="eastAsia" w:cs="Times New Roman" w:asciiTheme="minorEastAsia" w:hAnsiTheme="minorEastAsia" w:eastAsiaTheme="minorEastAsia"/>
          <w:szCs w:val="24"/>
        </w:rPr>
        <w:t>自主可控</w:t>
      </w:r>
      <w:r>
        <w:rPr>
          <w:rFonts w:hint="eastAsia"/>
          <w:szCs w:val="21"/>
        </w:rPr>
        <w:t>海缆技术路线及研发计划，供招标方审核。技术路线及研发计划经招标方明确认可后，投标方应严格执行该技术路线与研发计划。</w:t>
      </w:r>
    </w:p>
    <w:p w14:paraId="529D387A">
      <w:pPr>
        <w:pStyle w:val="152"/>
        <w:adjustRightInd w:val="0"/>
        <w:snapToGrid w:val="0"/>
        <w:spacing w:line="360" w:lineRule="auto"/>
      </w:pPr>
      <w:r>
        <w:rPr>
          <w:rFonts w:hint="eastAsia"/>
          <w:szCs w:val="21"/>
        </w:rPr>
        <w:t>2、双方当事人应按照附录二的规定进行并完成</w:t>
      </w:r>
      <w:r>
        <w:rPr>
          <w:rFonts w:hint="eastAsia" w:cs="Times New Roman" w:asciiTheme="minorEastAsia" w:hAnsiTheme="minorEastAsia" w:eastAsiaTheme="minorEastAsia"/>
          <w:szCs w:val="24"/>
        </w:rPr>
        <w:t>自主可控</w:t>
      </w:r>
      <w:r>
        <w:rPr>
          <w:rFonts w:hint="eastAsia"/>
          <w:szCs w:val="21"/>
        </w:rPr>
        <w:t>海缆技术路线评审会、</w:t>
      </w:r>
      <w:r>
        <w:rPr>
          <w:rFonts w:hint="eastAsia" w:cs="Times New Roman" w:asciiTheme="minorEastAsia" w:hAnsiTheme="minorEastAsia" w:eastAsiaTheme="minorEastAsia"/>
          <w:szCs w:val="24"/>
        </w:rPr>
        <w:t>自主可控</w:t>
      </w:r>
      <w:r>
        <w:rPr>
          <w:rFonts w:hint="eastAsia" w:cstheme="minorBidi"/>
          <w:szCs w:val="21"/>
        </w:rPr>
        <w:t>海缆研发计划专家审核会与</w:t>
      </w:r>
      <w:r>
        <w:rPr>
          <w:rFonts w:hint="eastAsia" w:cs="Times New Roman" w:asciiTheme="minorEastAsia" w:hAnsiTheme="minorEastAsia" w:eastAsiaTheme="minorEastAsia"/>
          <w:szCs w:val="24"/>
        </w:rPr>
        <w:t>自主可控</w:t>
      </w:r>
      <w:r>
        <w:t>海缆研发进度报告</w:t>
      </w:r>
      <w:r>
        <w:rPr>
          <w:rFonts w:hint="eastAsia"/>
        </w:rPr>
        <w:t>会，并在规定时间内完成</w:t>
      </w:r>
      <w:r>
        <w:rPr>
          <w:rFonts w:hint="eastAsia" w:cs="Times New Roman" w:asciiTheme="minorEastAsia" w:hAnsiTheme="minorEastAsia" w:eastAsiaTheme="minorEastAsia"/>
          <w:szCs w:val="24"/>
        </w:rPr>
        <w:t>自主可控</w:t>
      </w:r>
      <w:r>
        <w:t>海缆研发专家汇报会</w:t>
      </w:r>
      <w:r>
        <w:rPr>
          <w:rFonts w:hint="eastAsia"/>
        </w:rPr>
        <w:t>。</w:t>
      </w:r>
    </w:p>
    <w:p w14:paraId="748C70DE">
      <w:pPr>
        <w:pStyle w:val="152"/>
        <w:adjustRightInd w:val="0"/>
        <w:snapToGrid w:val="0"/>
        <w:spacing w:line="360" w:lineRule="auto"/>
      </w:pPr>
      <w:r>
        <w:rPr>
          <w:rFonts w:hint="eastAsia"/>
        </w:rPr>
        <w:t>3、</w:t>
      </w:r>
      <w:r>
        <w:rPr>
          <w:rFonts w:hint="eastAsia" w:cs="Times New Roman" w:asciiTheme="minorEastAsia" w:hAnsiTheme="minorEastAsia" w:eastAsiaTheme="minorEastAsia"/>
          <w:szCs w:val="24"/>
        </w:rPr>
        <w:t>自主可控</w:t>
      </w:r>
      <w:r>
        <w:rPr>
          <w:rFonts w:hint="eastAsia"/>
          <w:szCs w:val="21"/>
        </w:rPr>
        <w:t>海缆技术路线评审会</w:t>
      </w:r>
      <w:r>
        <w:rPr>
          <w:rFonts w:hint="eastAsia" w:eastAsia="宋体" w:cs="Times New Roman"/>
          <w:szCs w:val="21"/>
        </w:rPr>
        <w:t>的次数、内容、日程安排、地点、费用和参加的人数详见附录二的规定。</w:t>
      </w:r>
    </w:p>
    <w:p w14:paraId="4AD2D89A">
      <w:pPr>
        <w:pStyle w:val="152"/>
        <w:adjustRightInd w:val="0"/>
        <w:snapToGrid w:val="0"/>
        <w:spacing w:line="360" w:lineRule="auto"/>
      </w:pPr>
      <w:r>
        <w:t>4</w:t>
      </w:r>
      <w:r>
        <w:rPr>
          <w:rFonts w:hint="eastAsia"/>
        </w:rPr>
        <w:t>、</w:t>
      </w:r>
      <w:r>
        <w:rPr>
          <w:rFonts w:hint="eastAsia" w:cs="Times New Roman" w:asciiTheme="minorEastAsia" w:hAnsiTheme="minorEastAsia" w:eastAsiaTheme="minorEastAsia"/>
          <w:szCs w:val="24"/>
        </w:rPr>
        <w:t>自主可控</w:t>
      </w:r>
      <w:r>
        <w:rPr>
          <w:rFonts w:hint="eastAsia" w:cstheme="minorBidi"/>
          <w:szCs w:val="21"/>
        </w:rPr>
        <w:t>海缆研发计划专家审核会</w:t>
      </w:r>
      <w:r>
        <w:rPr>
          <w:rFonts w:hint="eastAsia" w:eastAsia="宋体" w:cs="Times New Roman"/>
          <w:szCs w:val="21"/>
        </w:rPr>
        <w:t>的次数、内容、日程安排、地点、费用和参加的人数详见附录二的规定。</w:t>
      </w:r>
    </w:p>
    <w:p w14:paraId="15CC71C7">
      <w:pPr>
        <w:pStyle w:val="152"/>
        <w:adjustRightInd w:val="0"/>
        <w:snapToGrid w:val="0"/>
        <w:spacing w:line="360" w:lineRule="auto"/>
        <w:rPr>
          <w:rFonts w:eastAsia="宋体" w:cs="Times New Roman"/>
          <w:szCs w:val="21"/>
        </w:rPr>
      </w:pPr>
      <w:r>
        <w:rPr>
          <w:rFonts w:eastAsia="宋体" w:cs="Times New Roman"/>
          <w:szCs w:val="21"/>
        </w:rPr>
        <w:t>5</w:t>
      </w:r>
      <w:r>
        <w:rPr>
          <w:rFonts w:hint="eastAsia" w:eastAsia="宋体" w:cs="Times New Roman"/>
          <w:szCs w:val="21"/>
        </w:rPr>
        <w:t>、</w:t>
      </w:r>
      <w:r>
        <w:rPr>
          <w:rFonts w:hint="eastAsia" w:cs="Times New Roman" w:asciiTheme="minorEastAsia" w:hAnsiTheme="minorEastAsia" w:eastAsiaTheme="minorEastAsia"/>
          <w:szCs w:val="24"/>
        </w:rPr>
        <w:t>自主可控</w:t>
      </w:r>
      <w:r>
        <w:t>海缆研发进度报告</w:t>
      </w:r>
      <w:r>
        <w:rPr>
          <w:rFonts w:hint="eastAsia" w:eastAsia="宋体" w:cs="Times New Roman"/>
          <w:szCs w:val="21"/>
        </w:rPr>
        <w:t>会的次数、内容、日程安排、地点、费用和参加的人数详见附录二的规定。</w:t>
      </w:r>
    </w:p>
    <w:p w14:paraId="5F358CFF">
      <w:pPr>
        <w:pStyle w:val="152"/>
        <w:adjustRightInd w:val="0"/>
        <w:snapToGrid w:val="0"/>
        <w:spacing w:line="360" w:lineRule="auto"/>
        <w:rPr>
          <w:rFonts w:eastAsia="宋体" w:cs="Times New Roman"/>
          <w:szCs w:val="21"/>
        </w:rPr>
      </w:pPr>
      <w:r>
        <w:t>6</w:t>
      </w:r>
      <w:r>
        <w:rPr>
          <w:rFonts w:hint="eastAsia"/>
        </w:rPr>
        <w:t>、</w:t>
      </w:r>
      <w:r>
        <w:rPr>
          <w:rFonts w:hint="eastAsia" w:cs="Times New Roman" w:asciiTheme="minorEastAsia" w:hAnsiTheme="minorEastAsia" w:eastAsiaTheme="minorEastAsia"/>
          <w:szCs w:val="24"/>
        </w:rPr>
        <w:t>自主可控</w:t>
      </w:r>
      <w:r>
        <w:rPr>
          <w:rFonts w:hint="eastAsia" w:cstheme="minorBidi"/>
          <w:szCs w:val="21"/>
        </w:rPr>
        <w:t>海缆研发中期专家评审会</w:t>
      </w:r>
      <w:r>
        <w:rPr>
          <w:rFonts w:hint="eastAsia" w:eastAsia="宋体" w:cs="Times New Roman"/>
          <w:szCs w:val="21"/>
        </w:rPr>
        <w:t>的次数、内容、日程安排、地点、费用和参加的人数详见附录二的规定。</w:t>
      </w:r>
    </w:p>
    <w:p w14:paraId="246F0B33">
      <w:pPr>
        <w:pStyle w:val="152"/>
        <w:adjustRightInd w:val="0"/>
        <w:snapToGrid w:val="0"/>
        <w:spacing w:line="360" w:lineRule="auto"/>
        <w:rPr>
          <w:rFonts w:eastAsia="宋体" w:cs="Times New Roman"/>
          <w:szCs w:val="21"/>
        </w:rPr>
      </w:pPr>
      <w:r>
        <w:t>7</w:t>
      </w:r>
      <w:r>
        <w:rPr>
          <w:rFonts w:hint="eastAsia"/>
        </w:rPr>
        <w:t>、</w:t>
      </w:r>
      <w:r>
        <w:rPr>
          <w:rFonts w:hint="eastAsia" w:cs="Times New Roman" w:asciiTheme="minorEastAsia" w:hAnsiTheme="minorEastAsia" w:eastAsiaTheme="minorEastAsia"/>
          <w:szCs w:val="24"/>
        </w:rPr>
        <w:t>自主可控</w:t>
      </w:r>
      <w:r>
        <w:rPr>
          <w:rFonts w:hint="eastAsia" w:cstheme="minorBidi"/>
          <w:szCs w:val="21"/>
        </w:rPr>
        <w:t>海缆研发结果专家评审会</w:t>
      </w:r>
      <w:r>
        <w:rPr>
          <w:rFonts w:hint="eastAsia" w:eastAsia="宋体" w:cs="Times New Roman"/>
          <w:szCs w:val="21"/>
        </w:rPr>
        <w:t>的次数、内容、日程安排、地点、费用和参加的人数详见附录二的规定。</w:t>
      </w:r>
    </w:p>
    <w:p w14:paraId="530D60F8">
      <w:pPr>
        <w:pStyle w:val="152"/>
        <w:adjustRightInd w:val="0"/>
        <w:snapToGrid w:val="0"/>
        <w:spacing w:line="360" w:lineRule="auto"/>
      </w:pPr>
      <w:r>
        <w:rPr>
          <w:rFonts w:hint="eastAsia" w:cs="Times New Roman" w:asciiTheme="minorEastAsia" w:hAnsiTheme="minorEastAsia" w:eastAsiaTheme="minorEastAsia"/>
          <w:szCs w:val="24"/>
        </w:rPr>
        <w:t>自主可控</w:t>
      </w:r>
      <w:r>
        <w:t>海缆研发进度报告</w:t>
      </w:r>
      <w:r>
        <w:rPr>
          <w:rFonts w:hint="eastAsia" w:eastAsia="宋体" w:cs="Times New Roman"/>
          <w:szCs w:val="21"/>
        </w:rPr>
        <w:t>会的</w:t>
      </w:r>
      <w:r>
        <w:rPr>
          <w:rFonts w:hint="eastAsia"/>
        </w:rPr>
        <w:t>遗留问题及投标方在进一步研发中遇到的问题，双方将以传真(电子邮件)同时以邮政快递的方式沟通解决。如有必要，由双方协商时间、地点另行召开会议。</w:t>
      </w:r>
    </w:p>
    <w:p w14:paraId="434DE1D6">
      <w:pPr>
        <w:pStyle w:val="284"/>
      </w:pPr>
      <w:bookmarkStart w:id="209" w:name="_Toc276490917"/>
      <w:bookmarkStart w:id="210" w:name="_Toc279695207"/>
      <w:bookmarkStart w:id="211" w:name="_Toc276492435"/>
      <w:bookmarkStart w:id="212" w:name="_Toc232443376"/>
      <w:bookmarkStart w:id="213" w:name="_Toc282433758"/>
      <w:bookmarkStart w:id="214" w:name="_Toc22302725"/>
      <w:bookmarkStart w:id="215" w:name="_Toc322681876"/>
      <w:bookmarkStart w:id="216" w:name="_Toc282993359"/>
      <w:bookmarkStart w:id="217" w:name="_Toc226123962"/>
      <w:r>
        <w:rPr>
          <w:rFonts w:hint="eastAsia"/>
        </w:rPr>
        <w:t>10</w:t>
      </w:r>
      <w:r>
        <w:t xml:space="preserve"> </w:t>
      </w:r>
      <w:r>
        <w:rPr>
          <w:rFonts w:hint="eastAsia"/>
        </w:rPr>
        <w:t>监造、包装、运输、安装</w:t>
      </w:r>
      <w:bookmarkEnd w:id="209"/>
      <w:bookmarkEnd w:id="210"/>
      <w:bookmarkEnd w:id="211"/>
      <w:r>
        <w:rPr>
          <w:rFonts w:hint="eastAsia"/>
        </w:rPr>
        <w:t>及质量保证</w:t>
      </w:r>
      <w:bookmarkEnd w:id="212"/>
      <w:bookmarkEnd w:id="213"/>
      <w:bookmarkEnd w:id="214"/>
      <w:bookmarkEnd w:id="215"/>
      <w:bookmarkEnd w:id="216"/>
      <w:bookmarkEnd w:id="217"/>
    </w:p>
    <w:p w14:paraId="1DDD9D1F">
      <w:pPr>
        <w:pStyle w:val="286"/>
      </w:pPr>
      <w:bookmarkStart w:id="218" w:name="_Toc385582823"/>
      <w:bookmarkStart w:id="219" w:name="_Toc226123963"/>
      <w:bookmarkStart w:id="220" w:name="_Toc387613593"/>
      <w:bookmarkStart w:id="221" w:name="_Toc288118326"/>
      <w:bookmarkStart w:id="222" w:name="_Toc22302726"/>
      <w:bookmarkStart w:id="223" w:name="_Toc232443377"/>
      <w:bookmarkStart w:id="224" w:name="_Toc387609308"/>
      <w:bookmarkStart w:id="225" w:name="_Toc279695208"/>
      <w:bookmarkStart w:id="226" w:name="_Toc276490898"/>
      <w:bookmarkStart w:id="227" w:name="_Toc282993360"/>
      <w:bookmarkStart w:id="228" w:name="_Toc282433759"/>
      <w:bookmarkStart w:id="229" w:name="_Toc53672785"/>
      <w:bookmarkStart w:id="230" w:name="_Toc276492370"/>
      <w:bookmarkStart w:id="231" w:name="_Toc322681877"/>
      <w:bookmarkStart w:id="232" w:name="_Toc200531202"/>
      <w:bookmarkStart w:id="233" w:name="_Toc472997247"/>
      <w:bookmarkStart w:id="234" w:name="_Toc471528253"/>
      <w:r>
        <w:rPr>
          <w:rFonts w:hint="eastAsia"/>
        </w:rPr>
        <w:t>10.1</w:t>
      </w:r>
      <w:r>
        <w:t xml:space="preserve"> </w:t>
      </w:r>
      <w:r>
        <w:rPr>
          <w:rFonts w:hint="eastAsia"/>
        </w:rPr>
        <w:t>监造</w:t>
      </w:r>
      <w:bookmarkEnd w:id="218"/>
      <w:bookmarkEnd w:id="219"/>
      <w:bookmarkEnd w:id="220"/>
      <w:bookmarkEnd w:id="221"/>
      <w:bookmarkEnd w:id="222"/>
      <w:bookmarkEnd w:id="223"/>
    </w:p>
    <w:p w14:paraId="59E16196">
      <w:pPr>
        <w:pStyle w:val="152"/>
        <w:adjustRightInd w:val="0"/>
        <w:snapToGrid w:val="0"/>
        <w:spacing w:line="360" w:lineRule="auto"/>
        <w:rPr>
          <w:szCs w:val="21"/>
        </w:rPr>
      </w:pPr>
      <w:bookmarkStart w:id="235" w:name="_Toc387613594"/>
      <w:bookmarkStart w:id="236" w:name="_Toc288118327"/>
      <w:bookmarkStart w:id="237" w:name="_Toc22302727"/>
      <w:bookmarkStart w:id="238" w:name="_Toc385582824"/>
      <w:r>
        <w:rPr>
          <w:rFonts w:hint="eastAsia"/>
          <w:szCs w:val="21"/>
        </w:rPr>
        <w:t>1</w:t>
      </w:r>
      <w:r>
        <w:rPr>
          <w:szCs w:val="21"/>
        </w:rPr>
        <w:t>0</w:t>
      </w:r>
      <w:r>
        <w:rPr>
          <w:rFonts w:hint="eastAsia"/>
          <w:szCs w:val="21"/>
        </w:rPr>
        <w:t>.1.1</w:t>
      </w:r>
      <w:r>
        <w:rPr>
          <w:rFonts w:hint="eastAsia" w:ascii="宋体" w:hAnsi="宋体"/>
          <w:szCs w:val="21"/>
        </w:rPr>
        <w:t>招标方根据</w:t>
      </w:r>
      <w:r>
        <w:rPr>
          <w:rFonts w:hint="eastAsia"/>
          <w:szCs w:val="21"/>
        </w:rPr>
        <w:t>DL/T586</w:t>
      </w:r>
      <w:r>
        <w:rPr>
          <w:rFonts w:hint="eastAsia" w:ascii="宋体" w:hAnsi="宋体"/>
          <w:szCs w:val="21"/>
        </w:rPr>
        <w:t>《电力设备监造技术导则》组织编制监造大纲，进行工厂监造和检查，投标方须根据合同要求开展相应配合。</w:t>
      </w:r>
    </w:p>
    <w:p w14:paraId="3669A197">
      <w:pPr>
        <w:pStyle w:val="152"/>
        <w:adjustRightInd w:val="0"/>
        <w:snapToGrid w:val="0"/>
        <w:spacing w:line="360" w:lineRule="auto"/>
        <w:rPr>
          <w:szCs w:val="21"/>
        </w:rPr>
      </w:pPr>
      <w:r>
        <w:rPr>
          <w:rFonts w:hint="eastAsia" w:ascii="宋体" w:hAnsi="宋体"/>
          <w:szCs w:val="21"/>
        </w:rPr>
        <w:t>监造范围包括设备的设计、加工、制造、储运、材料采购、组装和试验、绝缘试验等重要过程，关键部件的质量控制，进行见证、检验和审核，并形成完整质量记录和资料，提交监造工作总结。</w:t>
      </w:r>
    </w:p>
    <w:p w14:paraId="0D68FF7E">
      <w:pPr>
        <w:pStyle w:val="152"/>
        <w:adjustRightInd w:val="0"/>
        <w:snapToGrid w:val="0"/>
        <w:spacing w:line="360" w:lineRule="auto"/>
        <w:rPr>
          <w:szCs w:val="21"/>
        </w:rPr>
      </w:pPr>
      <w:r>
        <w:rPr>
          <w:rFonts w:hint="eastAsia" w:ascii="宋体" w:hAnsi="宋体"/>
          <w:szCs w:val="21"/>
        </w:rPr>
        <w:t>招标方对本合同设备进行驻厂监造。招标方的工厂监造和检验工作，不减少制造厂对产品的质量责任，监造和检验人员不签署任何质量证明。</w:t>
      </w:r>
    </w:p>
    <w:p w14:paraId="101E2BE4">
      <w:pPr>
        <w:pStyle w:val="152"/>
        <w:adjustRightInd w:val="0"/>
        <w:snapToGrid w:val="0"/>
        <w:spacing w:line="360" w:lineRule="auto"/>
        <w:rPr>
          <w:szCs w:val="21"/>
        </w:rPr>
      </w:pPr>
      <w:r>
        <w:rPr>
          <w:rFonts w:hint="eastAsia" w:ascii="宋体" w:hAnsi="宋体"/>
          <w:szCs w:val="21"/>
        </w:rPr>
        <w:t>投标方应至少在出厂试验前一个月提供试验方案供审查，试验方案中应包括试验方法及判断标准、试验顺序、试验仪器清单及校验等信息。出厂试验项目应包含合同要求的全部出厂试验项目及相关标准要求的例行试验项目。</w:t>
      </w:r>
    </w:p>
    <w:p w14:paraId="70867642">
      <w:pPr>
        <w:pStyle w:val="152"/>
        <w:adjustRightInd w:val="0"/>
        <w:snapToGrid w:val="0"/>
        <w:spacing w:line="360" w:lineRule="auto"/>
        <w:rPr>
          <w:szCs w:val="21"/>
        </w:rPr>
      </w:pPr>
      <w:r>
        <w:rPr>
          <w:rFonts w:hint="eastAsia" w:ascii="宋体" w:hAnsi="宋体"/>
          <w:szCs w:val="21"/>
        </w:rPr>
        <w:t>设备准备发运前，投标方应联合设备监造人员完成本合同发运准备情况核查。</w:t>
      </w:r>
    </w:p>
    <w:p w14:paraId="7173B729">
      <w:pPr>
        <w:pStyle w:val="152"/>
        <w:adjustRightInd w:val="0"/>
        <w:snapToGrid w:val="0"/>
        <w:spacing w:line="360" w:lineRule="auto"/>
        <w:rPr>
          <w:szCs w:val="21"/>
        </w:rPr>
      </w:pPr>
      <w:r>
        <w:rPr>
          <w:rFonts w:hint="eastAsia"/>
          <w:szCs w:val="21"/>
        </w:rPr>
        <w:t>1、</w:t>
      </w:r>
      <w:r>
        <w:rPr>
          <w:rFonts w:hint="eastAsia" w:ascii="宋体" w:hAnsi="宋体"/>
          <w:szCs w:val="21"/>
        </w:rPr>
        <w:t>设计校核。</w:t>
      </w:r>
    </w:p>
    <w:p w14:paraId="7F46A364">
      <w:pPr>
        <w:pStyle w:val="152"/>
        <w:adjustRightInd w:val="0"/>
        <w:snapToGrid w:val="0"/>
        <w:spacing w:line="360" w:lineRule="auto"/>
        <w:rPr>
          <w:szCs w:val="21"/>
        </w:rPr>
      </w:pPr>
      <w:r>
        <w:rPr>
          <w:rFonts w:hint="eastAsia"/>
          <w:szCs w:val="21"/>
        </w:rPr>
        <w:t>2、</w:t>
      </w:r>
      <w:r>
        <w:rPr>
          <w:rFonts w:hint="eastAsia" w:ascii="宋体" w:hAnsi="宋体"/>
          <w:szCs w:val="21"/>
        </w:rPr>
        <w:t>设备的型式试验报告、预鉴定试验报告与工厂试验报告。</w:t>
      </w:r>
    </w:p>
    <w:p w14:paraId="53F72B23">
      <w:pPr>
        <w:pStyle w:val="152"/>
        <w:adjustRightInd w:val="0"/>
        <w:snapToGrid w:val="0"/>
        <w:spacing w:line="360" w:lineRule="auto"/>
        <w:rPr>
          <w:szCs w:val="21"/>
        </w:rPr>
      </w:pPr>
      <w:r>
        <w:rPr>
          <w:rFonts w:hint="eastAsia"/>
          <w:szCs w:val="21"/>
        </w:rPr>
        <w:t>3、</w:t>
      </w:r>
      <w:r>
        <w:rPr>
          <w:rFonts w:hint="eastAsia" w:ascii="宋体" w:hAnsi="宋体"/>
          <w:szCs w:val="21"/>
        </w:rPr>
        <w:t>组部件的厂内组装及试验。</w:t>
      </w:r>
    </w:p>
    <w:p w14:paraId="4C3EC8A3">
      <w:pPr>
        <w:pStyle w:val="152"/>
        <w:adjustRightInd w:val="0"/>
        <w:snapToGrid w:val="0"/>
        <w:spacing w:line="360" w:lineRule="auto"/>
        <w:rPr>
          <w:szCs w:val="21"/>
        </w:rPr>
      </w:pPr>
      <w:r>
        <w:rPr>
          <w:rFonts w:hint="eastAsia"/>
          <w:szCs w:val="21"/>
        </w:rPr>
        <w:t>4、</w:t>
      </w:r>
      <w:r>
        <w:rPr>
          <w:rFonts w:hint="eastAsia" w:ascii="宋体" w:hAnsi="宋体"/>
          <w:szCs w:val="21"/>
        </w:rPr>
        <w:t>其它重要外协、外购件的质量和数量的检查。必要时招标方</w:t>
      </w:r>
      <w:r>
        <w:rPr>
          <w:rFonts w:hint="eastAsia"/>
          <w:szCs w:val="21"/>
        </w:rPr>
        <w:t>/</w:t>
      </w:r>
      <w:r>
        <w:rPr>
          <w:rFonts w:hint="eastAsia" w:ascii="宋体" w:hAnsi="宋体"/>
          <w:szCs w:val="21"/>
        </w:rPr>
        <w:t>招标方代表有权到元器件、零部件生产商厂进行监督和检验。</w:t>
      </w:r>
    </w:p>
    <w:p w14:paraId="1FA3F6C6">
      <w:pPr>
        <w:pStyle w:val="152"/>
        <w:adjustRightInd w:val="0"/>
        <w:snapToGrid w:val="0"/>
        <w:spacing w:line="360" w:lineRule="auto"/>
        <w:rPr>
          <w:szCs w:val="21"/>
        </w:rPr>
      </w:pPr>
      <w:r>
        <w:rPr>
          <w:rFonts w:hint="eastAsia"/>
          <w:szCs w:val="21"/>
        </w:rPr>
        <w:t>5、</w:t>
      </w:r>
      <w:r>
        <w:rPr>
          <w:rFonts w:hint="eastAsia" w:ascii="宋体" w:hAnsi="宋体"/>
          <w:szCs w:val="21"/>
        </w:rPr>
        <w:t>合同设备的包装质量的检查。</w:t>
      </w:r>
    </w:p>
    <w:p w14:paraId="703ED06F">
      <w:pPr>
        <w:pStyle w:val="152"/>
        <w:adjustRightInd w:val="0"/>
        <w:snapToGrid w:val="0"/>
        <w:spacing w:line="360" w:lineRule="auto"/>
        <w:rPr>
          <w:szCs w:val="21"/>
        </w:rPr>
      </w:pPr>
      <w:r>
        <w:rPr>
          <w:rFonts w:hint="eastAsia"/>
          <w:szCs w:val="21"/>
        </w:rPr>
        <w:t>1</w:t>
      </w:r>
      <w:r>
        <w:rPr>
          <w:szCs w:val="21"/>
        </w:rPr>
        <w:t>0</w:t>
      </w:r>
      <w:r>
        <w:rPr>
          <w:rFonts w:hint="eastAsia"/>
          <w:szCs w:val="21"/>
        </w:rPr>
        <w:t>.1.2</w:t>
      </w:r>
      <w:r>
        <w:rPr>
          <w:rFonts w:hint="eastAsia" w:ascii="宋体" w:hAnsi="宋体"/>
          <w:szCs w:val="21"/>
        </w:rPr>
        <w:t>投标方应向监造者提供下列资料：</w:t>
      </w:r>
    </w:p>
    <w:p w14:paraId="34CF2F9B">
      <w:pPr>
        <w:pStyle w:val="152"/>
        <w:adjustRightInd w:val="0"/>
        <w:snapToGrid w:val="0"/>
        <w:spacing w:line="360" w:lineRule="auto"/>
        <w:rPr>
          <w:szCs w:val="21"/>
        </w:rPr>
      </w:pPr>
      <w:r>
        <w:rPr>
          <w:rFonts w:hint="eastAsia"/>
          <w:szCs w:val="21"/>
        </w:rPr>
        <w:t>1、</w:t>
      </w:r>
      <w:r>
        <w:rPr>
          <w:rFonts w:hint="eastAsia" w:ascii="宋体" w:hAnsi="宋体"/>
          <w:szCs w:val="21"/>
        </w:rPr>
        <w:t>重要的原材料的物理、化学特性和型号及必要的工厂检验报告；</w:t>
      </w:r>
    </w:p>
    <w:p w14:paraId="0B621BC3">
      <w:pPr>
        <w:pStyle w:val="152"/>
        <w:adjustRightInd w:val="0"/>
        <w:snapToGrid w:val="0"/>
        <w:spacing w:line="360" w:lineRule="auto"/>
        <w:rPr>
          <w:szCs w:val="21"/>
        </w:rPr>
      </w:pPr>
      <w:r>
        <w:rPr>
          <w:rFonts w:hint="eastAsia"/>
          <w:szCs w:val="21"/>
        </w:rPr>
        <w:t>2、</w:t>
      </w:r>
      <w:r>
        <w:rPr>
          <w:rFonts w:hint="eastAsia" w:ascii="宋体" w:hAnsi="宋体"/>
          <w:szCs w:val="21"/>
        </w:rPr>
        <w:t>重要零部件和附件的验收试验报告及重要零部件和附件的全部出厂试验报告及入厂检查记录；</w:t>
      </w:r>
    </w:p>
    <w:p w14:paraId="4DCFC222">
      <w:pPr>
        <w:pStyle w:val="152"/>
        <w:adjustRightInd w:val="0"/>
        <w:snapToGrid w:val="0"/>
        <w:spacing w:line="360" w:lineRule="auto"/>
        <w:rPr>
          <w:szCs w:val="21"/>
        </w:rPr>
      </w:pPr>
      <w:r>
        <w:rPr>
          <w:rFonts w:hint="eastAsia"/>
          <w:szCs w:val="21"/>
        </w:rPr>
        <w:t>3、</w:t>
      </w:r>
      <w:r>
        <w:rPr>
          <w:rFonts w:hint="eastAsia" w:ascii="宋体" w:hAnsi="宋体"/>
          <w:szCs w:val="21"/>
        </w:rPr>
        <w:t>设备型式试验报告、设备出厂试验报告、半成品试验报告；</w:t>
      </w:r>
    </w:p>
    <w:p w14:paraId="36577854">
      <w:pPr>
        <w:pStyle w:val="152"/>
        <w:adjustRightInd w:val="0"/>
        <w:snapToGrid w:val="0"/>
        <w:spacing w:line="360" w:lineRule="auto"/>
        <w:rPr>
          <w:szCs w:val="21"/>
        </w:rPr>
      </w:pPr>
      <w:r>
        <w:rPr>
          <w:rFonts w:hint="eastAsia"/>
          <w:szCs w:val="21"/>
        </w:rPr>
        <w:t>4、</w:t>
      </w:r>
      <w:r>
        <w:rPr>
          <w:rFonts w:hint="eastAsia" w:ascii="宋体" w:hAnsi="宋体"/>
          <w:szCs w:val="21"/>
        </w:rPr>
        <w:t>产品改进和完善的技术报告；</w:t>
      </w:r>
    </w:p>
    <w:p w14:paraId="54B01085">
      <w:pPr>
        <w:pStyle w:val="152"/>
        <w:adjustRightInd w:val="0"/>
        <w:snapToGrid w:val="0"/>
        <w:spacing w:line="360" w:lineRule="auto"/>
        <w:rPr>
          <w:szCs w:val="21"/>
        </w:rPr>
      </w:pPr>
      <w:r>
        <w:rPr>
          <w:rFonts w:hint="eastAsia"/>
          <w:szCs w:val="21"/>
        </w:rPr>
        <w:t>5、</w:t>
      </w:r>
      <w:r>
        <w:rPr>
          <w:rFonts w:hint="eastAsia" w:ascii="宋体" w:hAnsi="宋体"/>
          <w:szCs w:val="21"/>
        </w:rPr>
        <w:t>与元器件、零部件生产商厂的技术协议和分包合同副本；</w:t>
      </w:r>
    </w:p>
    <w:p w14:paraId="0176AEA3">
      <w:pPr>
        <w:pStyle w:val="152"/>
        <w:adjustRightInd w:val="0"/>
        <w:snapToGrid w:val="0"/>
        <w:spacing w:line="360" w:lineRule="auto"/>
        <w:rPr>
          <w:szCs w:val="21"/>
        </w:rPr>
      </w:pPr>
      <w:r>
        <w:rPr>
          <w:rFonts w:hint="eastAsia"/>
          <w:szCs w:val="21"/>
        </w:rPr>
        <w:t>6、</w:t>
      </w:r>
      <w:r>
        <w:rPr>
          <w:rFonts w:hint="eastAsia" w:ascii="宋体" w:hAnsi="宋体"/>
          <w:szCs w:val="21"/>
        </w:rPr>
        <w:t>合同设备的技术文件；</w:t>
      </w:r>
    </w:p>
    <w:p w14:paraId="41166168">
      <w:pPr>
        <w:pStyle w:val="152"/>
        <w:adjustRightInd w:val="0"/>
        <w:snapToGrid w:val="0"/>
        <w:spacing w:line="360" w:lineRule="auto"/>
        <w:rPr>
          <w:szCs w:val="21"/>
        </w:rPr>
      </w:pPr>
      <w:r>
        <w:rPr>
          <w:rFonts w:hint="eastAsia"/>
          <w:szCs w:val="21"/>
        </w:rPr>
        <w:t>7、</w:t>
      </w:r>
      <w:r>
        <w:rPr>
          <w:rFonts w:hint="eastAsia" w:ascii="宋体" w:hAnsi="宋体"/>
          <w:szCs w:val="21"/>
        </w:rPr>
        <w:t>设备的生产进度表；</w:t>
      </w:r>
    </w:p>
    <w:p w14:paraId="12A3A37C">
      <w:pPr>
        <w:pStyle w:val="152"/>
        <w:adjustRightInd w:val="0"/>
        <w:snapToGrid w:val="0"/>
        <w:spacing w:line="360" w:lineRule="auto"/>
        <w:rPr>
          <w:szCs w:val="21"/>
        </w:rPr>
      </w:pPr>
      <w:r>
        <w:rPr>
          <w:rFonts w:hint="eastAsia"/>
          <w:szCs w:val="21"/>
        </w:rPr>
        <w:t>8、</w:t>
      </w:r>
      <w:r>
        <w:rPr>
          <w:rFonts w:hint="eastAsia" w:ascii="宋体" w:hAnsi="宋体"/>
          <w:szCs w:val="21"/>
        </w:rPr>
        <w:t>设备制造过程中出现的质量问题的备忘录；</w:t>
      </w:r>
    </w:p>
    <w:p w14:paraId="2AC37CAD">
      <w:pPr>
        <w:pStyle w:val="152"/>
        <w:adjustRightInd w:val="0"/>
        <w:snapToGrid w:val="0"/>
        <w:spacing w:line="360" w:lineRule="auto"/>
        <w:rPr>
          <w:szCs w:val="21"/>
        </w:rPr>
      </w:pPr>
      <w:r>
        <w:rPr>
          <w:rFonts w:hint="eastAsia"/>
          <w:szCs w:val="21"/>
        </w:rPr>
        <w:t>9</w:t>
      </w:r>
      <w:r>
        <w:rPr>
          <w:rFonts w:hint="eastAsia" w:ascii="宋体" w:hAnsi="宋体"/>
          <w:szCs w:val="21"/>
        </w:rPr>
        <w:t>、特种作业人员资质；</w:t>
      </w:r>
    </w:p>
    <w:p w14:paraId="2892CE45">
      <w:pPr>
        <w:pStyle w:val="152"/>
        <w:adjustRightInd w:val="0"/>
        <w:snapToGrid w:val="0"/>
        <w:spacing w:line="360" w:lineRule="auto"/>
        <w:rPr>
          <w:szCs w:val="21"/>
        </w:rPr>
      </w:pPr>
      <w:r>
        <w:rPr>
          <w:rFonts w:hint="eastAsia"/>
          <w:szCs w:val="21"/>
        </w:rPr>
        <w:t>10、</w:t>
      </w:r>
      <w:r>
        <w:rPr>
          <w:rFonts w:hint="eastAsia" w:ascii="宋体" w:hAnsi="宋体"/>
          <w:szCs w:val="21"/>
        </w:rPr>
        <w:t>试验设备及仪器的第三方机构出具的检定（需满足法定</w:t>
      </w:r>
      <w:r>
        <w:rPr>
          <w:rFonts w:hint="eastAsia"/>
          <w:szCs w:val="21"/>
        </w:rPr>
        <w:t>/</w:t>
      </w:r>
      <w:r>
        <w:rPr>
          <w:rFonts w:hint="eastAsia" w:ascii="宋体" w:hAnsi="宋体"/>
          <w:szCs w:val="21"/>
        </w:rPr>
        <w:t>行业规定）或校准证书；</w:t>
      </w:r>
    </w:p>
    <w:p w14:paraId="22FFE33E">
      <w:pPr>
        <w:pStyle w:val="152"/>
        <w:adjustRightInd w:val="0"/>
        <w:snapToGrid w:val="0"/>
        <w:spacing w:line="360" w:lineRule="auto"/>
        <w:rPr>
          <w:szCs w:val="21"/>
        </w:rPr>
      </w:pPr>
      <w:r>
        <w:rPr>
          <w:rFonts w:hint="eastAsia"/>
          <w:szCs w:val="21"/>
        </w:rPr>
        <w:t>11、</w:t>
      </w:r>
      <w:r>
        <w:rPr>
          <w:rFonts w:hint="eastAsia" w:ascii="宋体" w:hAnsi="宋体"/>
          <w:szCs w:val="21"/>
        </w:rPr>
        <w:t>试验方案、图纸、计划、邀请函。</w:t>
      </w:r>
    </w:p>
    <w:p w14:paraId="4DBD8183">
      <w:pPr>
        <w:pStyle w:val="152"/>
        <w:adjustRightInd w:val="0"/>
        <w:snapToGrid w:val="0"/>
        <w:spacing w:line="360" w:lineRule="auto"/>
        <w:rPr>
          <w:szCs w:val="21"/>
        </w:rPr>
      </w:pPr>
      <w:r>
        <w:rPr>
          <w:rFonts w:hint="eastAsia"/>
          <w:szCs w:val="21"/>
        </w:rPr>
        <w:t>12、投标方</w:t>
      </w:r>
      <w:r>
        <w:rPr>
          <w:rFonts w:hint="eastAsia" w:ascii="宋体" w:hAnsi="宋体"/>
          <w:szCs w:val="21"/>
        </w:rPr>
        <w:t>三标管理体系证书。</w:t>
      </w:r>
    </w:p>
    <w:p w14:paraId="7A1E5D12">
      <w:pPr>
        <w:pStyle w:val="152"/>
        <w:adjustRightInd w:val="0"/>
        <w:snapToGrid w:val="0"/>
        <w:spacing w:line="360" w:lineRule="auto"/>
        <w:rPr>
          <w:szCs w:val="21"/>
        </w:rPr>
      </w:pPr>
      <w:r>
        <w:rPr>
          <w:rFonts w:hint="eastAsia"/>
          <w:szCs w:val="21"/>
        </w:rPr>
        <w:t>1</w:t>
      </w:r>
      <w:r>
        <w:rPr>
          <w:szCs w:val="21"/>
        </w:rPr>
        <w:t>0</w:t>
      </w:r>
      <w:r>
        <w:rPr>
          <w:rFonts w:hint="eastAsia"/>
          <w:szCs w:val="21"/>
        </w:rPr>
        <w:t>.1.3</w:t>
      </w:r>
      <w:r>
        <w:rPr>
          <w:rFonts w:hint="eastAsia" w:ascii="宋体" w:hAnsi="宋体"/>
          <w:szCs w:val="21"/>
        </w:rPr>
        <w:t>招标方若需对重要组件或零件进行延伸监造（关键点见证），投标方应配合及协调对元器件、零部件生产商厂的延伸监造工作。</w:t>
      </w:r>
    </w:p>
    <w:p w14:paraId="79E57D9D">
      <w:pPr>
        <w:pStyle w:val="152"/>
        <w:adjustRightInd w:val="0"/>
        <w:snapToGrid w:val="0"/>
        <w:spacing w:line="360" w:lineRule="auto"/>
      </w:pPr>
      <w:r>
        <w:rPr>
          <w:rFonts w:hint="eastAsia"/>
          <w:szCs w:val="21"/>
        </w:rPr>
        <w:t>1</w:t>
      </w:r>
      <w:r>
        <w:rPr>
          <w:szCs w:val="21"/>
        </w:rPr>
        <w:t>0</w:t>
      </w:r>
      <w:r>
        <w:rPr>
          <w:rFonts w:hint="eastAsia"/>
          <w:szCs w:val="21"/>
        </w:rPr>
        <w:t>.1.4</w:t>
      </w:r>
      <w:r>
        <w:rPr>
          <w:rFonts w:hint="eastAsia" w:ascii="宋体" w:hAnsi="宋体"/>
          <w:szCs w:val="21"/>
        </w:rPr>
        <w:t>在设备生产制造全过程，投标方需配合招标方开展“远程监造”等新型技术手段在监造工作中的应用，包括但不限于配合做好生产过程数据、试验数据实时采集及生产过程视频监控。</w:t>
      </w:r>
    </w:p>
    <w:p w14:paraId="7410D676">
      <w:pPr>
        <w:adjustRightInd w:val="0"/>
        <w:snapToGrid w:val="0"/>
        <w:spacing w:line="360" w:lineRule="auto"/>
        <w:ind w:firstLine="420" w:firstLineChars="200"/>
        <w:rPr>
          <w:szCs w:val="21"/>
        </w:rPr>
      </w:pPr>
      <w:r>
        <w:rPr>
          <w:rFonts w:hint="eastAsia"/>
          <w:szCs w:val="21"/>
        </w:rPr>
        <w:t>海缆制造过程需见证以下关键点。</w:t>
      </w:r>
    </w:p>
    <w:p w14:paraId="45005265">
      <w:pPr>
        <w:adjustRightInd w:val="0"/>
        <w:snapToGrid w:val="0"/>
        <w:spacing w:line="360" w:lineRule="auto"/>
        <w:jc w:val="center"/>
        <w:rPr>
          <w:szCs w:val="21"/>
        </w:rPr>
      </w:pPr>
      <w:r>
        <w:rPr>
          <w:rFonts w:hint="eastAsia"/>
          <w:szCs w:val="21"/>
        </w:rPr>
        <w:t>表10-1 关键点设置表</w:t>
      </w:r>
    </w:p>
    <w:tbl>
      <w:tblPr>
        <w:tblStyle w:val="85"/>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916"/>
        <w:gridCol w:w="2504"/>
        <w:gridCol w:w="1015"/>
        <w:gridCol w:w="993"/>
        <w:gridCol w:w="993"/>
        <w:gridCol w:w="1475"/>
      </w:tblGrid>
      <w:tr w14:paraId="63615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restart"/>
            <w:tcBorders>
              <w:top w:val="single" w:color="auto" w:sz="4" w:space="0"/>
              <w:left w:val="single" w:color="auto" w:sz="4" w:space="0"/>
              <w:right w:val="single" w:color="auto" w:sz="4" w:space="0"/>
            </w:tcBorders>
            <w:vAlign w:val="center"/>
          </w:tcPr>
          <w:p w14:paraId="3865CB54">
            <w:pPr>
              <w:spacing w:after="120"/>
              <w:jc w:val="center"/>
              <w:rPr>
                <w:b/>
                <w:color w:val="000000"/>
                <w:szCs w:val="21"/>
              </w:rPr>
            </w:pPr>
            <w:r>
              <w:rPr>
                <w:rFonts w:ascii="宋体" w:hAnsi="宋体"/>
                <w:b/>
                <w:color w:val="000000"/>
              </w:rPr>
              <w:t>序号</w:t>
            </w:r>
          </w:p>
        </w:tc>
        <w:tc>
          <w:tcPr>
            <w:tcW w:w="916" w:type="dxa"/>
            <w:vMerge w:val="restart"/>
            <w:tcBorders>
              <w:top w:val="single" w:color="auto" w:sz="4" w:space="0"/>
              <w:left w:val="single" w:color="auto" w:sz="4" w:space="0"/>
              <w:right w:val="single" w:color="auto" w:sz="4" w:space="0"/>
            </w:tcBorders>
            <w:vAlign w:val="center"/>
          </w:tcPr>
          <w:p w14:paraId="343618CD">
            <w:pPr>
              <w:spacing w:after="120"/>
              <w:jc w:val="center"/>
              <w:rPr>
                <w:b/>
                <w:color w:val="000000"/>
              </w:rPr>
            </w:pPr>
            <w:r>
              <w:rPr>
                <w:rFonts w:ascii="宋体" w:hAnsi="宋体"/>
                <w:b/>
                <w:color w:val="000000"/>
              </w:rPr>
              <w:t>项目</w:t>
            </w:r>
          </w:p>
        </w:tc>
        <w:tc>
          <w:tcPr>
            <w:tcW w:w="2504" w:type="dxa"/>
            <w:vMerge w:val="restart"/>
            <w:tcBorders>
              <w:top w:val="single" w:color="auto" w:sz="4" w:space="0"/>
              <w:left w:val="single" w:color="auto" w:sz="4" w:space="0"/>
              <w:right w:val="single" w:color="auto" w:sz="4" w:space="0"/>
            </w:tcBorders>
            <w:vAlign w:val="center"/>
          </w:tcPr>
          <w:p w14:paraId="1A624EA9">
            <w:pPr>
              <w:spacing w:after="120"/>
              <w:jc w:val="center"/>
              <w:rPr>
                <w:b/>
                <w:color w:val="000000"/>
              </w:rPr>
            </w:pPr>
            <w:r>
              <w:rPr>
                <w:rFonts w:hint="eastAsia" w:ascii="宋体" w:hAnsi="宋体"/>
                <w:b/>
                <w:color w:val="000000"/>
              </w:rPr>
              <w:t>见证</w:t>
            </w:r>
            <w:r>
              <w:rPr>
                <w:rFonts w:ascii="宋体" w:hAnsi="宋体"/>
                <w:b/>
                <w:color w:val="000000"/>
              </w:rPr>
              <w:t>内容</w:t>
            </w:r>
          </w:p>
        </w:tc>
        <w:tc>
          <w:tcPr>
            <w:tcW w:w="3001" w:type="dxa"/>
            <w:gridSpan w:val="3"/>
            <w:tcBorders>
              <w:top w:val="single" w:color="auto" w:sz="4" w:space="0"/>
              <w:left w:val="single" w:color="auto" w:sz="4" w:space="0"/>
              <w:bottom w:val="single" w:color="auto" w:sz="4" w:space="0"/>
              <w:right w:val="single" w:color="auto" w:sz="4" w:space="0"/>
            </w:tcBorders>
            <w:vAlign w:val="center"/>
          </w:tcPr>
          <w:p w14:paraId="4870693C">
            <w:pPr>
              <w:spacing w:after="120"/>
              <w:jc w:val="center"/>
              <w:rPr>
                <w:b/>
                <w:color w:val="000000"/>
              </w:rPr>
            </w:pPr>
            <w:r>
              <w:rPr>
                <w:rFonts w:hint="eastAsia" w:ascii="宋体" w:hAnsi="宋体"/>
                <w:b/>
                <w:color w:val="000000"/>
              </w:rPr>
              <w:t>见证方式</w:t>
            </w:r>
          </w:p>
        </w:tc>
        <w:tc>
          <w:tcPr>
            <w:tcW w:w="1475" w:type="dxa"/>
            <w:vMerge w:val="restart"/>
            <w:tcBorders>
              <w:top w:val="single" w:color="auto" w:sz="4" w:space="0"/>
              <w:left w:val="single" w:color="auto" w:sz="4" w:space="0"/>
              <w:right w:val="single" w:color="auto" w:sz="4" w:space="0"/>
            </w:tcBorders>
            <w:vAlign w:val="center"/>
          </w:tcPr>
          <w:p w14:paraId="1B81F359">
            <w:pPr>
              <w:spacing w:after="120"/>
              <w:jc w:val="center"/>
              <w:rPr>
                <w:b/>
                <w:color w:val="000000"/>
              </w:rPr>
            </w:pPr>
            <w:r>
              <w:rPr>
                <w:rFonts w:hint="eastAsia" w:ascii="宋体" w:hAnsi="宋体"/>
                <w:b/>
                <w:color w:val="000000"/>
              </w:rPr>
              <w:t>缺陷分级</w:t>
            </w:r>
          </w:p>
        </w:tc>
      </w:tr>
      <w:tr w14:paraId="0C61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bottom w:val="single" w:color="auto" w:sz="4" w:space="0"/>
              <w:right w:val="single" w:color="auto" w:sz="4" w:space="0"/>
            </w:tcBorders>
            <w:vAlign w:val="center"/>
          </w:tcPr>
          <w:p w14:paraId="28E9F56A">
            <w:pPr>
              <w:spacing w:after="120"/>
              <w:ind w:left="420"/>
              <w:jc w:val="center"/>
              <w:rPr>
                <w:b/>
                <w:color w:val="000000"/>
              </w:rPr>
            </w:pPr>
          </w:p>
        </w:tc>
        <w:tc>
          <w:tcPr>
            <w:tcW w:w="916" w:type="dxa"/>
            <w:vMerge w:val="continue"/>
            <w:tcBorders>
              <w:left w:val="single" w:color="auto" w:sz="4" w:space="0"/>
              <w:bottom w:val="single" w:color="auto" w:sz="4" w:space="0"/>
              <w:right w:val="single" w:color="auto" w:sz="4" w:space="0"/>
            </w:tcBorders>
            <w:vAlign w:val="center"/>
          </w:tcPr>
          <w:p w14:paraId="3278A9A4">
            <w:pPr>
              <w:spacing w:after="156"/>
              <w:ind w:left="420"/>
              <w:jc w:val="center"/>
              <w:rPr>
                <w:b/>
                <w:color w:val="000000"/>
              </w:rPr>
            </w:pPr>
          </w:p>
        </w:tc>
        <w:tc>
          <w:tcPr>
            <w:tcW w:w="2504" w:type="dxa"/>
            <w:vMerge w:val="continue"/>
            <w:tcBorders>
              <w:left w:val="single" w:color="auto" w:sz="4" w:space="0"/>
              <w:bottom w:val="single" w:color="auto" w:sz="4" w:space="0"/>
              <w:right w:val="single" w:color="auto" w:sz="4" w:space="0"/>
            </w:tcBorders>
            <w:vAlign w:val="center"/>
          </w:tcPr>
          <w:p w14:paraId="5A10D304">
            <w:pPr>
              <w:spacing w:after="156"/>
              <w:ind w:left="420"/>
              <w:jc w:val="center"/>
              <w:rPr>
                <w:b/>
                <w:color w:val="000000"/>
              </w:rPr>
            </w:pPr>
          </w:p>
        </w:tc>
        <w:tc>
          <w:tcPr>
            <w:tcW w:w="1015" w:type="dxa"/>
            <w:tcBorders>
              <w:top w:val="single" w:color="auto" w:sz="4" w:space="0"/>
              <w:left w:val="single" w:color="auto" w:sz="4" w:space="0"/>
              <w:bottom w:val="single" w:color="auto" w:sz="4" w:space="0"/>
              <w:right w:val="single" w:color="auto" w:sz="4" w:space="0"/>
            </w:tcBorders>
            <w:vAlign w:val="center"/>
          </w:tcPr>
          <w:p w14:paraId="527C2382">
            <w:pPr>
              <w:spacing w:after="120"/>
              <w:jc w:val="center"/>
              <w:rPr>
                <w:b/>
                <w:color w:val="000000"/>
              </w:rPr>
            </w:pPr>
            <w:r>
              <w:rPr>
                <w:b/>
                <w:color w:val="000000"/>
              </w:rPr>
              <w:t>H</w:t>
            </w:r>
            <w:r>
              <w:rPr>
                <w:rFonts w:hint="eastAsia" w:ascii="宋体" w:hAnsi="宋体"/>
                <w:b/>
                <w:color w:val="000000"/>
              </w:rPr>
              <w:t>（点）</w:t>
            </w:r>
          </w:p>
        </w:tc>
        <w:tc>
          <w:tcPr>
            <w:tcW w:w="993" w:type="dxa"/>
            <w:tcBorders>
              <w:top w:val="single" w:color="auto" w:sz="4" w:space="0"/>
              <w:left w:val="single" w:color="auto" w:sz="4" w:space="0"/>
              <w:bottom w:val="single" w:color="auto" w:sz="4" w:space="0"/>
              <w:right w:val="single" w:color="auto" w:sz="4" w:space="0"/>
            </w:tcBorders>
            <w:vAlign w:val="center"/>
          </w:tcPr>
          <w:p w14:paraId="7F6B1102">
            <w:pPr>
              <w:spacing w:after="120"/>
              <w:jc w:val="center"/>
              <w:rPr>
                <w:b/>
                <w:color w:val="000000"/>
              </w:rPr>
            </w:pPr>
            <w:r>
              <w:rPr>
                <w:b/>
                <w:color w:val="000000"/>
              </w:rPr>
              <w:t>W</w:t>
            </w:r>
            <w:r>
              <w:rPr>
                <w:rFonts w:hint="eastAsia" w:ascii="宋体" w:hAnsi="宋体"/>
                <w:b/>
                <w:color w:val="000000"/>
              </w:rPr>
              <w:t>（点）</w:t>
            </w:r>
          </w:p>
        </w:tc>
        <w:tc>
          <w:tcPr>
            <w:tcW w:w="993" w:type="dxa"/>
            <w:tcBorders>
              <w:top w:val="single" w:color="auto" w:sz="4" w:space="0"/>
              <w:left w:val="single" w:color="auto" w:sz="4" w:space="0"/>
              <w:bottom w:val="single" w:color="auto" w:sz="4" w:space="0"/>
              <w:right w:val="single" w:color="auto" w:sz="4" w:space="0"/>
            </w:tcBorders>
            <w:vAlign w:val="center"/>
          </w:tcPr>
          <w:p w14:paraId="49787150">
            <w:pPr>
              <w:spacing w:after="120"/>
              <w:jc w:val="center"/>
              <w:rPr>
                <w:b/>
                <w:color w:val="000000"/>
              </w:rPr>
            </w:pPr>
            <w:r>
              <w:rPr>
                <w:b/>
                <w:color w:val="000000"/>
              </w:rPr>
              <w:t>S</w:t>
            </w:r>
            <w:r>
              <w:rPr>
                <w:rFonts w:hint="eastAsia" w:ascii="宋体" w:hAnsi="宋体"/>
                <w:b/>
                <w:color w:val="000000"/>
              </w:rPr>
              <w:t>（点）</w:t>
            </w:r>
          </w:p>
        </w:tc>
        <w:tc>
          <w:tcPr>
            <w:tcW w:w="1475" w:type="dxa"/>
            <w:vMerge w:val="continue"/>
            <w:tcBorders>
              <w:left w:val="single" w:color="auto" w:sz="4" w:space="0"/>
              <w:bottom w:val="single" w:color="auto" w:sz="4" w:space="0"/>
              <w:right w:val="single" w:color="auto" w:sz="4" w:space="0"/>
            </w:tcBorders>
          </w:tcPr>
          <w:p w14:paraId="2C9FE002">
            <w:pPr>
              <w:spacing w:after="120"/>
              <w:jc w:val="center"/>
              <w:rPr>
                <w:b/>
                <w:color w:val="000000"/>
              </w:rPr>
            </w:pPr>
          </w:p>
        </w:tc>
      </w:tr>
      <w:tr w14:paraId="3452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restart"/>
            <w:tcBorders>
              <w:top w:val="single" w:color="auto" w:sz="4" w:space="0"/>
              <w:left w:val="single" w:color="auto" w:sz="4" w:space="0"/>
              <w:right w:val="single" w:color="auto" w:sz="4" w:space="0"/>
            </w:tcBorders>
            <w:vAlign w:val="center"/>
          </w:tcPr>
          <w:p w14:paraId="10AB85EF">
            <w:pPr>
              <w:spacing w:after="120"/>
              <w:jc w:val="center"/>
              <w:rPr>
                <w:rFonts w:ascii="宋体" w:hAnsi="宋体"/>
                <w:color w:val="000000"/>
              </w:rPr>
            </w:pPr>
            <w:r>
              <w:rPr>
                <w:rFonts w:hint="eastAsia"/>
                <w:color w:val="000000"/>
              </w:rPr>
              <w:t>1</w:t>
            </w:r>
          </w:p>
        </w:tc>
        <w:tc>
          <w:tcPr>
            <w:tcW w:w="916" w:type="dxa"/>
            <w:vMerge w:val="restart"/>
            <w:tcBorders>
              <w:top w:val="single" w:color="auto" w:sz="4" w:space="0"/>
              <w:left w:val="single" w:color="auto" w:sz="4" w:space="0"/>
              <w:right w:val="single" w:color="auto" w:sz="4" w:space="0"/>
            </w:tcBorders>
            <w:vAlign w:val="center"/>
          </w:tcPr>
          <w:p w14:paraId="1F3DDC92">
            <w:pPr>
              <w:spacing w:after="156"/>
              <w:jc w:val="center"/>
              <w:rPr>
                <w:rFonts w:ascii="宋体" w:hAnsi="宋体"/>
                <w:color w:val="000000"/>
              </w:rPr>
            </w:pPr>
            <w:r>
              <w:rPr>
                <w:rFonts w:hint="eastAsia" w:ascii="宋体" w:hAnsi="宋体"/>
                <w:color w:val="000000"/>
              </w:rPr>
              <w:t>供应商质量体系运转审查及工厂巡检</w:t>
            </w:r>
          </w:p>
        </w:tc>
        <w:tc>
          <w:tcPr>
            <w:tcW w:w="2504" w:type="dxa"/>
            <w:tcBorders>
              <w:top w:val="single" w:color="auto" w:sz="4" w:space="0"/>
              <w:left w:val="single" w:color="auto" w:sz="4" w:space="0"/>
              <w:bottom w:val="single" w:color="auto" w:sz="4" w:space="0"/>
              <w:right w:val="single" w:color="auto" w:sz="4" w:space="0"/>
            </w:tcBorders>
            <w:vAlign w:val="center"/>
          </w:tcPr>
          <w:p w14:paraId="2343901A">
            <w:pPr>
              <w:tabs>
                <w:tab w:val="left" w:pos="3220"/>
              </w:tabs>
              <w:spacing w:line="300" w:lineRule="auto"/>
              <w:ind w:left="2"/>
              <w:jc w:val="center"/>
              <w:rPr>
                <w:rFonts w:ascii="宋体" w:hAnsi="宋体"/>
                <w:color w:val="000000"/>
              </w:rPr>
            </w:pPr>
            <w:r>
              <w:rPr>
                <w:rFonts w:hint="eastAsia" w:ascii="宋体" w:hAnsi="宋体"/>
                <w:color w:val="000000"/>
              </w:rPr>
              <w:t>质量文件</w:t>
            </w:r>
          </w:p>
        </w:tc>
        <w:tc>
          <w:tcPr>
            <w:tcW w:w="1015" w:type="dxa"/>
            <w:tcBorders>
              <w:top w:val="single" w:color="auto" w:sz="4" w:space="0"/>
              <w:left w:val="single" w:color="auto" w:sz="4" w:space="0"/>
              <w:bottom w:val="single" w:color="auto" w:sz="4" w:space="0"/>
              <w:right w:val="single" w:color="auto" w:sz="4" w:space="0"/>
            </w:tcBorders>
            <w:vAlign w:val="center"/>
          </w:tcPr>
          <w:p w14:paraId="71FBFEB9">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6B67F1C5">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DB3086F">
            <w:pPr>
              <w:spacing w:after="156"/>
              <w:ind w:left="420"/>
              <w:jc w:val="center"/>
              <w:rPr>
                <w:color w:val="000000"/>
              </w:rPr>
            </w:pPr>
          </w:p>
        </w:tc>
        <w:tc>
          <w:tcPr>
            <w:tcW w:w="1475" w:type="dxa"/>
            <w:tcBorders>
              <w:top w:val="single" w:color="auto" w:sz="4" w:space="0"/>
              <w:left w:val="single" w:color="auto" w:sz="4" w:space="0"/>
              <w:bottom w:val="single" w:color="auto" w:sz="4" w:space="0"/>
              <w:right w:val="single" w:color="auto" w:sz="4" w:space="0"/>
            </w:tcBorders>
          </w:tcPr>
          <w:p w14:paraId="28573329">
            <w:pPr>
              <w:jc w:val="center"/>
              <w:rPr>
                <w:rFonts w:ascii="宋体" w:hAnsi="宋体"/>
                <w:color w:val="000000"/>
              </w:rPr>
            </w:pPr>
            <w:r>
              <w:rPr>
                <w:rFonts w:hint="eastAsia"/>
                <w:color w:val="000000"/>
              </w:rPr>
              <w:t>C</w:t>
            </w:r>
            <w:r>
              <w:rPr>
                <w:rFonts w:hint="eastAsia" w:ascii="宋体" w:hAnsi="宋体"/>
                <w:color w:val="000000"/>
              </w:rPr>
              <w:t>类</w:t>
            </w:r>
          </w:p>
        </w:tc>
      </w:tr>
      <w:tr w14:paraId="76AD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5CD8AF5B">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7FCC1BC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453C7AA">
            <w:pPr>
              <w:tabs>
                <w:tab w:val="left" w:pos="3220"/>
              </w:tabs>
              <w:spacing w:line="300" w:lineRule="auto"/>
              <w:ind w:left="2"/>
              <w:jc w:val="center"/>
              <w:rPr>
                <w:rFonts w:ascii="宋体" w:hAnsi="宋体"/>
                <w:color w:val="000000"/>
              </w:rPr>
            </w:pPr>
            <w:r>
              <w:rPr>
                <w:rFonts w:hint="eastAsia" w:ascii="宋体" w:hAnsi="宋体"/>
                <w:color w:val="000000"/>
              </w:rPr>
              <w:t>工艺流程卡</w:t>
            </w:r>
          </w:p>
        </w:tc>
        <w:tc>
          <w:tcPr>
            <w:tcW w:w="1015" w:type="dxa"/>
            <w:tcBorders>
              <w:top w:val="single" w:color="auto" w:sz="4" w:space="0"/>
              <w:left w:val="single" w:color="auto" w:sz="4" w:space="0"/>
              <w:bottom w:val="single" w:color="auto" w:sz="4" w:space="0"/>
              <w:right w:val="single" w:color="auto" w:sz="4" w:space="0"/>
            </w:tcBorders>
            <w:vAlign w:val="center"/>
          </w:tcPr>
          <w:p w14:paraId="2D1F9B27">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08FEB34">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1C3F0109">
            <w:pPr>
              <w:spacing w:after="156"/>
              <w:ind w:left="420"/>
              <w:jc w:val="center"/>
              <w:rPr>
                <w:color w:val="000000"/>
              </w:rPr>
            </w:pPr>
          </w:p>
        </w:tc>
        <w:tc>
          <w:tcPr>
            <w:tcW w:w="1475" w:type="dxa"/>
            <w:tcBorders>
              <w:top w:val="single" w:color="auto" w:sz="4" w:space="0"/>
              <w:left w:val="single" w:color="auto" w:sz="4" w:space="0"/>
              <w:bottom w:val="single" w:color="auto" w:sz="4" w:space="0"/>
              <w:right w:val="single" w:color="auto" w:sz="4" w:space="0"/>
            </w:tcBorders>
          </w:tcPr>
          <w:p w14:paraId="38177343">
            <w:pPr>
              <w:jc w:val="center"/>
              <w:rPr>
                <w:rFonts w:ascii="宋体" w:hAnsi="宋体"/>
                <w:color w:val="000000"/>
              </w:rPr>
            </w:pPr>
            <w:r>
              <w:rPr>
                <w:rFonts w:hint="eastAsia"/>
                <w:color w:val="000000"/>
              </w:rPr>
              <w:t>C</w:t>
            </w:r>
            <w:r>
              <w:rPr>
                <w:rFonts w:hint="eastAsia" w:ascii="宋体" w:hAnsi="宋体"/>
                <w:color w:val="000000"/>
              </w:rPr>
              <w:t>类</w:t>
            </w:r>
          </w:p>
        </w:tc>
      </w:tr>
      <w:tr w14:paraId="72DCE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EB81EF3">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78884E14">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0285492">
            <w:pPr>
              <w:tabs>
                <w:tab w:val="left" w:pos="3220"/>
              </w:tabs>
              <w:spacing w:line="300" w:lineRule="auto"/>
              <w:ind w:left="2"/>
              <w:jc w:val="center"/>
              <w:rPr>
                <w:rFonts w:ascii="宋体" w:hAnsi="宋体"/>
                <w:color w:val="000000"/>
              </w:rPr>
            </w:pPr>
            <w:r>
              <w:rPr>
                <w:rFonts w:hint="eastAsia" w:ascii="宋体" w:hAnsi="宋体"/>
                <w:color w:val="000000"/>
              </w:rPr>
              <w:t>生产团队培训、人员上岗资格</w:t>
            </w:r>
          </w:p>
        </w:tc>
        <w:tc>
          <w:tcPr>
            <w:tcW w:w="1015" w:type="dxa"/>
            <w:tcBorders>
              <w:top w:val="single" w:color="auto" w:sz="4" w:space="0"/>
              <w:left w:val="single" w:color="auto" w:sz="4" w:space="0"/>
              <w:bottom w:val="single" w:color="auto" w:sz="4" w:space="0"/>
              <w:right w:val="single" w:color="auto" w:sz="4" w:space="0"/>
            </w:tcBorders>
            <w:vAlign w:val="center"/>
          </w:tcPr>
          <w:p w14:paraId="46412FE4">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DD72946">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2574E67">
            <w:pPr>
              <w:spacing w:after="156"/>
              <w:ind w:left="420"/>
              <w:jc w:val="center"/>
              <w:rPr>
                <w:color w:val="000000"/>
              </w:rPr>
            </w:pPr>
          </w:p>
        </w:tc>
        <w:tc>
          <w:tcPr>
            <w:tcW w:w="1475" w:type="dxa"/>
            <w:tcBorders>
              <w:top w:val="single" w:color="auto" w:sz="4" w:space="0"/>
              <w:left w:val="single" w:color="auto" w:sz="4" w:space="0"/>
              <w:bottom w:val="single" w:color="auto" w:sz="4" w:space="0"/>
              <w:right w:val="single" w:color="auto" w:sz="4" w:space="0"/>
            </w:tcBorders>
          </w:tcPr>
          <w:p w14:paraId="7A679570">
            <w:pPr>
              <w:jc w:val="center"/>
              <w:rPr>
                <w:rFonts w:ascii="宋体" w:hAnsi="宋体"/>
                <w:color w:val="000000"/>
              </w:rPr>
            </w:pPr>
            <w:r>
              <w:rPr>
                <w:rFonts w:hint="eastAsia"/>
                <w:color w:val="000000"/>
              </w:rPr>
              <w:t>B</w:t>
            </w:r>
            <w:r>
              <w:rPr>
                <w:rFonts w:hint="eastAsia" w:ascii="宋体" w:hAnsi="宋体"/>
                <w:color w:val="000000"/>
              </w:rPr>
              <w:t>类</w:t>
            </w:r>
          </w:p>
        </w:tc>
      </w:tr>
      <w:tr w14:paraId="1FB8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1FFA2218">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59FABD45">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33BF602">
            <w:pPr>
              <w:tabs>
                <w:tab w:val="left" w:pos="3220"/>
              </w:tabs>
              <w:spacing w:line="300" w:lineRule="auto"/>
              <w:ind w:left="2"/>
              <w:jc w:val="center"/>
              <w:rPr>
                <w:rFonts w:ascii="宋体" w:hAnsi="宋体"/>
                <w:color w:val="000000"/>
              </w:rPr>
            </w:pPr>
            <w:r>
              <w:rPr>
                <w:rFonts w:hint="eastAsia" w:ascii="宋体" w:hAnsi="宋体"/>
                <w:color w:val="000000"/>
              </w:rPr>
              <w:t>生产环境</w:t>
            </w:r>
          </w:p>
        </w:tc>
        <w:tc>
          <w:tcPr>
            <w:tcW w:w="1015" w:type="dxa"/>
            <w:tcBorders>
              <w:top w:val="single" w:color="auto" w:sz="4" w:space="0"/>
              <w:left w:val="single" w:color="auto" w:sz="4" w:space="0"/>
              <w:bottom w:val="single" w:color="auto" w:sz="4" w:space="0"/>
              <w:right w:val="single" w:color="auto" w:sz="4" w:space="0"/>
            </w:tcBorders>
            <w:vAlign w:val="center"/>
          </w:tcPr>
          <w:p w14:paraId="2E595A75">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4F00908">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797502B">
            <w:pPr>
              <w:spacing w:after="156"/>
              <w:ind w:left="420"/>
              <w:jc w:val="center"/>
              <w:rPr>
                <w:color w:val="000000"/>
              </w:rPr>
            </w:pPr>
          </w:p>
        </w:tc>
        <w:tc>
          <w:tcPr>
            <w:tcW w:w="1475" w:type="dxa"/>
            <w:tcBorders>
              <w:top w:val="single" w:color="auto" w:sz="4" w:space="0"/>
              <w:left w:val="single" w:color="auto" w:sz="4" w:space="0"/>
              <w:bottom w:val="single" w:color="auto" w:sz="4" w:space="0"/>
              <w:right w:val="single" w:color="auto" w:sz="4" w:space="0"/>
            </w:tcBorders>
          </w:tcPr>
          <w:p w14:paraId="02EB80C7">
            <w:pPr>
              <w:jc w:val="center"/>
              <w:rPr>
                <w:rFonts w:ascii="宋体" w:hAnsi="宋体"/>
                <w:color w:val="000000"/>
              </w:rPr>
            </w:pPr>
            <w:r>
              <w:rPr>
                <w:rFonts w:hint="eastAsia"/>
                <w:color w:val="000000"/>
              </w:rPr>
              <w:t>B</w:t>
            </w:r>
            <w:r>
              <w:rPr>
                <w:rFonts w:hint="eastAsia" w:ascii="宋体" w:hAnsi="宋体"/>
                <w:color w:val="000000"/>
              </w:rPr>
              <w:t>类</w:t>
            </w:r>
          </w:p>
        </w:tc>
      </w:tr>
      <w:tr w14:paraId="2A89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32C57F1">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0736BAC8">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9A83271">
            <w:pPr>
              <w:tabs>
                <w:tab w:val="left" w:pos="3220"/>
              </w:tabs>
              <w:spacing w:line="300" w:lineRule="auto"/>
              <w:ind w:left="2"/>
              <w:jc w:val="center"/>
              <w:rPr>
                <w:rFonts w:ascii="宋体" w:hAnsi="宋体"/>
                <w:color w:val="000000"/>
              </w:rPr>
            </w:pPr>
            <w:r>
              <w:rPr>
                <w:rFonts w:hint="eastAsia" w:ascii="宋体" w:hAnsi="宋体"/>
                <w:color w:val="000000"/>
              </w:rPr>
              <w:t>工装设备、检测装置、试验设备能力和状态</w:t>
            </w:r>
          </w:p>
        </w:tc>
        <w:tc>
          <w:tcPr>
            <w:tcW w:w="1015" w:type="dxa"/>
            <w:tcBorders>
              <w:top w:val="single" w:color="auto" w:sz="4" w:space="0"/>
              <w:left w:val="single" w:color="auto" w:sz="4" w:space="0"/>
              <w:bottom w:val="single" w:color="auto" w:sz="4" w:space="0"/>
              <w:right w:val="single" w:color="auto" w:sz="4" w:space="0"/>
            </w:tcBorders>
            <w:vAlign w:val="center"/>
          </w:tcPr>
          <w:p w14:paraId="24A40433">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341E8A0">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28622A2">
            <w:pPr>
              <w:spacing w:after="156"/>
              <w:ind w:left="420"/>
              <w:jc w:val="center"/>
              <w:rPr>
                <w:color w:val="000000"/>
              </w:rPr>
            </w:pPr>
          </w:p>
        </w:tc>
        <w:tc>
          <w:tcPr>
            <w:tcW w:w="1475" w:type="dxa"/>
            <w:tcBorders>
              <w:top w:val="single" w:color="auto" w:sz="4" w:space="0"/>
              <w:left w:val="single" w:color="auto" w:sz="4" w:space="0"/>
              <w:bottom w:val="single" w:color="auto" w:sz="4" w:space="0"/>
              <w:right w:val="single" w:color="auto" w:sz="4" w:space="0"/>
            </w:tcBorders>
          </w:tcPr>
          <w:p w14:paraId="7EEB78E4">
            <w:pPr>
              <w:jc w:val="center"/>
              <w:rPr>
                <w:rFonts w:ascii="宋体" w:hAnsi="宋体"/>
                <w:color w:val="000000"/>
              </w:rPr>
            </w:pPr>
            <w:r>
              <w:rPr>
                <w:rFonts w:hint="eastAsia"/>
                <w:color w:val="000000"/>
              </w:rPr>
              <w:t>C</w:t>
            </w:r>
            <w:r>
              <w:rPr>
                <w:rFonts w:hint="eastAsia" w:ascii="宋体" w:hAnsi="宋体"/>
                <w:color w:val="000000"/>
              </w:rPr>
              <w:t>类</w:t>
            </w:r>
          </w:p>
        </w:tc>
      </w:tr>
      <w:tr w14:paraId="5DB35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bottom w:val="single" w:color="auto" w:sz="4" w:space="0"/>
              <w:right w:val="single" w:color="auto" w:sz="4" w:space="0"/>
            </w:tcBorders>
            <w:vAlign w:val="center"/>
          </w:tcPr>
          <w:p w14:paraId="7EC1A19E">
            <w:pPr>
              <w:spacing w:after="120"/>
              <w:jc w:val="center"/>
              <w:rPr>
                <w:rFonts w:ascii="宋体" w:hAnsi="宋体"/>
                <w:color w:val="000000"/>
              </w:rPr>
            </w:pPr>
          </w:p>
        </w:tc>
        <w:tc>
          <w:tcPr>
            <w:tcW w:w="916" w:type="dxa"/>
            <w:vMerge w:val="continue"/>
            <w:tcBorders>
              <w:left w:val="single" w:color="auto" w:sz="4" w:space="0"/>
              <w:bottom w:val="single" w:color="auto" w:sz="4" w:space="0"/>
              <w:right w:val="single" w:color="auto" w:sz="4" w:space="0"/>
            </w:tcBorders>
            <w:vAlign w:val="center"/>
          </w:tcPr>
          <w:p w14:paraId="656223EE">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1095348">
            <w:pPr>
              <w:tabs>
                <w:tab w:val="left" w:pos="3220"/>
              </w:tabs>
              <w:spacing w:line="300" w:lineRule="auto"/>
              <w:ind w:left="2"/>
              <w:jc w:val="center"/>
              <w:rPr>
                <w:rFonts w:ascii="宋体" w:hAnsi="宋体"/>
                <w:color w:val="000000"/>
              </w:rPr>
            </w:pPr>
            <w:r>
              <w:rPr>
                <w:rFonts w:hint="eastAsia" w:ascii="宋体" w:hAnsi="宋体"/>
                <w:color w:val="000000"/>
              </w:rPr>
              <w:t>不合格品的处理</w:t>
            </w:r>
          </w:p>
        </w:tc>
        <w:tc>
          <w:tcPr>
            <w:tcW w:w="1015" w:type="dxa"/>
            <w:tcBorders>
              <w:top w:val="single" w:color="auto" w:sz="4" w:space="0"/>
              <w:left w:val="single" w:color="auto" w:sz="4" w:space="0"/>
              <w:bottom w:val="single" w:color="auto" w:sz="4" w:space="0"/>
              <w:right w:val="single" w:color="auto" w:sz="4" w:space="0"/>
            </w:tcBorders>
            <w:vAlign w:val="center"/>
          </w:tcPr>
          <w:p w14:paraId="5DCCA142">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E535259">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D8AD874">
            <w:pPr>
              <w:spacing w:after="156"/>
              <w:ind w:left="420"/>
              <w:jc w:val="center"/>
              <w:rPr>
                <w:color w:val="000000"/>
              </w:rPr>
            </w:pPr>
          </w:p>
        </w:tc>
        <w:tc>
          <w:tcPr>
            <w:tcW w:w="1475" w:type="dxa"/>
            <w:tcBorders>
              <w:top w:val="single" w:color="auto" w:sz="4" w:space="0"/>
              <w:left w:val="single" w:color="auto" w:sz="4" w:space="0"/>
              <w:bottom w:val="single" w:color="auto" w:sz="4" w:space="0"/>
              <w:right w:val="single" w:color="auto" w:sz="4" w:space="0"/>
            </w:tcBorders>
          </w:tcPr>
          <w:p w14:paraId="429EB5DA">
            <w:pPr>
              <w:jc w:val="center"/>
              <w:rPr>
                <w:rFonts w:ascii="宋体" w:hAnsi="宋体"/>
                <w:color w:val="000000"/>
              </w:rPr>
            </w:pPr>
            <w:r>
              <w:rPr>
                <w:rFonts w:hint="eastAsia"/>
                <w:color w:val="000000"/>
              </w:rPr>
              <w:t>A</w:t>
            </w:r>
            <w:r>
              <w:rPr>
                <w:rFonts w:hint="eastAsia" w:ascii="宋体" w:hAnsi="宋体"/>
                <w:color w:val="000000"/>
              </w:rPr>
              <w:t>类</w:t>
            </w:r>
          </w:p>
        </w:tc>
      </w:tr>
      <w:tr w14:paraId="0BF9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restart"/>
            <w:tcBorders>
              <w:top w:val="single" w:color="auto" w:sz="4" w:space="0"/>
              <w:left w:val="single" w:color="auto" w:sz="4" w:space="0"/>
              <w:right w:val="single" w:color="auto" w:sz="4" w:space="0"/>
            </w:tcBorders>
            <w:vAlign w:val="center"/>
          </w:tcPr>
          <w:p w14:paraId="43758337">
            <w:pPr>
              <w:spacing w:after="120"/>
              <w:jc w:val="center"/>
              <w:rPr>
                <w:rFonts w:ascii="宋体" w:hAnsi="宋体"/>
                <w:color w:val="000000"/>
              </w:rPr>
            </w:pPr>
            <w:r>
              <w:rPr>
                <w:rFonts w:hint="eastAsia"/>
                <w:color w:val="000000"/>
              </w:rPr>
              <w:t>2</w:t>
            </w:r>
          </w:p>
        </w:tc>
        <w:tc>
          <w:tcPr>
            <w:tcW w:w="916" w:type="dxa"/>
            <w:vMerge w:val="restart"/>
            <w:tcBorders>
              <w:top w:val="single" w:color="auto" w:sz="4" w:space="0"/>
              <w:left w:val="single" w:color="auto" w:sz="4" w:space="0"/>
              <w:right w:val="single" w:color="auto" w:sz="4" w:space="0"/>
            </w:tcBorders>
            <w:vAlign w:val="center"/>
          </w:tcPr>
          <w:p w14:paraId="0E37AC93">
            <w:pPr>
              <w:spacing w:after="156"/>
              <w:jc w:val="center"/>
              <w:rPr>
                <w:rFonts w:ascii="宋体" w:hAnsi="宋体"/>
                <w:color w:val="000000"/>
              </w:rPr>
            </w:pPr>
            <w:r>
              <w:rPr>
                <w:rFonts w:hint="eastAsia" w:ascii="宋体" w:hAnsi="宋体"/>
                <w:color w:val="000000"/>
              </w:rPr>
              <w:t>关键原材料及组部件</w:t>
            </w:r>
          </w:p>
        </w:tc>
        <w:tc>
          <w:tcPr>
            <w:tcW w:w="2504" w:type="dxa"/>
            <w:tcBorders>
              <w:top w:val="single" w:color="auto" w:sz="4" w:space="0"/>
              <w:left w:val="single" w:color="auto" w:sz="4" w:space="0"/>
              <w:bottom w:val="single" w:color="auto" w:sz="4" w:space="0"/>
              <w:right w:val="single" w:color="auto" w:sz="4" w:space="0"/>
            </w:tcBorders>
            <w:vAlign w:val="center"/>
          </w:tcPr>
          <w:p w14:paraId="08E443D8">
            <w:pPr>
              <w:tabs>
                <w:tab w:val="left" w:pos="593"/>
                <w:tab w:val="left" w:pos="3220"/>
              </w:tabs>
              <w:spacing w:before="100" w:beforeAutospacing="1" w:after="100" w:afterAutospacing="1" w:line="300" w:lineRule="auto"/>
              <w:jc w:val="center"/>
            </w:pPr>
            <w:r>
              <w:rPr>
                <w:rFonts w:hint="eastAsia" w:ascii="宋体" w:hAnsi="宋体"/>
              </w:rPr>
              <w:t>导体</w:t>
            </w:r>
          </w:p>
        </w:tc>
        <w:tc>
          <w:tcPr>
            <w:tcW w:w="1015" w:type="dxa"/>
            <w:tcBorders>
              <w:top w:val="single" w:color="auto" w:sz="4" w:space="0"/>
              <w:left w:val="single" w:color="auto" w:sz="4" w:space="0"/>
              <w:bottom w:val="single" w:color="auto" w:sz="4" w:space="0"/>
              <w:right w:val="single" w:color="auto" w:sz="4" w:space="0"/>
            </w:tcBorders>
            <w:vAlign w:val="center"/>
          </w:tcPr>
          <w:p w14:paraId="380B710A">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29FC4F9F">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F874913">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140B2E3A">
            <w:pPr>
              <w:jc w:val="center"/>
              <w:rPr>
                <w:rFonts w:ascii="宋体" w:hAnsi="宋体"/>
                <w:color w:val="000000"/>
              </w:rPr>
            </w:pPr>
            <w:r>
              <w:rPr>
                <w:rFonts w:hint="eastAsia"/>
                <w:color w:val="000000"/>
              </w:rPr>
              <w:t>B</w:t>
            </w:r>
            <w:r>
              <w:rPr>
                <w:rFonts w:hint="eastAsia" w:ascii="宋体" w:hAnsi="宋体"/>
                <w:color w:val="000000"/>
              </w:rPr>
              <w:t>类</w:t>
            </w:r>
          </w:p>
        </w:tc>
      </w:tr>
      <w:tr w14:paraId="20BCE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29E0EF0">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34AFF890">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DDF6B07">
            <w:pPr>
              <w:tabs>
                <w:tab w:val="left" w:pos="593"/>
                <w:tab w:val="left" w:pos="3220"/>
              </w:tabs>
              <w:spacing w:before="100" w:beforeAutospacing="1" w:after="100" w:afterAutospacing="1" w:line="300" w:lineRule="auto"/>
              <w:jc w:val="center"/>
            </w:pPr>
            <w:r>
              <w:rPr>
                <w:rFonts w:hint="eastAsia" w:ascii="宋体" w:hAnsi="宋体"/>
              </w:rPr>
              <w:t>屏蔽</w:t>
            </w:r>
          </w:p>
        </w:tc>
        <w:tc>
          <w:tcPr>
            <w:tcW w:w="1015" w:type="dxa"/>
            <w:tcBorders>
              <w:top w:val="single" w:color="auto" w:sz="4" w:space="0"/>
              <w:left w:val="single" w:color="auto" w:sz="4" w:space="0"/>
              <w:bottom w:val="single" w:color="auto" w:sz="4" w:space="0"/>
              <w:right w:val="single" w:color="auto" w:sz="4" w:space="0"/>
            </w:tcBorders>
            <w:vAlign w:val="center"/>
          </w:tcPr>
          <w:p w14:paraId="5F19C6A7">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AE6F012">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894E8F7">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3B9FA1C">
            <w:pPr>
              <w:jc w:val="center"/>
              <w:rPr>
                <w:rFonts w:ascii="宋体" w:hAnsi="宋体"/>
                <w:color w:val="000000"/>
              </w:rPr>
            </w:pPr>
            <w:r>
              <w:rPr>
                <w:rFonts w:hint="eastAsia"/>
                <w:color w:val="000000"/>
              </w:rPr>
              <w:t>A</w:t>
            </w:r>
            <w:r>
              <w:rPr>
                <w:rFonts w:hint="eastAsia" w:ascii="宋体" w:hAnsi="宋体"/>
                <w:color w:val="000000"/>
              </w:rPr>
              <w:t>类</w:t>
            </w:r>
          </w:p>
        </w:tc>
      </w:tr>
      <w:tr w14:paraId="251C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0B1EEDED">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3C9A51D9">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742C6E1">
            <w:pPr>
              <w:tabs>
                <w:tab w:val="left" w:pos="593"/>
                <w:tab w:val="left" w:pos="3220"/>
              </w:tabs>
              <w:spacing w:before="100" w:beforeAutospacing="1" w:after="100" w:afterAutospacing="1" w:line="300" w:lineRule="auto"/>
              <w:jc w:val="center"/>
            </w:pPr>
            <w:r>
              <w:rPr>
                <w:rFonts w:hint="eastAsia" w:ascii="宋体" w:hAnsi="宋体"/>
              </w:rPr>
              <w:t>绝缘</w:t>
            </w:r>
          </w:p>
        </w:tc>
        <w:tc>
          <w:tcPr>
            <w:tcW w:w="1015" w:type="dxa"/>
            <w:tcBorders>
              <w:top w:val="single" w:color="auto" w:sz="4" w:space="0"/>
              <w:left w:val="single" w:color="auto" w:sz="4" w:space="0"/>
              <w:bottom w:val="single" w:color="auto" w:sz="4" w:space="0"/>
              <w:right w:val="single" w:color="auto" w:sz="4" w:space="0"/>
            </w:tcBorders>
            <w:vAlign w:val="center"/>
          </w:tcPr>
          <w:p w14:paraId="27D45F6F">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95DF9EC">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54988FC">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3118F281">
            <w:pPr>
              <w:jc w:val="center"/>
              <w:rPr>
                <w:rFonts w:ascii="宋体" w:hAnsi="宋体"/>
                <w:color w:val="000000"/>
              </w:rPr>
            </w:pPr>
            <w:r>
              <w:rPr>
                <w:rFonts w:hint="eastAsia"/>
                <w:color w:val="000000"/>
              </w:rPr>
              <w:t>A</w:t>
            </w:r>
            <w:r>
              <w:rPr>
                <w:rFonts w:hint="eastAsia" w:ascii="宋体" w:hAnsi="宋体"/>
                <w:color w:val="000000"/>
              </w:rPr>
              <w:t>类</w:t>
            </w:r>
          </w:p>
        </w:tc>
      </w:tr>
      <w:tr w14:paraId="06AC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4200A228">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2D59BB70">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6788888">
            <w:pPr>
              <w:tabs>
                <w:tab w:val="left" w:pos="593"/>
                <w:tab w:val="left" w:pos="3220"/>
              </w:tabs>
              <w:spacing w:before="100" w:beforeAutospacing="1" w:after="100" w:afterAutospacing="1" w:line="300" w:lineRule="auto"/>
              <w:jc w:val="center"/>
              <w:rPr>
                <w:rFonts w:cs="宋体"/>
              </w:rPr>
            </w:pPr>
            <w:r>
              <w:rPr>
                <w:rFonts w:hint="eastAsia" w:ascii="宋体" w:hAnsi="宋体"/>
              </w:rPr>
              <w:t>阻水层</w:t>
            </w:r>
          </w:p>
        </w:tc>
        <w:tc>
          <w:tcPr>
            <w:tcW w:w="1015" w:type="dxa"/>
            <w:tcBorders>
              <w:top w:val="single" w:color="auto" w:sz="4" w:space="0"/>
              <w:left w:val="single" w:color="auto" w:sz="4" w:space="0"/>
              <w:bottom w:val="single" w:color="auto" w:sz="4" w:space="0"/>
              <w:right w:val="single" w:color="auto" w:sz="4" w:space="0"/>
            </w:tcBorders>
            <w:vAlign w:val="center"/>
          </w:tcPr>
          <w:p w14:paraId="391AC93C">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3A6D7FD">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2B8F2E8">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C4B7AA2">
            <w:pPr>
              <w:jc w:val="center"/>
              <w:rPr>
                <w:rFonts w:ascii="宋体" w:hAnsi="宋体"/>
                <w:color w:val="000000"/>
              </w:rPr>
            </w:pPr>
            <w:r>
              <w:rPr>
                <w:rFonts w:hint="eastAsia"/>
                <w:color w:val="000000"/>
              </w:rPr>
              <w:t>B</w:t>
            </w:r>
            <w:r>
              <w:rPr>
                <w:rFonts w:hint="eastAsia" w:ascii="宋体" w:hAnsi="宋体"/>
                <w:color w:val="000000"/>
              </w:rPr>
              <w:t>类</w:t>
            </w:r>
          </w:p>
        </w:tc>
      </w:tr>
      <w:tr w14:paraId="5721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13FDBE6">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29E3B7B6">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00B7A97">
            <w:pPr>
              <w:tabs>
                <w:tab w:val="left" w:pos="593"/>
                <w:tab w:val="left" w:pos="3220"/>
              </w:tabs>
              <w:spacing w:before="100" w:beforeAutospacing="1" w:after="100" w:afterAutospacing="1" w:line="300" w:lineRule="auto"/>
              <w:jc w:val="center"/>
            </w:pPr>
            <w:r>
              <w:rPr>
                <w:rFonts w:hint="eastAsia" w:ascii="宋体" w:hAnsi="宋体"/>
              </w:rPr>
              <w:t>金属护套</w:t>
            </w:r>
          </w:p>
        </w:tc>
        <w:tc>
          <w:tcPr>
            <w:tcW w:w="1015" w:type="dxa"/>
            <w:tcBorders>
              <w:top w:val="single" w:color="auto" w:sz="4" w:space="0"/>
              <w:left w:val="single" w:color="auto" w:sz="4" w:space="0"/>
              <w:bottom w:val="single" w:color="auto" w:sz="4" w:space="0"/>
              <w:right w:val="single" w:color="auto" w:sz="4" w:space="0"/>
            </w:tcBorders>
            <w:vAlign w:val="center"/>
          </w:tcPr>
          <w:p w14:paraId="736AB28B">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F506778">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A9E52DE">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16DDD42F">
            <w:pPr>
              <w:jc w:val="center"/>
              <w:rPr>
                <w:rFonts w:ascii="宋体" w:hAnsi="宋体"/>
                <w:color w:val="000000"/>
              </w:rPr>
            </w:pPr>
            <w:r>
              <w:rPr>
                <w:rFonts w:hint="eastAsia"/>
                <w:color w:val="000000"/>
              </w:rPr>
              <w:t>B</w:t>
            </w:r>
            <w:r>
              <w:rPr>
                <w:rFonts w:hint="eastAsia" w:ascii="宋体" w:hAnsi="宋体"/>
                <w:color w:val="000000"/>
              </w:rPr>
              <w:t>类</w:t>
            </w:r>
          </w:p>
        </w:tc>
      </w:tr>
      <w:tr w14:paraId="54F4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486D47A6">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23628718">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15E56AC1">
            <w:pPr>
              <w:tabs>
                <w:tab w:val="left" w:pos="593"/>
                <w:tab w:val="left" w:pos="3220"/>
              </w:tabs>
              <w:spacing w:before="100" w:beforeAutospacing="1" w:after="100" w:afterAutospacing="1" w:line="300" w:lineRule="auto"/>
              <w:jc w:val="center"/>
              <w:rPr>
                <w:rFonts w:cs="宋体"/>
              </w:rPr>
            </w:pPr>
            <w:r>
              <w:rPr>
                <w:rFonts w:hint="eastAsia" w:ascii="宋体" w:hAnsi="宋体"/>
              </w:rPr>
              <w:t>非金属护套</w:t>
            </w:r>
          </w:p>
        </w:tc>
        <w:tc>
          <w:tcPr>
            <w:tcW w:w="1015" w:type="dxa"/>
            <w:tcBorders>
              <w:top w:val="single" w:color="auto" w:sz="4" w:space="0"/>
              <w:left w:val="single" w:color="auto" w:sz="4" w:space="0"/>
              <w:bottom w:val="single" w:color="auto" w:sz="4" w:space="0"/>
              <w:right w:val="single" w:color="auto" w:sz="4" w:space="0"/>
            </w:tcBorders>
            <w:vAlign w:val="center"/>
          </w:tcPr>
          <w:p w14:paraId="1D3D2916">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E5DE298">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2CAC481">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37E12FD4">
            <w:pPr>
              <w:jc w:val="center"/>
              <w:rPr>
                <w:rFonts w:ascii="宋体" w:hAnsi="宋体"/>
                <w:color w:val="000000"/>
              </w:rPr>
            </w:pPr>
            <w:r>
              <w:rPr>
                <w:rFonts w:hint="eastAsia"/>
                <w:color w:val="000000"/>
              </w:rPr>
              <w:t>B</w:t>
            </w:r>
            <w:r>
              <w:rPr>
                <w:rFonts w:hint="eastAsia" w:ascii="宋体" w:hAnsi="宋体"/>
                <w:color w:val="000000"/>
              </w:rPr>
              <w:t>类</w:t>
            </w:r>
          </w:p>
        </w:tc>
      </w:tr>
      <w:tr w14:paraId="0A53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47332B72">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111687BD">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862108A">
            <w:pPr>
              <w:tabs>
                <w:tab w:val="left" w:pos="593"/>
                <w:tab w:val="left" w:pos="3220"/>
              </w:tabs>
              <w:spacing w:before="100" w:beforeAutospacing="1" w:after="100" w:afterAutospacing="1" w:line="300" w:lineRule="auto"/>
              <w:jc w:val="center"/>
            </w:pPr>
            <w:r>
              <w:rPr>
                <w:rFonts w:hint="eastAsia" w:ascii="宋体" w:hAnsi="宋体"/>
              </w:rPr>
              <w:t>复合光缆</w:t>
            </w:r>
          </w:p>
        </w:tc>
        <w:tc>
          <w:tcPr>
            <w:tcW w:w="1015" w:type="dxa"/>
            <w:tcBorders>
              <w:top w:val="single" w:color="auto" w:sz="4" w:space="0"/>
              <w:left w:val="single" w:color="auto" w:sz="4" w:space="0"/>
              <w:bottom w:val="single" w:color="auto" w:sz="4" w:space="0"/>
              <w:right w:val="single" w:color="auto" w:sz="4" w:space="0"/>
            </w:tcBorders>
            <w:vAlign w:val="center"/>
          </w:tcPr>
          <w:p w14:paraId="55213E6C">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764893A">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6F167A9">
            <w:pPr>
              <w:spacing w:after="120"/>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622A652">
            <w:pPr>
              <w:jc w:val="center"/>
              <w:rPr>
                <w:rFonts w:ascii="宋体" w:hAnsi="宋体"/>
                <w:color w:val="000000"/>
              </w:rPr>
            </w:pPr>
            <w:r>
              <w:rPr>
                <w:rFonts w:hint="eastAsia"/>
                <w:color w:val="000000"/>
              </w:rPr>
              <w:t>B</w:t>
            </w:r>
            <w:r>
              <w:rPr>
                <w:rFonts w:hint="eastAsia" w:ascii="宋体" w:hAnsi="宋体"/>
                <w:color w:val="000000"/>
              </w:rPr>
              <w:t>类</w:t>
            </w:r>
          </w:p>
        </w:tc>
      </w:tr>
      <w:tr w14:paraId="187C9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3DDC236E">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4147FAE4">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170E50F">
            <w:pPr>
              <w:tabs>
                <w:tab w:val="left" w:pos="593"/>
                <w:tab w:val="left" w:pos="3220"/>
              </w:tabs>
              <w:spacing w:before="100" w:beforeAutospacing="1" w:after="100" w:afterAutospacing="1" w:line="300" w:lineRule="auto"/>
              <w:jc w:val="center"/>
              <w:rPr>
                <w:rFonts w:cs="宋体"/>
              </w:rPr>
            </w:pPr>
            <w:r>
              <w:rPr>
                <w:rFonts w:hint="eastAsia" w:ascii="宋体" w:hAnsi="宋体"/>
              </w:rPr>
              <w:t>成缆填充</w:t>
            </w:r>
          </w:p>
        </w:tc>
        <w:tc>
          <w:tcPr>
            <w:tcW w:w="1015" w:type="dxa"/>
            <w:tcBorders>
              <w:top w:val="single" w:color="auto" w:sz="4" w:space="0"/>
              <w:left w:val="single" w:color="auto" w:sz="4" w:space="0"/>
              <w:bottom w:val="single" w:color="auto" w:sz="4" w:space="0"/>
              <w:right w:val="single" w:color="auto" w:sz="4" w:space="0"/>
            </w:tcBorders>
            <w:vAlign w:val="center"/>
          </w:tcPr>
          <w:p w14:paraId="631016F6">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B4DC324">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1443755">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610BB070">
            <w:pPr>
              <w:jc w:val="center"/>
              <w:rPr>
                <w:rFonts w:ascii="宋体" w:hAnsi="宋体"/>
                <w:color w:val="000000"/>
              </w:rPr>
            </w:pPr>
            <w:r>
              <w:rPr>
                <w:rFonts w:hint="eastAsia"/>
                <w:color w:val="000000"/>
              </w:rPr>
              <w:t>B</w:t>
            </w:r>
            <w:r>
              <w:rPr>
                <w:rFonts w:hint="eastAsia" w:ascii="宋体" w:hAnsi="宋体"/>
                <w:color w:val="000000"/>
              </w:rPr>
              <w:t>类</w:t>
            </w:r>
          </w:p>
        </w:tc>
      </w:tr>
      <w:tr w14:paraId="37D9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F8F4562">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3665B138">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764C8B7B">
            <w:pPr>
              <w:tabs>
                <w:tab w:val="left" w:pos="593"/>
                <w:tab w:val="left" w:pos="3220"/>
              </w:tabs>
              <w:spacing w:before="100" w:beforeAutospacing="1" w:after="100" w:afterAutospacing="1" w:line="300" w:lineRule="auto"/>
              <w:jc w:val="center"/>
              <w:rPr>
                <w:rFonts w:cs="宋体"/>
              </w:rPr>
            </w:pPr>
            <w:r>
              <w:rPr>
                <w:rFonts w:hint="eastAsia" w:ascii="宋体" w:hAnsi="宋体"/>
              </w:rPr>
              <w:t>内衬层</w:t>
            </w:r>
          </w:p>
        </w:tc>
        <w:tc>
          <w:tcPr>
            <w:tcW w:w="1015" w:type="dxa"/>
            <w:tcBorders>
              <w:top w:val="single" w:color="auto" w:sz="4" w:space="0"/>
              <w:left w:val="single" w:color="auto" w:sz="4" w:space="0"/>
              <w:bottom w:val="single" w:color="auto" w:sz="4" w:space="0"/>
              <w:right w:val="single" w:color="auto" w:sz="4" w:space="0"/>
            </w:tcBorders>
            <w:vAlign w:val="center"/>
          </w:tcPr>
          <w:p w14:paraId="718FDB3A">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6DA2F7D">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B5CAC25">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D44EA32">
            <w:pPr>
              <w:jc w:val="center"/>
              <w:rPr>
                <w:rFonts w:ascii="宋体" w:hAnsi="宋体"/>
                <w:color w:val="000000"/>
              </w:rPr>
            </w:pPr>
            <w:r>
              <w:rPr>
                <w:rFonts w:hint="eastAsia"/>
                <w:color w:val="000000"/>
              </w:rPr>
              <w:t>B</w:t>
            </w:r>
            <w:r>
              <w:rPr>
                <w:rFonts w:hint="eastAsia" w:ascii="宋体" w:hAnsi="宋体"/>
                <w:color w:val="000000"/>
              </w:rPr>
              <w:t>类</w:t>
            </w:r>
          </w:p>
        </w:tc>
      </w:tr>
      <w:tr w14:paraId="2683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AB48F23">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6BE3FDEA">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490EFCC">
            <w:pPr>
              <w:tabs>
                <w:tab w:val="left" w:pos="593"/>
                <w:tab w:val="left" w:pos="3220"/>
              </w:tabs>
              <w:spacing w:before="100" w:beforeAutospacing="1" w:after="100" w:afterAutospacing="1" w:line="300" w:lineRule="auto"/>
              <w:jc w:val="center"/>
              <w:rPr>
                <w:rFonts w:cs="宋体"/>
              </w:rPr>
            </w:pPr>
            <w:r>
              <w:rPr>
                <w:rFonts w:hint="eastAsia" w:ascii="宋体" w:hAnsi="宋体"/>
              </w:rPr>
              <w:t>金属铠装</w:t>
            </w:r>
          </w:p>
        </w:tc>
        <w:tc>
          <w:tcPr>
            <w:tcW w:w="1015" w:type="dxa"/>
            <w:tcBorders>
              <w:top w:val="single" w:color="auto" w:sz="4" w:space="0"/>
              <w:left w:val="single" w:color="auto" w:sz="4" w:space="0"/>
              <w:bottom w:val="single" w:color="auto" w:sz="4" w:space="0"/>
              <w:right w:val="single" w:color="auto" w:sz="4" w:space="0"/>
            </w:tcBorders>
            <w:vAlign w:val="center"/>
          </w:tcPr>
          <w:p w14:paraId="674C2D43">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0716078">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88EC278">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7C75E92">
            <w:pPr>
              <w:jc w:val="center"/>
              <w:rPr>
                <w:rFonts w:ascii="宋体" w:hAnsi="宋体"/>
                <w:color w:val="000000"/>
              </w:rPr>
            </w:pPr>
            <w:r>
              <w:rPr>
                <w:rFonts w:hint="eastAsia"/>
                <w:color w:val="000000"/>
              </w:rPr>
              <w:t>B</w:t>
            </w:r>
            <w:r>
              <w:rPr>
                <w:rFonts w:hint="eastAsia" w:ascii="宋体" w:hAnsi="宋体"/>
                <w:color w:val="000000"/>
              </w:rPr>
              <w:t>类</w:t>
            </w:r>
          </w:p>
        </w:tc>
      </w:tr>
      <w:tr w14:paraId="710E5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9576BF1">
            <w:pPr>
              <w:spacing w:after="120"/>
              <w:jc w:val="center"/>
              <w:rPr>
                <w:rFonts w:ascii="宋体" w:hAnsi="宋体"/>
                <w:color w:val="000000"/>
              </w:rPr>
            </w:pPr>
          </w:p>
        </w:tc>
        <w:tc>
          <w:tcPr>
            <w:tcW w:w="916" w:type="dxa"/>
            <w:vMerge w:val="continue"/>
            <w:tcBorders>
              <w:left w:val="single" w:color="auto" w:sz="4" w:space="0"/>
              <w:bottom w:val="single" w:color="auto" w:sz="4" w:space="0"/>
              <w:right w:val="single" w:color="auto" w:sz="4" w:space="0"/>
            </w:tcBorders>
            <w:vAlign w:val="center"/>
          </w:tcPr>
          <w:p w14:paraId="19D4C9BB">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134BC1DC">
            <w:pPr>
              <w:tabs>
                <w:tab w:val="left" w:pos="593"/>
                <w:tab w:val="left" w:pos="3220"/>
              </w:tabs>
              <w:spacing w:before="100" w:beforeAutospacing="1" w:after="100" w:afterAutospacing="1" w:line="300" w:lineRule="auto"/>
              <w:jc w:val="center"/>
              <w:rPr>
                <w:rFonts w:cs="宋体"/>
              </w:rPr>
            </w:pPr>
            <w:r>
              <w:rPr>
                <w:rFonts w:hint="eastAsia" w:ascii="宋体" w:hAnsi="宋体"/>
              </w:rPr>
              <w:t>外被层</w:t>
            </w:r>
          </w:p>
        </w:tc>
        <w:tc>
          <w:tcPr>
            <w:tcW w:w="1015" w:type="dxa"/>
            <w:tcBorders>
              <w:top w:val="single" w:color="auto" w:sz="4" w:space="0"/>
              <w:left w:val="single" w:color="auto" w:sz="4" w:space="0"/>
              <w:bottom w:val="single" w:color="auto" w:sz="4" w:space="0"/>
              <w:right w:val="single" w:color="auto" w:sz="4" w:space="0"/>
            </w:tcBorders>
            <w:vAlign w:val="center"/>
          </w:tcPr>
          <w:p w14:paraId="5C58CDDE">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5DE9949">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7AB64FA">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654DB464">
            <w:pPr>
              <w:jc w:val="center"/>
              <w:rPr>
                <w:rFonts w:ascii="宋体" w:hAnsi="宋体"/>
                <w:color w:val="000000"/>
              </w:rPr>
            </w:pPr>
            <w:r>
              <w:rPr>
                <w:rFonts w:hint="eastAsia"/>
                <w:color w:val="000000"/>
              </w:rPr>
              <w:t>B</w:t>
            </w:r>
            <w:r>
              <w:rPr>
                <w:rFonts w:hint="eastAsia" w:ascii="宋体" w:hAnsi="宋体"/>
                <w:color w:val="000000"/>
              </w:rPr>
              <w:t>类</w:t>
            </w:r>
          </w:p>
        </w:tc>
      </w:tr>
      <w:tr w14:paraId="57318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4F35779B">
            <w:pPr>
              <w:spacing w:after="120"/>
              <w:jc w:val="center"/>
              <w:rPr>
                <w:rFonts w:ascii="宋体" w:hAnsi="宋体"/>
                <w:color w:val="000000"/>
              </w:rPr>
            </w:pPr>
          </w:p>
        </w:tc>
        <w:tc>
          <w:tcPr>
            <w:tcW w:w="916" w:type="dxa"/>
            <w:vMerge w:val="restart"/>
            <w:tcBorders>
              <w:top w:val="single" w:color="auto" w:sz="4" w:space="0"/>
              <w:left w:val="single" w:color="auto" w:sz="4" w:space="0"/>
              <w:right w:val="single" w:color="auto" w:sz="4" w:space="0"/>
            </w:tcBorders>
            <w:vAlign w:val="center"/>
          </w:tcPr>
          <w:p w14:paraId="513A458E">
            <w:pPr>
              <w:spacing w:after="156"/>
              <w:jc w:val="center"/>
              <w:rPr>
                <w:rFonts w:ascii="宋体" w:hAnsi="宋体"/>
                <w:color w:val="000000"/>
              </w:rPr>
            </w:pPr>
            <w:r>
              <w:rPr>
                <w:rFonts w:hint="eastAsia" w:ascii="宋体" w:hAnsi="宋体"/>
              </w:rPr>
              <w:t>海缆附件原材料及组部件检查</w:t>
            </w:r>
          </w:p>
        </w:tc>
        <w:tc>
          <w:tcPr>
            <w:tcW w:w="2504" w:type="dxa"/>
            <w:tcBorders>
              <w:top w:val="single" w:color="auto" w:sz="4" w:space="0"/>
              <w:left w:val="single" w:color="auto" w:sz="4" w:space="0"/>
              <w:bottom w:val="single" w:color="auto" w:sz="4" w:space="0"/>
              <w:right w:val="single" w:color="auto" w:sz="4" w:space="0"/>
            </w:tcBorders>
            <w:vAlign w:val="center"/>
          </w:tcPr>
          <w:p w14:paraId="438B4708">
            <w:pPr>
              <w:tabs>
                <w:tab w:val="left" w:pos="593"/>
                <w:tab w:val="left" w:pos="3220"/>
              </w:tabs>
              <w:spacing w:before="100" w:beforeAutospacing="1" w:after="100" w:afterAutospacing="1" w:line="300" w:lineRule="auto"/>
              <w:jc w:val="center"/>
              <w:rPr>
                <w:rFonts w:cs="宋体"/>
              </w:rPr>
            </w:pPr>
            <w:r>
              <w:rPr>
                <w:rFonts w:hint="eastAsia" w:ascii="宋体" w:hAnsi="宋体"/>
              </w:rPr>
              <w:t>绝缘料</w:t>
            </w:r>
          </w:p>
        </w:tc>
        <w:tc>
          <w:tcPr>
            <w:tcW w:w="1015" w:type="dxa"/>
            <w:tcBorders>
              <w:top w:val="single" w:color="auto" w:sz="4" w:space="0"/>
              <w:left w:val="single" w:color="auto" w:sz="4" w:space="0"/>
              <w:bottom w:val="single" w:color="auto" w:sz="4" w:space="0"/>
              <w:right w:val="single" w:color="auto" w:sz="4" w:space="0"/>
            </w:tcBorders>
            <w:vAlign w:val="center"/>
          </w:tcPr>
          <w:p w14:paraId="5130CDB4">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8505D63">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1E1B877E">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129AF2A">
            <w:pPr>
              <w:jc w:val="center"/>
              <w:rPr>
                <w:rFonts w:ascii="宋体" w:hAnsi="宋体"/>
                <w:color w:val="000000"/>
              </w:rPr>
            </w:pPr>
            <w:r>
              <w:rPr>
                <w:rFonts w:hint="eastAsia"/>
                <w:color w:val="000000"/>
              </w:rPr>
              <w:t>A</w:t>
            </w:r>
            <w:r>
              <w:rPr>
                <w:rFonts w:hint="eastAsia" w:ascii="宋体" w:hAnsi="宋体"/>
                <w:color w:val="000000"/>
              </w:rPr>
              <w:t>类</w:t>
            </w:r>
          </w:p>
        </w:tc>
      </w:tr>
      <w:tr w14:paraId="4933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34EEF5E">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2641B534">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41D14D61">
            <w:pPr>
              <w:tabs>
                <w:tab w:val="left" w:pos="593"/>
                <w:tab w:val="left" w:pos="3220"/>
              </w:tabs>
              <w:spacing w:before="100" w:beforeAutospacing="1" w:after="100" w:afterAutospacing="1" w:line="300" w:lineRule="auto"/>
              <w:jc w:val="center"/>
              <w:rPr>
                <w:rFonts w:cs="宋体"/>
              </w:rPr>
            </w:pPr>
            <w:r>
              <w:rPr>
                <w:rFonts w:hint="eastAsia" w:ascii="宋体" w:hAnsi="宋体"/>
              </w:rPr>
              <w:t>半导电料</w:t>
            </w:r>
          </w:p>
        </w:tc>
        <w:tc>
          <w:tcPr>
            <w:tcW w:w="1015" w:type="dxa"/>
            <w:tcBorders>
              <w:top w:val="single" w:color="auto" w:sz="4" w:space="0"/>
              <w:left w:val="single" w:color="auto" w:sz="4" w:space="0"/>
              <w:bottom w:val="single" w:color="auto" w:sz="4" w:space="0"/>
              <w:right w:val="single" w:color="auto" w:sz="4" w:space="0"/>
            </w:tcBorders>
            <w:vAlign w:val="center"/>
          </w:tcPr>
          <w:p w14:paraId="159252A4">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29790D3C">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3FD7E5B">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EE52E71">
            <w:pPr>
              <w:jc w:val="center"/>
              <w:rPr>
                <w:rFonts w:ascii="宋体" w:hAnsi="宋体"/>
                <w:color w:val="000000"/>
              </w:rPr>
            </w:pPr>
            <w:r>
              <w:rPr>
                <w:rFonts w:hint="eastAsia"/>
                <w:color w:val="000000"/>
              </w:rPr>
              <w:t>A</w:t>
            </w:r>
            <w:r>
              <w:rPr>
                <w:rFonts w:hint="eastAsia" w:ascii="宋体" w:hAnsi="宋体"/>
                <w:color w:val="000000"/>
              </w:rPr>
              <w:t>类</w:t>
            </w:r>
          </w:p>
        </w:tc>
      </w:tr>
      <w:tr w14:paraId="58C8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58BCF54F">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641BB2BC">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15A4CABD">
            <w:pPr>
              <w:tabs>
                <w:tab w:val="left" w:pos="593"/>
                <w:tab w:val="left" w:pos="3220"/>
              </w:tabs>
              <w:spacing w:before="100" w:beforeAutospacing="1" w:after="100" w:afterAutospacing="1" w:line="300" w:lineRule="auto"/>
              <w:jc w:val="center"/>
              <w:rPr>
                <w:rFonts w:cs="宋体"/>
              </w:rPr>
            </w:pPr>
            <w:r>
              <w:rPr>
                <w:rFonts w:hint="eastAsia" w:ascii="宋体" w:hAnsi="宋体"/>
              </w:rPr>
              <w:t>橡胶应力锥及预制橡胶绝缘件（如有）</w:t>
            </w:r>
          </w:p>
        </w:tc>
        <w:tc>
          <w:tcPr>
            <w:tcW w:w="1015" w:type="dxa"/>
            <w:tcBorders>
              <w:top w:val="single" w:color="auto" w:sz="4" w:space="0"/>
              <w:left w:val="single" w:color="auto" w:sz="4" w:space="0"/>
              <w:bottom w:val="single" w:color="auto" w:sz="4" w:space="0"/>
              <w:right w:val="single" w:color="auto" w:sz="4" w:space="0"/>
            </w:tcBorders>
            <w:vAlign w:val="center"/>
          </w:tcPr>
          <w:p w14:paraId="6E027279">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6EEE868A">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FAC3C44">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1D90D858">
            <w:pPr>
              <w:jc w:val="center"/>
              <w:rPr>
                <w:rFonts w:ascii="宋体" w:hAnsi="宋体"/>
                <w:color w:val="000000"/>
              </w:rPr>
            </w:pPr>
            <w:r>
              <w:rPr>
                <w:rFonts w:hint="eastAsia"/>
                <w:color w:val="000000"/>
              </w:rPr>
              <w:t>A</w:t>
            </w:r>
            <w:r>
              <w:rPr>
                <w:rFonts w:hint="eastAsia" w:ascii="宋体" w:hAnsi="宋体"/>
                <w:color w:val="000000"/>
              </w:rPr>
              <w:t>类</w:t>
            </w:r>
          </w:p>
        </w:tc>
      </w:tr>
      <w:tr w14:paraId="0EC6E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1A408C64">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3956892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47D99409">
            <w:pPr>
              <w:tabs>
                <w:tab w:val="left" w:pos="593"/>
                <w:tab w:val="left" w:pos="3220"/>
              </w:tabs>
              <w:spacing w:before="100" w:beforeAutospacing="1" w:after="100" w:afterAutospacing="1" w:line="300" w:lineRule="auto"/>
              <w:jc w:val="center"/>
              <w:rPr>
                <w:rFonts w:cs="宋体"/>
              </w:rPr>
            </w:pPr>
            <w:r>
              <w:rPr>
                <w:rFonts w:hint="eastAsia" w:ascii="宋体" w:hAnsi="宋体"/>
              </w:rPr>
              <w:t>环氧预制件（如有）</w:t>
            </w:r>
          </w:p>
        </w:tc>
        <w:tc>
          <w:tcPr>
            <w:tcW w:w="1015" w:type="dxa"/>
            <w:tcBorders>
              <w:top w:val="single" w:color="auto" w:sz="4" w:space="0"/>
              <w:left w:val="single" w:color="auto" w:sz="4" w:space="0"/>
              <w:bottom w:val="single" w:color="auto" w:sz="4" w:space="0"/>
              <w:right w:val="single" w:color="auto" w:sz="4" w:space="0"/>
            </w:tcBorders>
            <w:vAlign w:val="center"/>
          </w:tcPr>
          <w:p w14:paraId="0110ED72">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171EF88">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AFEE1F8">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6F2F907D">
            <w:pPr>
              <w:jc w:val="center"/>
              <w:rPr>
                <w:rFonts w:ascii="宋体" w:hAnsi="宋体"/>
                <w:color w:val="000000"/>
              </w:rPr>
            </w:pPr>
            <w:r>
              <w:rPr>
                <w:rFonts w:hint="eastAsia"/>
                <w:color w:val="000000"/>
              </w:rPr>
              <w:t>B</w:t>
            </w:r>
            <w:r>
              <w:rPr>
                <w:rFonts w:hint="eastAsia" w:ascii="宋体" w:hAnsi="宋体"/>
                <w:color w:val="000000"/>
              </w:rPr>
              <w:t>类</w:t>
            </w:r>
          </w:p>
        </w:tc>
      </w:tr>
      <w:tr w14:paraId="13FD8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00CFF50B">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44F861BD">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7CA7917">
            <w:pPr>
              <w:tabs>
                <w:tab w:val="left" w:pos="593"/>
                <w:tab w:val="left" w:pos="3220"/>
              </w:tabs>
              <w:spacing w:before="100" w:beforeAutospacing="1" w:after="100" w:afterAutospacing="1" w:line="300" w:lineRule="auto"/>
              <w:jc w:val="center"/>
            </w:pPr>
            <w:r>
              <w:rPr>
                <w:rFonts w:hint="eastAsia" w:ascii="宋体" w:hAnsi="宋体"/>
              </w:rPr>
              <w:t>绝缘填充剂</w:t>
            </w:r>
          </w:p>
        </w:tc>
        <w:tc>
          <w:tcPr>
            <w:tcW w:w="1015" w:type="dxa"/>
            <w:tcBorders>
              <w:top w:val="single" w:color="auto" w:sz="4" w:space="0"/>
              <w:left w:val="single" w:color="auto" w:sz="4" w:space="0"/>
              <w:bottom w:val="single" w:color="auto" w:sz="4" w:space="0"/>
              <w:right w:val="single" w:color="auto" w:sz="4" w:space="0"/>
            </w:tcBorders>
            <w:vAlign w:val="center"/>
          </w:tcPr>
          <w:p w14:paraId="7D9415BC">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512B7D9">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A23BEB3">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38579BB7">
            <w:pPr>
              <w:jc w:val="center"/>
              <w:rPr>
                <w:rFonts w:ascii="宋体" w:hAnsi="宋体"/>
                <w:color w:val="000000"/>
              </w:rPr>
            </w:pPr>
            <w:r>
              <w:rPr>
                <w:rFonts w:hint="eastAsia"/>
                <w:color w:val="000000"/>
              </w:rPr>
              <w:t>B</w:t>
            </w:r>
            <w:r>
              <w:rPr>
                <w:rFonts w:hint="eastAsia" w:ascii="宋体" w:hAnsi="宋体"/>
                <w:color w:val="000000"/>
              </w:rPr>
              <w:t>类</w:t>
            </w:r>
          </w:p>
        </w:tc>
      </w:tr>
      <w:tr w14:paraId="37823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bottom w:val="single" w:color="auto" w:sz="4" w:space="0"/>
              <w:right w:val="single" w:color="auto" w:sz="4" w:space="0"/>
            </w:tcBorders>
            <w:vAlign w:val="center"/>
          </w:tcPr>
          <w:p w14:paraId="006212F8">
            <w:pPr>
              <w:spacing w:after="120"/>
              <w:jc w:val="center"/>
              <w:rPr>
                <w:rFonts w:ascii="宋体" w:hAnsi="宋体"/>
                <w:color w:val="000000"/>
              </w:rPr>
            </w:pPr>
          </w:p>
        </w:tc>
        <w:tc>
          <w:tcPr>
            <w:tcW w:w="916" w:type="dxa"/>
            <w:vMerge w:val="continue"/>
            <w:tcBorders>
              <w:left w:val="single" w:color="auto" w:sz="4" w:space="0"/>
              <w:bottom w:val="single" w:color="auto" w:sz="4" w:space="0"/>
              <w:right w:val="single" w:color="auto" w:sz="4" w:space="0"/>
            </w:tcBorders>
            <w:vAlign w:val="center"/>
          </w:tcPr>
          <w:p w14:paraId="4D7E5B48">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380B2ED">
            <w:pPr>
              <w:tabs>
                <w:tab w:val="left" w:pos="593"/>
                <w:tab w:val="left" w:pos="3220"/>
              </w:tabs>
              <w:spacing w:before="100" w:beforeAutospacing="1" w:after="100" w:afterAutospacing="1" w:line="300" w:lineRule="auto"/>
              <w:jc w:val="center"/>
            </w:pPr>
            <w:r>
              <w:rPr>
                <w:rFonts w:hint="eastAsia" w:ascii="宋体" w:hAnsi="宋体"/>
              </w:rPr>
              <w:t>带材</w:t>
            </w:r>
          </w:p>
        </w:tc>
        <w:tc>
          <w:tcPr>
            <w:tcW w:w="1015" w:type="dxa"/>
            <w:tcBorders>
              <w:top w:val="single" w:color="auto" w:sz="4" w:space="0"/>
              <w:left w:val="single" w:color="auto" w:sz="4" w:space="0"/>
              <w:bottom w:val="single" w:color="auto" w:sz="4" w:space="0"/>
              <w:right w:val="single" w:color="auto" w:sz="4" w:space="0"/>
            </w:tcBorders>
            <w:vAlign w:val="center"/>
          </w:tcPr>
          <w:p w14:paraId="7B5CE0D2">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529D75E">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1380D63">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E665971">
            <w:pPr>
              <w:jc w:val="center"/>
              <w:rPr>
                <w:rFonts w:ascii="宋体" w:hAnsi="宋体"/>
                <w:color w:val="000000"/>
              </w:rPr>
            </w:pPr>
            <w:r>
              <w:rPr>
                <w:rFonts w:hint="eastAsia"/>
                <w:color w:val="000000"/>
              </w:rPr>
              <w:t>C类</w:t>
            </w:r>
          </w:p>
        </w:tc>
      </w:tr>
      <w:tr w14:paraId="48596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restart"/>
            <w:tcBorders>
              <w:top w:val="single" w:color="auto" w:sz="4" w:space="0"/>
              <w:left w:val="single" w:color="auto" w:sz="4" w:space="0"/>
              <w:right w:val="single" w:color="auto" w:sz="4" w:space="0"/>
            </w:tcBorders>
            <w:vAlign w:val="center"/>
          </w:tcPr>
          <w:p w14:paraId="18EC211C">
            <w:pPr>
              <w:spacing w:after="120"/>
              <w:jc w:val="center"/>
              <w:rPr>
                <w:rFonts w:ascii="宋体" w:hAnsi="宋体"/>
                <w:color w:val="000000"/>
              </w:rPr>
            </w:pPr>
            <w:r>
              <w:rPr>
                <w:rFonts w:hint="eastAsia"/>
                <w:color w:val="000000"/>
              </w:rPr>
              <w:t>3</w:t>
            </w:r>
          </w:p>
        </w:tc>
        <w:tc>
          <w:tcPr>
            <w:tcW w:w="916" w:type="dxa"/>
            <w:vMerge w:val="restart"/>
            <w:tcBorders>
              <w:top w:val="single" w:color="auto" w:sz="4" w:space="0"/>
              <w:left w:val="single" w:color="auto" w:sz="4" w:space="0"/>
              <w:right w:val="single" w:color="auto" w:sz="4" w:space="0"/>
            </w:tcBorders>
            <w:vAlign w:val="center"/>
          </w:tcPr>
          <w:p w14:paraId="35BEDDEE">
            <w:pPr>
              <w:spacing w:after="156"/>
              <w:jc w:val="center"/>
              <w:rPr>
                <w:rFonts w:ascii="宋体" w:hAnsi="宋体"/>
                <w:color w:val="000000"/>
              </w:rPr>
            </w:pPr>
            <w:r>
              <w:rPr>
                <w:rFonts w:hint="eastAsia" w:ascii="宋体" w:hAnsi="宋体"/>
              </w:rPr>
              <w:t>附件检查</w:t>
            </w:r>
          </w:p>
        </w:tc>
        <w:tc>
          <w:tcPr>
            <w:tcW w:w="2504" w:type="dxa"/>
            <w:tcBorders>
              <w:top w:val="single" w:color="auto" w:sz="4" w:space="0"/>
              <w:left w:val="single" w:color="auto" w:sz="4" w:space="0"/>
              <w:bottom w:val="single" w:color="auto" w:sz="4" w:space="0"/>
              <w:right w:val="single" w:color="auto" w:sz="4" w:space="0"/>
            </w:tcBorders>
            <w:vAlign w:val="center"/>
          </w:tcPr>
          <w:p w14:paraId="7654B41F">
            <w:pPr>
              <w:tabs>
                <w:tab w:val="left" w:pos="593"/>
                <w:tab w:val="left" w:pos="3220"/>
              </w:tabs>
              <w:spacing w:before="100" w:beforeAutospacing="1" w:after="100" w:afterAutospacing="1" w:line="300" w:lineRule="auto"/>
              <w:jc w:val="center"/>
              <w:rPr>
                <w:rFonts w:cs="宋体"/>
              </w:rPr>
            </w:pPr>
            <w:r>
              <w:rPr>
                <w:rFonts w:hint="eastAsia"/>
              </w:rPr>
              <w:t>GIS</w:t>
            </w:r>
            <w:r>
              <w:rPr>
                <w:rFonts w:hint="eastAsia" w:ascii="宋体" w:hAnsi="宋体"/>
              </w:rPr>
              <w:t>终端</w:t>
            </w:r>
          </w:p>
        </w:tc>
        <w:tc>
          <w:tcPr>
            <w:tcW w:w="1015" w:type="dxa"/>
            <w:tcBorders>
              <w:top w:val="single" w:color="auto" w:sz="4" w:space="0"/>
              <w:left w:val="single" w:color="auto" w:sz="4" w:space="0"/>
              <w:bottom w:val="single" w:color="auto" w:sz="4" w:space="0"/>
              <w:right w:val="single" w:color="auto" w:sz="4" w:space="0"/>
            </w:tcBorders>
            <w:vAlign w:val="center"/>
          </w:tcPr>
          <w:p w14:paraId="2A8F001A">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B039C38">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48CE1B7">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0BBC0D5D">
            <w:pPr>
              <w:jc w:val="center"/>
              <w:rPr>
                <w:rFonts w:ascii="宋体" w:hAnsi="宋体"/>
                <w:color w:val="000000"/>
              </w:rPr>
            </w:pPr>
            <w:r>
              <w:rPr>
                <w:rFonts w:hint="eastAsia"/>
                <w:color w:val="000000"/>
              </w:rPr>
              <w:t>A</w:t>
            </w:r>
            <w:r>
              <w:rPr>
                <w:rFonts w:hint="eastAsia" w:ascii="宋体" w:hAnsi="宋体"/>
                <w:color w:val="000000"/>
              </w:rPr>
              <w:t>类</w:t>
            </w:r>
          </w:p>
        </w:tc>
      </w:tr>
      <w:tr w14:paraId="33F7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32" w:type="dxa"/>
            <w:vMerge w:val="continue"/>
            <w:tcBorders>
              <w:left w:val="single" w:color="auto" w:sz="4" w:space="0"/>
              <w:right w:val="single" w:color="auto" w:sz="4" w:space="0"/>
            </w:tcBorders>
            <w:vAlign w:val="center"/>
          </w:tcPr>
          <w:p w14:paraId="27F01F9B">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41F9575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1599BE17">
            <w:pPr>
              <w:tabs>
                <w:tab w:val="left" w:pos="593"/>
                <w:tab w:val="left" w:pos="3220"/>
              </w:tabs>
              <w:spacing w:before="100" w:beforeAutospacing="1" w:after="100" w:afterAutospacing="1" w:line="300" w:lineRule="auto"/>
              <w:jc w:val="center"/>
              <w:rPr>
                <w:rFonts w:cs="宋体"/>
              </w:rPr>
            </w:pPr>
            <w:r>
              <w:rPr>
                <w:rFonts w:hint="eastAsia" w:ascii="宋体" w:hAnsi="宋体"/>
              </w:rPr>
              <w:t>工厂接头</w:t>
            </w:r>
          </w:p>
        </w:tc>
        <w:tc>
          <w:tcPr>
            <w:tcW w:w="1015" w:type="dxa"/>
            <w:tcBorders>
              <w:top w:val="single" w:color="auto" w:sz="4" w:space="0"/>
              <w:left w:val="single" w:color="auto" w:sz="4" w:space="0"/>
              <w:bottom w:val="single" w:color="auto" w:sz="4" w:space="0"/>
              <w:right w:val="single" w:color="auto" w:sz="4" w:space="0"/>
            </w:tcBorders>
            <w:vAlign w:val="center"/>
          </w:tcPr>
          <w:p w14:paraId="461E4562">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2588FF4">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A9744D3">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83853E7">
            <w:pPr>
              <w:jc w:val="center"/>
              <w:rPr>
                <w:rFonts w:ascii="宋体" w:hAnsi="宋体"/>
                <w:color w:val="000000"/>
              </w:rPr>
            </w:pPr>
            <w:r>
              <w:rPr>
                <w:rFonts w:hint="eastAsia"/>
                <w:color w:val="000000"/>
              </w:rPr>
              <w:t>A</w:t>
            </w:r>
            <w:r>
              <w:rPr>
                <w:rFonts w:hint="eastAsia" w:ascii="宋体" w:hAnsi="宋体"/>
                <w:color w:val="000000"/>
              </w:rPr>
              <w:t>类</w:t>
            </w:r>
          </w:p>
        </w:tc>
      </w:tr>
      <w:tr w14:paraId="47B2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3F78144B">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7CAF54B6">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D51D7A7">
            <w:pPr>
              <w:tabs>
                <w:tab w:val="left" w:pos="593"/>
                <w:tab w:val="left" w:pos="3220"/>
              </w:tabs>
              <w:spacing w:before="100" w:beforeAutospacing="1" w:after="100" w:afterAutospacing="1" w:line="300" w:lineRule="auto"/>
              <w:jc w:val="center"/>
              <w:rPr>
                <w:rFonts w:cs="宋体"/>
              </w:rPr>
            </w:pPr>
            <w:r>
              <w:rPr>
                <w:rFonts w:hint="eastAsia" w:ascii="宋体" w:hAnsi="宋体"/>
              </w:rPr>
              <w:t>海缆接地线</w:t>
            </w:r>
          </w:p>
        </w:tc>
        <w:tc>
          <w:tcPr>
            <w:tcW w:w="1015" w:type="dxa"/>
            <w:tcBorders>
              <w:top w:val="single" w:color="auto" w:sz="4" w:space="0"/>
              <w:left w:val="single" w:color="auto" w:sz="4" w:space="0"/>
              <w:bottom w:val="single" w:color="auto" w:sz="4" w:space="0"/>
              <w:right w:val="single" w:color="auto" w:sz="4" w:space="0"/>
            </w:tcBorders>
            <w:vAlign w:val="center"/>
          </w:tcPr>
          <w:p w14:paraId="77CB2683">
            <w:pPr>
              <w:spacing w:after="1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79171BD">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31C54D22">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92CD349">
            <w:pPr>
              <w:jc w:val="center"/>
              <w:rPr>
                <w:rFonts w:ascii="宋体" w:hAnsi="宋体"/>
                <w:color w:val="000000"/>
              </w:rPr>
            </w:pPr>
            <w:r>
              <w:rPr>
                <w:rFonts w:hint="eastAsia"/>
                <w:color w:val="000000"/>
              </w:rPr>
              <w:t>B</w:t>
            </w:r>
            <w:r>
              <w:rPr>
                <w:rFonts w:hint="eastAsia" w:ascii="宋体" w:hAnsi="宋体"/>
                <w:color w:val="000000"/>
              </w:rPr>
              <w:t>类</w:t>
            </w:r>
          </w:p>
        </w:tc>
      </w:tr>
      <w:tr w14:paraId="09B92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88D704D">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551A0AB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31B13E2">
            <w:pPr>
              <w:tabs>
                <w:tab w:val="left" w:pos="593"/>
                <w:tab w:val="left" w:pos="3220"/>
              </w:tabs>
              <w:spacing w:before="100" w:beforeAutospacing="1" w:after="100" w:afterAutospacing="1" w:line="300" w:lineRule="auto"/>
              <w:jc w:val="center"/>
              <w:rPr>
                <w:rFonts w:cs="宋体"/>
              </w:rPr>
            </w:pPr>
            <w:r>
              <w:rPr>
                <w:rFonts w:hint="eastAsia" w:ascii="宋体" w:hAnsi="宋体"/>
              </w:rPr>
              <w:t>锚固装置</w:t>
            </w:r>
          </w:p>
        </w:tc>
        <w:tc>
          <w:tcPr>
            <w:tcW w:w="1015" w:type="dxa"/>
            <w:tcBorders>
              <w:top w:val="single" w:color="auto" w:sz="4" w:space="0"/>
              <w:left w:val="single" w:color="auto" w:sz="4" w:space="0"/>
              <w:bottom w:val="single" w:color="auto" w:sz="4" w:space="0"/>
              <w:right w:val="single" w:color="auto" w:sz="4" w:space="0"/>
            </w:tcBorders>
            <w:vAlign w:val="center"/>
          </w:tcPr>
          <w:p w14:paraId="20D69E6B">
            <w:pPr>
              <w:spacing w:after="156"/>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64883620">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8915FDC">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C176CE3">
            <w:pPr>
              <w:jc w:val="center"/>
              <w:rPr>
                <w:rFonts w:ascii="宋体" w:hAnsi="宋体"/>
                <w:color w:val="000000"/>
              </w:rPr>
            </w:pPr>
            <w:r>
              <w:rPr>
                <w:rFonts w:hint="eastAsia"/>
                <w:color w:val="000000"/>
              </w:rPr>
              <w:t>C</w:t>
            </w:r>
            <w:r>
              <w:rPr>
                <w:rFonts w:hint="eastAsia" w:ascii="宋体" w:hAnsi="宋体"/>
                <w:color w:val="000000"/>
              </w:rPr>
              <w:t>类</w:t>
            </w:r>
          </w:p>
        </w:tc>
      </w:tr>
      <w:tr w14:paraId="2A351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1EC841C6">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03901CB4">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4AA9DBB7">
            <w:pPr>
              <w:tabs>
                <w:tab w:val="left" w:pos="593"/>
                <w:tab w:val="left" w:pos="3220"/>
              </w:tabs>
              <w:spacing w:before="100" w:beforeAutospacing="1" w:after="100" w:afterAutospacing="1" w:line="300" w:lineRule="auto"/>
              <w:jc w:val="center"/>
            </w:pPr>
            <w:r>
              <w:rPr>
                <w:rFonts w:hint="eastAsia" w:ascii="宋体" w:hAnsi="宋体"/>
              </w:rPr>
              <w:t>弯曲限制器</w:t>
            </w:r>
          </w:p>
        </w:tc>
        <w:tc>
          <w:tcPr>
            <w:tcW w:w="1015" w:type="dxa"/>
            <w:tcBorders>
              <w:top w:val="single" w:color="auto" w:sz="4" w:space="0"/>
              <w:left w:val="single" w:color="auto" w:sz="4" w:space="0"/>
              <w:bottom w:val="single" w:color="auto" w:sz="4" w:space="0"/>
              <w:right w:val="single" w:color="auto" w:sz="4" w:space="0"/>
            </w:tcBorders>
            <w:vAlign w:val="center"/>
          </w:tcPr>
          <w:p w14:paraId="715EC967">
            <w:pPr>
              <w:spacing w:after="120"/>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C617106">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139CFB8">
            <w:pPr>
              <w:spacing w:after="120"/>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1E285D5">
            <w:pPr>
              <w:jc w:val="center"/>
              <w:rPr>
                <w:rFonts w:ascii="宋体" w:hAnsi="宋体"/>
                <w:color w:val="000000"/>
              </w:rPr>
            </w:pPr>
            <w:r>
              <w:rPr>
                <w:rFonts w:hint="eastAsia"/>
                <w:color w:val="000000"/>
              </w:rPr>
              <w:t>C</w:t>
            </w:r>
            <w:r>
              <w:rPr>
                <w:rFonts w:hint="eastAsia" w:ascii="宋体" w:hAnsi="宋体"/>
                <w:color w:val="000000"/>
              </w:rPr>
              <w:t>类</w:t>
            </w:r>
          </w:p>
        </w:tc>
      </w:tr>
      <w:tr w14:paraId="2C24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52546BFF">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0BBFFC11">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F35D744">
            <w:pPr>
              <w:tabs>
                <w:tab w:val="left" w:pos="593"/>
                <w:tab w:val="left" w:pos="3220"/>
              </w:tabs>
              <w:spacing w:before="100" w:beforeAutospacing="1" w:after="100" w:afterAutospacing="1" w:line="300" w:lineRule="auto"/>
              <w:jc w:val="center"/>
            </w:pPr>
            <w:r>
              <w:rPr>
                <w:rFonts w:hint="eastAsia" w:ascii="宋体" w:hAnsi="宋体"/>
              </w:rPr>
              <w:t>海缆密封帽及拖拉装置</w:t>
            </w:r>
          </w:p>
        </w:tc>
        <w:tc>
          <w:tcPr>
            <w:tcW w:w="1015" w:type="dxa"/>
            <w:tcBorders>
              <w:top w:val="single" w:color="auto" w:sz="4" w:space="0"/>
              <w:left w:val="single" w:color="auto" w:sz="4" w:space="0"/>
              <w:bottom w:val="single" w:color="auto" w:sz="4" w:space="0"/>
              <w:right w:val="single" w:color="auto" w:sz="4" w:space="0"/>
            </w:tcBorders>
            <w:vAlign w:val="center"/>
          </w:tcPr>
          <w:p w14:paraId="2F90234C">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7A6DB0C">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72E3D4A">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3F2293B">
            <w:pPr>
              <w:jc w:val="center"/>
              <w:rPr>
                <w:rFonts w:ascii="宋体" w:hAnsi="宋体"/>
                <w:color w:val="000000"/>
              </w:rPr>
            </w:pPr>
            <w:r>
              <w:rPr>
                <w:rFonts w:hint="eastAsia"/>
                <w:color w:val="000000"/>
              </w:rPr>
              <w:t>C</w:t>
            </w:r>
            <w:r>
              <w:rPr>
                <w:rFonts w:hint="eastAsia" w:ascii="宋体" w:hAnsi="宋体"/>
                <w:color w:val="000000"/>
              </w:rPr>
              <w:t>类</w:t>
            </w:r>
          </w:p>
        </w:tc>
      </w:tr>
      <w:tr w14:paraId="6E89D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bottom w:val="single" w:color="auto" w:sz="4" w:space="0"/>
              <w:right w:val="single" w:color="auto" w:sz="4" w:space="0"/>
            </w:tcBorders>
            <w:vAlign w:val="center"/>
          </w:tcPr>
          <w:p w14:paraId="14DEF393">
            <w:pPr>
              <w:spacing w:after="120"/>
              <w:jc w:val="center"/>
              <w:rPr>
                <w:rFonts w:ascii="宋体" w:hAnsi="宋体"/>
                <w:color w:val="000000"/>
              </w:rPr>
            </w:pPr>
          </w:p>
        </w:tc>
        <w:tc>
          <w:tcPr>
            <w:tcW w:w="916" w:type="dxa"/>
            <w:vMerge w:val="continue"/>
            <w:tcBorders>
              <w:left w:val="single" w:color="auto" w:sz="4" w:space="0"/>
              <w:bottom w:val="single" w:color="auto" w:sz="4" w:space="0"/>
              <w:right w:val="single" w:color="auto" w:sz="4" w:space="0"/>
            </w:tcBorders>
            <w:vAlign w:val="center"/>
          </w:tcPr>
          <w:p w14:paraId="4832FE0E">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7494D01">
            <w:pPr>
              <w:tabs>
                <w:tab w:val="left" w:pos="593"/>
                <w:tab w:val="left" w:pos="3220"/>
              </w:tabs>
              <w:spacing w:before="100" w:beforeAutospacing="1" w:after="100" w:afterAutospacing="1" w:line="300" w:lineRule="auto"/>
              <w:jc w:val="center"/>
            </w:pPr>
            <w:r>
              <w:rPr>
                <w:rFonts w:hint="eastAsia" w:ascii="宋体" w:hAnsi="宋体"/>
              </w:rPr>
              <w:t>光纤接续盒</w:t>
            </w:r>
          </w:p>
        </w:tc>
        <w:tc>
          <w:tcPr>
            <w:tcW w:w="1015" w:type="dxa"/>
            <w:tcBorders>
              <w:top w:val="single" w:color="auto" w:sz="4" w:space="0"/>
              <w:left w:val="single" w:color="auto" w:sz="4" w:space="0"/>
              <w:bottom w:val="single" w:color="auto" w:sz="4" w:space="0"/>
              <w:right w:val="single" w:color="auto" w:sz="4" w:space="0"/>
            </w:tcBorders>
            <w:vAlign w:val="center"/>
          </w:tcPr>
          <w:p w14:paraId="021C0B1D">
            <w:pPr>
              <w:spacing w:after="120"/>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8E312A8">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A4F7694">
            <w:pPr>
              <w:spacing w:after="120"/>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584B113">
            <w:pPr>
              <w:jc w:val="center"/>
              <w:rPr>
                <w:rFonts w:ascii="宋体" w:hAnsi="宋体"/>
                <w:color w:val="000000"/>
              </w:rPr>
            </w:pPr>
            <w:r>
              <w:rPr>
                <w:rFonts w:hint="eastAsia"/>
                <w:color w:val="000000"/>
              </w:rPr>
              <w:t>C</w:t>
            </w:r>
            <w:r>
              <w:rPr>
                <w:rFonts w:hint="eastAsia" w:ascii="宋体" w:hAnsi="宋体"/>
                <w:color w:val="000000"/>
              </w:rPr>
              <w:t>类</w:t>
            </w:r>
          </w:p>
        </w:tc>
      </w:tr>
      <w:tr w14:paraId="4C5B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restart"/>
            <w:tcBorders>
              <w:top w:val="single" w:color="auto" w:sz="4" w:space="0"/>
              <w:left w:val="single" w:color="auto" w:sz="4" w:space="0"/>
              <w:right w:val="single" w:color="auto" w:sz="4" w:space="0"/>
            </w:tcBorders>
            <w:vAlign w:val="center"/>
          </w:tcPr>
          <w:p w14:paraId="39BC7FFE">
            <w:pPr>
              <w:spacing w:after="120"/>
              <w:jc w:val="center"/>
              <w:rPr>
                <w:rFonts w:ascii="宋体" w:hAnsi="宋体"/>
                <w:color w:val="000000"/>
              </w:rPr>
            </w:pPr>
            <w:r>
              <w:rPr>
                <w:rFonts w:hint="eastAsia"/>
                <w:color w:val="000000"/>
              </w:rPr>
              <w:t>4</w:t>
            </w:r>
          </w:p>
        </w:tc>
        <w:tc>
          <w:tcPr>
            <w:tcW w:w="916" w:type="dxa"/>
            <w:vMerge w:val="restart"/>
            <w:tcBorders>
              <w:top w:val="single" w:color="auto" w:sz="4" w:space="0"/>
              <w:left w:val="single" w:color="auto" w:sz="4" w:space="0"/>
              <w:right w:val="single" w:color="auto" w:sz="4" w:space="0"/>
            </w:tcBorders>
            <w:vAlign w:val="center"/>
          </w:tcPr>
          <w:p w14:paraId="0F870386">
            <w:pPr>
              <w:spacing w:after="156"/>
              <w:jc w:val="center"/>
              <w:rPr>
                <w:color w:val="000000"/>
              </w:rPr>
            </w:pPr>
            <w:r>
              <w:rPr>
                <w:rFonts w:hint="eastAsia"/>
              </w:rPr>
              <w:t>500</w:t>
            </w:r>
            <w:r>
              <w:rPr>
                <w:rFonts w:hint="eastAsia" w:ascii="宋体" w:hAnsi="宋体"/>
              </w:rPr>
              <w:t>ｋＶ海底电缆关键生产、装配过程</w:t>
            </w:r>
          </w:p>
        </w:tc>
        <w:tc>
          <w:tcPr>
            <w:tcW w:w="2504" w:type="dxa"/>
            <w:tcBorders>
              <w:top w:val="single" w:color="auto" w:sz="4" w:space="0"/>
              <w:left w:val="single" w:color="auto" w:sz="4" w:space="0"/>
              <w:bottom w:val="single" w:color="auto" w:sz="4" w:space="0"/>
              <w:right w:val="single" w:color="auto" w:sz="4" w:space="0"/>
            </w:tcBorders>
            <w:vAlign w:val="center"/>
          </w:tcPr>
          <w:p w14:paraId="499EF3C3">
            <w:pPr>
              <w:tabs>
                <w:tab w:val="left" w:pos="3220"/>
              </w:tabs>
              <w:spacing w:line="300" w:lineRule="auto"/>
              <w:ind w:left="2"/>
              <w:jc w:val="center"/>
              <w:rPr>
                <w:rFonts w:ascii="宋体" w:hAnsi="宋体"/>
                <w:color w:val="000000"/>
              </w:rPr>
            </w:pPr>
            <w:r>
              <w:rPr>
                <w:rFonts w:hint="eastAsia" w:ascii="宋体" w:hAnsi="宋体"/>
                <w:color w:val="000000"/>
              </w:rPr>
              <w:t>拉丝工序</w:t>
            </w:r>
          </w:p>
        </w:tc>
        <w:tc>
          <w:tcPr>
            <w:tcW w:w="1015" w:type="dxa"/>
            <w:tcBorders>
              <w:top w:val="single" w:color="auto" w:sz="4" w:space="0"/>
              <w:left w:val="single" w:color="auto" w:sz="4" w:space="0"/>
              <w:bottom w:val="single" w:color="auto" w:sz="4" w:space="0"/>
              <w:right w:val="single" w:color="auto" w:sz="4" w:space="0"/>
            </w:tcBorders>
            <w:vAlign w:val="center"/>
          </w:tcPr>
          <w:p w14:paraId="71FA4FA3">
            <w:pPr>
              <w:spacing w:after="156"/>
              <w:ind w:left="4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2ACE0B37">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3D90FF25">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E98F0D3">
            <w:pPr>
              <w:jc w:val="center"/>
              <w:rPr>
                <w:rFonts w:ascii="宋体" w:hAnsi="宋体"/>
                <w:color w:val="000000"/>
              </w:rPr>
            </w:pPr>
            <w:r>
              <w:rPr>
                <w:rFonts w:hint="eastAsia"/>
                <w:color w:val="000000"/>
              </w:rPr>
              <w:t>B</w:t>
            </w:r>
            <w:r>
              <w:rPr>
                <w:rFonts w:hint="eastAsia" w:ascii="宋体" w:hAnsi="宋体"/>
                <w:color w:val="000000"/>
              </w:rPr>
              <w:t>类</w:t>
            </w:r>
          </w:p>
        </w:tc>
      </w:tr>
      <w:tr w14:paraId="682C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8B9BDB3">
            <w:pPr>
              <w:spacing w:after="120"/>
              <w:jc w:val="center"/>
              <w:rPr>
                <w:color w:val="000000"/>
              </w:rPr>
            </w:pPr>
          </w:p>
        </w:tc>
        <w:tc>
          <w:tcPr>
            <w:tcW w:w="916" w:type="dxa"/>
            <w:vMerge w:val="continue"/>
            <w:tcBorders>
              <w:left w:val="single" w:color="auto" w:sz="4" w:space="0"/>
              <w:right w:val="single" w:color="auto" w:sz="4" w:space="0"/>
            </w:tcBorders>
            <w:vAlign w:val="center"/>
          </w:tcPr>
          <w:p w14:paraId="08AF756A">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4E3820E0">
            <w:pPr>
              <w:tabs>
                <w:tab w:val="left" w:pos="3220"/>
              </w:tabs>
              <w:spacing w:line="300" w:lineRule="auto"/>
              <w:ind w:left="2"/>
              <w:jc w:val="center"/>
              <w:rPr>
                <w:rFonts w:ascii="宋体" w:hAnsi="宋体"/>
                <w:color w:val="000000"/>
              </w:rPr>
            </w:pPr>
            <w:r>
              <w:rPr>
                <w:rFonts w:hint="eastAsia" w:ascii="宋体" w:hAnsi="宋体"/>
                <w:color w:val="000000"/>
              </w:rPr>
              <w:t>导体工序</w:t>
            </w:r>
          </w:p>
        </w:tc>
        <w:tc>
          <w:tcPr>
            <w:tcW w:w="1015" w:type="dxa"/>
            <w:tcBorders>
              <w:top w:val="single" w:color="auto" w:sz="4" w:space="0"/>
              <w:left w:val="single" w:color="auto" w:sz="4" w:space="0"/>
              <w:bottom w:val="single" w:color="auto" w:sz="4" w:space="0"/>
              <w:right w:val="single" w:color="auto" w:sz="4" w:space="0"/>
            </w:tcBorders>
            <w:vAlign w:val="center"/>
          </w:tcPr>
          <w:p w14:paraId="5A520225">
            <w:pPr>
              <w:spacing w:after="156"/>
              <w:ind w:left="4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7293E4E">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447E94A">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5CD8323">
            <w:pPr>
              <w:jc w:val="center"/>
              <w:rPr>
                <w:rFonts w:ascii="宋体" w:hAnsi="宋体"/>
                <w:color w:val="000000"/>
              </w:rPr>
            </w:pPr>
            <w:r>
              <w:rPr>
                <w:rFonts w:hint="eastAsia"/>
                <w:color w:val="000000"/>
              </w:rPr>
              <w:t>B</w:t>
            </w:r>
            <w:r>
              <w:rPr>
                <w:rFonts w:hint="eastAsia" w:ascii="宋体" w:hAnsi="宋体"/>
                <w:color w:val="000000"/>
              </w:rPr>
              <w:t>类</w:t>
            </w:r>
          </w:p>
        </w:tc>
      </w:tr>
      <w:tr w14:paraId="084A8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632" w:type="dxa"/>
            <w:vMerge w:val="continue"/>
            <w:tcBorders>
              <w:left w:val="single" w:color="auto" w:sz="4" w:space="0"/>
              <w:right w:val="single" w:color="auto" w:sz="4" w:space="0"/>
            </w:tcBorders>
            <w:vAlign w:val="center"/>
          </w:tcPr>
          <w:p w14:paraId="19991B65">
            <w:pPr>
              <w:spacing w:after="120"/>
              <w:jc w:val="center"/>
              <w:rPr>
                <w:color w:val="000000"/>
              </w:rPr>
            </w:pPr>
          </w:p>
        </w:tc>
        <w:tc>
          <w:tcPr>
            <w:tcW w:w="916" w:type="dxa"/>
            <w:vMerge w:val="continue"/>
            <w:tcBorders>
              <w:left w:val="single" w:color="auto" w:sz="4" w:space="0"/>
              <w:right w:val="single" w:color="auto" w:sz="4" w:space="0"/>
            </w:tcBorders>
            <w:vAlign w:val="center"/>
          </w:tcPr>
          <w:p w14:paraId="21BCBDAC">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0C52A00">
            <w:pPr>
              <w:tabs>
                <w:tab w:val="left" w:pos="3220"/>
              </w:tabs>
              <w:spacing w:line="300" w:lineRule="auto"/>
              <w:ind w:left="2"/>
              <w:jc w:val="center"/>
              <w:rPr>
                <w:rFonts w:ascii="宋体" w:hAnsi="宋体"/>
                <w:color w:val="000000"/>
              </w:rPr>
            </w:pPr>
            <w:r>
              <w:rPr>
                <w:rFonts w:hint="eastAsia" w:ascii="宋体" w:hAnsi="宋体"/>
                <w:color w:val="000000"/>
              </w:rPr>
              <w:t>交联工序</w:t>
            </w:r>
          </w:p>
        </w:tc>
        <w:tc>
          <w:tcPr>
            <w:tcW w:w="1015" w:type="dxa"/>
            <w:tcBorders>
              <w:top w:val="single" w:color="auto" w:sz="4" w:space="0"/>
              <w:left w:val="single" w:color="auto" w:sz="4" w:space="0"/>
              <w:bottom w:val="single" w:color="auto" w:sz="4" w:space="0"/>
              <w:right w:val="single" w:color="auto" w:sz="4" w:space="0"/>
            </w:tcBorders>
            <w:vAlign w:val="center"/>
          </w:tcPr>
          <w:p w14:paraId="06E93CE3">
            <w:pPr>
              <w:spacing w:after="156"/>
              <w:ind w:left="4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CD17FBF">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C1E8D77">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B25E838">
            <w:pPr>
              <w:jc w:val="center"/>
              <w:rPr>
                <w:rFonts w:ascii="宋体" w:hAnsi="宋体"/>
                <w:color w:val="000000"/>
              </w:rPr>
            </w:pPr>
            <w:r>
              <w:rPr>
                <w:rFonts w:hint="eastAsia"/>
                <w:color w:val="000000"/>
              </w:rPr>
              <w:t>A</w:t>
            </w:r>
            <w:r>
              <w:rPr>
                <w:rFonts w:hint="eastAsia" w:ascii="宋体" w:hAnsi="宋体"/>
                <w:color w:val="000000"/>
              </w:rPr>
              <w:t>类</w:t>
            </w:r>
          </w:p>
        </w:tc>
      </w:tr>
      <w:tr w14:paraId="6FD9E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EE7E0CA">
            <w:pPr>
              <w:spacing w:after="120"/>
              <w:jc w:val="center"/>
              <w:rPr>
                <w:color w:val="000000"/>
              </w:rPr>
            </w:pPr>
          </w:p>
        </w:tc>
        <w:tc>
          <w:tcPr>
            <w:tcW w:w="916" w:type="dxa"/>
            <w:vMerge w:val="continue"/>
            <w:tcBorders>
              <w:left w:val="single" w:color="auto" w:sz="4" w:space="0"/>
              <w:right w:val="single" w:color="auto" w:sz="4" w:space="0"/>
            </w:tcBorders>
            <w:vAlign w:val="center"/>
          </w:tcPr>
          <w:p w14:paraId="10A7745C">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327B223">
            <w:pPr>
              <w:tabs>
                <w:tab w:val="left" w:pos="3220"/>
              </w:tabs>
              <w:spacing w:line="300" w:lineRule="auto"/>
              <w:ind w:left="2"/>
              <w:jc w:val="center"/>
              <w:rPr>
                <w:rFonts w:ascii="宋体" w:hAnsi="宋体"/>
                <w:color w:val="000000"/>
              </w:rPr>
            </w:pPr>
            <w:r>
              <w:rPr>
                <w:rFonts w:hint="eastAsia" w:ascii="宋体" w:hAnsi="宋体"/>
                <w:color w:val="000000"/>
              </w:rPr>
              <w:t>绕包工序</w:t>
            </w:r>
          </w:p>
        </w:tc>
        <w:tc>
          <w:tcPr>
            <w:tcW w:w="1015" w:type="dxa"/>
            <w:tcBorders>
              <w:top w:val="single" w:color="auto" w:sz="4" w:space="0"/>
              <w:left w:val="single" w:color="auto" w:sz="4" w:space="0"/>
              <w:bottom w:val="single" w:color="auto" w:sz="4" w:space="0"/>
              <w:right w:val="single" w:color="auto" w:sz="4" w:space="0"/>
            </w:tcBorders>
            <w:vAlign w:val="center"/>
          </w:tcPr>
          <w:p w14:paraId="24E98B7C">
            <w:pPr>
              <w:spacing w:after="156"/>
              <w:ind w:left="4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2E98D251">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37C935BB">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3D1F2BA3">
            <w:pPr>
              <w:jc w:val="center"/>
              <w:rPr>
                <w:rFonts w:ascii="宋体" w:hAnsi="宋体"/>
                <w:color w:val="000000"/>
              </w:rPr>
            </w:pPr>
            <w:r>
              <w:rPr>
                <w:rFonts w:hint="eastAsia"/>
                <w:color w:val="000000"/>
              </w:rPr>
              <w:t>A</w:t>
            </w:r>
            <w:r>
              <w:rPr>
                <w:rFonts w:hint="eastAsia" w:ascii="宋体" w:hAnsi="宋体"/>
                <w:color w:val="000000"/>
              </w:rPr>
              <w:t>类</w:t>
            </w:r>
          </w:p>
        </w:tc>
      </w:tr>
      <w:tr w14:paraId="4EFB2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1613707C">
            <w:pPr>
              <w:spacing w:after="120"/>
              <w:jc w:val="center"/>
              <w:rPr>
                <w:color w:val="000000"/>
              </w:rPr>
            </w:pPr>
          </w:p>
        </w:tc>
        <w:tc>
          <w:tcPr>
            <w:tcW w:w="916" w:type="dxa"/>
            <w:vMerge w:val="continue"/>
            <w:tcBorders>
              <w:left w:val="single" w:color="auto" w:sz="4" w:space="0"/>
              <w:right w:val="single" w:color="auto" w:sz="4" w:space="0"/>
            </w:tcBorders>
            <w:vAlign w:val="center"/>
          </w:tcPr>
          <w:p w14:paraId="02CEFD06">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9CD7697">
            <w:pPr>
              <w:tabs>
                <w:tab w:val="left" w:pos="3220"/>
              </w:tabs>
              <w:spacing w:line="300" w:lineRule="auto"/>
              <w:ind w:left="2"/>
              <w:jc w:val="center"/>
              <w:rPr>
                <w:rFonts w:ascii="宋体" w:hAnsi="宋体"/>
                <w:color w:val="000000"/>
              </w:rPr>
            </w:pPr>
            <w:r>
              <w:rPr>
                <w:rFonts w:hint="eastAsia" w:ascii="宋体" w:hAnsi="宋体"/>
                <w:color w:val="000000"/>
              </w:rPr>
              <w:t>半成品试验（如有）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3A4B6D87">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AB5A962">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26301089">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1CF71C08">
            <w:pPr>
              <w:jc w:val="center"/>
              <w:rPr>
                <w:rFonts w:ascii="宋体" w:hAnsi="宋体"/>
                <w:color w:val="000000"/>
              </w:rPr>
            </w:pPr>
            <w:r>
              <w:rPr>
                <w:rFonts w:hint="eastAsia"/>
                <w:color w:val="000000"/>
              </w:rPr>
              <w:t>B</w:t>
            </w:r>
            <w:r>
              <w:rPr>
                <w:rFonts w:hint="eastAsia" w:ascii="宋体" w:hAnsi="宋体"/>
                <w:color w:val="000000"/>
              </w:rPr>
              <w:t>类</w:t>
            </w:r>
          </w:p>
        </w:tc>
      </w:tr>
      <w:tr w14:paraId="53B4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bottom w:val="single" w:color="auto" w:sz="4" w:space="0"/>
              <w:right w:val="single" w:color="auto" w:sz="4" w:space="0"/>
            </w:tcBorders>
            <w:vAlign w:val="center"/>
          </w:tcPr>
          <w:p w14:paraId="13B78BDA">
            <w:pPr>
              <w:spacing w:after="120"/>
              <w:jc w:val="center"/>
              <w:rPr>
                <w:color w:val="000000"/>
              </w:rPr>
            </w:pPr>
          </w:p>
        </w:tc>
        <w:tc>
          <w:tcPr>
            <w:tcW w:w="916" w:type="dxa"/>
            <w:vMerge w:val="continue"/>
            <w:tcBorders>
              <w:left w:val="single" w:color="auto" w:sz="4" w:space="0"/>
              <w:bottom w:val="single" w:color="auto" w:sz="4" w:space="0"/>
              <w:right w:val="single" w:color="auto" w:sz="4" w:space="0"/>
            </w:tcBorders>
            <w:vAlign w:val="center"/>
          </w:tcPr>
          <w:p w14:paraId="037CD941">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7A748C9">
            <w:pPr>
              <w:tabs>
                <w:tab w:val="left" w:pos="3220"/>
              </w:tabs>
              <w:spacing w:line="300" w:lineRule="auto"/>
              <w:ind w:left="2"/>
              <w:jc w:val="center"/>
              <w:rPr>
                <w:rFonts w:ascii="宋体" w:hAnsi="宋体"/>
                <w:color w:val="000000"/>
              </w:rPr>
            </w:pPr>
            <w:r>
              <w:rPr>
                <w:rFonts w:hint="eastAsia" w:ascii="宋体" w:hAnsi="宋体"/>
                <w:color w:val="000000"/>
              </w:rPr>
              <w:t>成缆铠装工序</w:t>
            </w:r>
          </w:p>
        </w:tc>
        <w:tc>
          <w:tcPr>
            <w:tcW w:w="1015" w:type="dxa"/>
            <w:tcBorders>
              <w:top w:val="single" w:color="auto" w:sz="4" w:space="0"/>
              <w:left w:val="single" w:color="auto" w:sz="4" w:space="0"/>
              <w:bottom w:val="single" w:color="auto" w:sz="4" w:space="0"/>
              <w:right w:val="single" w:color="auto" w:sz="4" w:space="0"/>
            </w:tcBorders>
            <w:vAlign w:val="center"/>
          </w:tcPr>
          <w:p w14:paraId="17A02D60">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6F973FE">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AE3D959">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21611C2">
            <w:pPr>
              <w:jc w:val="center"/>
              <w:rPr>
                <w:rFonts w:ascii="宋体" w:hAnsi="宋体"/>
                <w:color w:val="000000"/>
              </w:rPr>
            </w:pPr>
            <w:r>
              <w:rPr>
                <w:rFonts w:hint="eastAsia"/>
                <w:color w:val="000000"/>
              </w:rPr>
              <w:t>B</w:t>
            </w:r>
            <w:r>
              <w:rPr>
                <w:rFonts w:hint="eastAsia" w:ascii="宋体" w:hAnsi="宋体"/>
                <w:color w:val="000000"/>
              </w:rPr>
              <w:t>类</w:t>
            </w:r>
          </w:p>
        </w:tc>
      </w:tr>
      <w:tr w14:paraId="7A328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restart"/>
            <w:tcBorders>
              <w:top w:val="single" w:color="auto" w:sz="4" w:space="0"/>
              <w:left w:val="single" w:color="auto" w:sz="4" w:space="0"/>
              <w:right w:val="single" w:color="auto" w:sz="4" w:space="0"/>
            </w:tcBorders>
            <w:vAlign w:val="center"/>
          </w:tcPr>
          <w:p w14:paraId="40F99634">
            <w:pPr>
              <w:spacing w:after="120"/>
              <w:jc w:val="center"/>
              <w:rPr>
                <w:rFonts w:ascii="宋体" w:hAnsi="宋体"/>
                <w:color w:val="000000"/>
              </w:rPr>
            </w:pPr>
            <w:r>
              <w:rPr>
                <w:rFonts w:hint="eastAsia" w:ascii="宋体" w:hAnsi="宋体"/>
                <w:color w:val="000000"/>
              </w:rPr>
              <w:t>５</w:t>
            </w:r>
          </w:p>
        </w:tc>
        <w:tc>
          <w:tcPr>
            <w:tcW w:w="916" w:type="dxa"/>
            <w:vMerge w:val="restart"/>
            <w:tcBorders>
              <w:top w:val="single" w:color="auto" w:sz="4" w:space="0"/>
              <w:left w:val="single" w:color="auto" w:sz="4" w:space="0"/>
              <w:right w:val="single" w:color="auto" w:sz="4" w:space="0"/>
            </w:tcBorders>
            <w:vAlign w:val="center"/>
          </w:tcPr>
          <w:p w14:paraId="42041744">
            <w:pPr>
              <w:spacing w:after="156"/>
              <w:jc w:val="center"/>
              <w:rPr>
                <w:rFonts w:ascii="宋体" w:hAnsi="宋体"/>
                <w:color w:val="000000"/>
              </w:rPr>
            </w:pPr>
            <w:r>
              <w:rPr>
                <w:rFonts w:hint="eastAsia" w:ascii="宋体" w:hAnsi="宋体"/>
                <w:color w:val="000000"/>
              </w:rPr>
              <w:t>５００ｋＶ海底电缆试验</w:t>
            </w:r>
          </w:p>
        </w:tc>
        <w:tc>
          <w:tcPr>
            <w:tcW w:w="2504" w:type="dxa"/>
            <w:tcBorders>
              <w:top w:val="single" w:color="auto" w:sz="4" w:space="0"/>
              <w:left w:val="single" w:color="auto" w:sz="4" w:space="0"/>
              <w:bottom w:val="single" w:color="auto" w:sz="4" w:space="0"/>
              <w:right w:val="single" w:color="auto" w:sz="4" w:space="0"/>
            </w:tcBorders>
            <w:vAlign w:val="center"/>
          </w:tcPr>
          <w:p w14:paraId="31FD6565">
            <w:pPr>
              <w:tabs>
                <w:tab w:val="left" w:pos="3220"/>
              </w:tabs>
              <w:spacing w:line="300" w:lineRule="auto"/>
              <w:ind w:left="2" w:hanging="2" w:hangingChars="1"/>
              <w:jc w:val="center"/>
              <w:rPr>
                <w:rFonts w:ascii="宋体" w:hAnsi="宋体"/>
                <w:color w:val="000000"/>
              </w:rPr>
            </w:pPr>
            <w:r>
              <w:rPr>
                <w:rFonts w:hint="eastAsia" w:ascii="宋体" w:hAnsi="宋体"/>
                <w:color w:val="000000"/>
              </w:rPr>
              <w:t>试验设备</w:t>
            </w:r>
          </w:p>
        </w:tc>
        <w:tc>
          <w:tcPr>
            <w:tcW w:w="1015" w:type="dxa"/>
            <w:tcBorders>
              <w:top w:val="single" w:color="auto" w:sz="4" w:space="0"/>
              <w:left w:val="single" w:color="auto" w:sz="4" w:space="0"/>
              <w:bottom w:val="single" w:color="auto" w:sz="4" w:space="0"/>
              <w:right w:val="single" w:color="auto" w:sz="4" w:space="0"/>
            </w:tcBorders>
            <w:vAlign w:val="center"/>
          </w:tcPr>
          <w:p w14:paraId="6127976D">
            <w:pPr>
              <w:spacing w:after="156"/>
              <w:ind w:left="420"/>
              <w:jc w:val="center"/>
              <w:rPr>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6E9123B">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66D2EE8">
            <w:pPr>
              <w:spacing w:after="156"/>
              <w:jc w:val="center"/>
              <w:rPr>
                <w:rFonts w:ascii="宋体" w:hAnsi="宋体"/>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5AD7370">
            <w:pPr>
              <w:jc w:val="center"/>
              <w:rPr>
                <w:rFonts w:ascii="宋体" w:hAnsi="宋体"/>
                <w:color w:val="000000"/>
              </w:rPr>
            </w:pPr>
            <w:r>
              <w:rPr>
                <w:rFonts w:hint="eastAsia"/>
                <w:color w:val="000000"/>
              </w:rPr>
              <w:t>C</w:t>
            </w:r>
            <w:r>
              <w:rPr>
                <w:rFonts w:hint="eastAsia" w:ascii="宋体" w:hAnsi="宋体"/>
                <w:color w:val="000000"/>
              </w:rPr>
              <w:t>类</w:t>
            </w:r>
          </w:p>
        </w:tc>
      </w:tr>
      <w:tr w14:paraId="76EE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F234261">
            <w:pPr>
              <w:spacing w:after="120"/>
              <w:jc w:val="center"/>
              <w:rPr>
                <w:rFonts w:ascii="宋体" w:hAnsi="宋体"/>
                <w:color w:val="000000"/>
              </w:rPr>
            </w:pPr>
          </w:p>
        </w:tc>
        <w:tc>
          <w:tcPr>
            <w:tcW w:w="916" w:type="dxa"/>
            <w:vMerge w:val="continue"/>
            <w:tcBorders>
              <w:left w:val="single" w:color="auto" w:sz="4" w:space="0"/>
              <w:right w:val="single" w:color="auto" w:sz="4" w:space="0"/>
            </w:tcBorders>
            <w:vAlign w:val="center"/>
          </w:tcPr>
          <w:p w14:paraId="06B676DB">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0FA6D87">
            <w:pPr>
              <w:tabs>
                <w:tab w:val="left" w:pos="3220"/>
              </w:tabs>
              <w:spacing w:line="300" w:lineRule="auto"/>
              <w:ind w:left="2" w:hanging="2" w:hangingChars="1"/>
              <w:jc w:val="center"/>
              <w:rPr>
                <w:rFonts w:ascii="宋体" w:hAnsi="宋体"/>
                <w:color w:val="000000"/>
              </w:rPr>
            </w:pPr>
            <w:r>
              <w:rPr>
                <w:rFonts w:hint="eastAsia" w:ascii="宋体" w:hAnsi="宋体"/>
                <w:color w:val="000000"/>
              </w:rPr>
              <w:t>结构尺寸测试</w:t>
            </w:r>
          </w:p>
        </w:tc>
        <w:tc>
          <w:tcPr>
            <w:tcW w:w="1015" w:type="dxa"/>
            <w:tcBorders>
              <w:top w:val="single" w:color="auto" w:sz="4" w:space="0"/>
              <w:left w:val="single" w:color="auto" w:sz="4" w:space="0"/>
              <w:bottom w:val="single" w:color="auto" w:sz="4" w:space="0"/>
              <w:right w:val="single" w:color="auto" w:sz="4" w:space="0"/>
            </w:tcBorders>
            <w:vAlign w:val="center"/>
          </w:tcPr>
          <w:p w14:paraId="42488FD6">
            <w:pPr>
              <w:spacing w:after="156"/>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4C2DCA1">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2970F29">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82D8FB5">
            <w:pPr>
              <w:jc w:val="center"/>
              <w:rPr>
                <w:rFonts w:ascii="宋体" w:hAnsi="宋体"/>
                <w:color w:val="000000"/>
              </w:rPr>
            </w:pPr>
            <w:r>
              <w:rPr>
                <w:rFonts w:hint="eastAsia"/>
                <w:color w:val="000000"/>
              </w:rPr>
              <w:t>C</w:t>
            </w:r>
            <w:r>
              <w:rPr>
                <w:rFonts w:hint="eastAsia" w:ascii="宋体" w:hAnsi="宋体"/>
                <w:color w:val="000000"/>
              </w:rPr>
              <w:t>类</w:t>
            </w:r>
          </w:p>
        </w:tc>
      </w:tr>
      <w:tr w14:paraId="69E0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43C6F99F">
            <w:pPr>
              <w:spacing w:after="120"/>
              <w:jc w:val="center"/>
              <w:rPr>
                <w:color w:val="000000"/>
              </w:rPr>
            </w:pPr>
          </w:p>
        </w:tc>
        <w:tc>
          <w:tcPr>
            <w:tcW w:w="916" w:type="dxa"/>
            <w:vMerge w:val="continue"/>
            <w:tcBorders>
              <w:left w:val="single" w:color="auto" w:sz="4" w:space="0"/>
              <w:right w:val="single" w:color="auto" w:sz="4" w:space="0"/>
            </w:tcBorders>
            <w:vAlign w:val="center"/>
          </w:tcPr>
          <w:p w14:paraId="43630F6B">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4A5360B9">
            <w:pPr>
              <w:tabs>
                <w:tab w:val="left" w:pos="3220"/>
              </w:tabs>
              <w:spacing w:line="300" w:lineRule="auto"/>
              <w:ind w:left="2" w:hanging="2" w:hangingChars="1"/>
              <w:jc w:val="center"/>
              <w:rPr>
                <w:rFonts w:ascii="宋体" w:hAnsi="宋体"/>
                <w:color w:val="000000"/>
              </w:rPr>
            </w:pPr>
            <w:r>
              <w:rPr>
                <w:rFonts w:hint="eastAsia" w:ascii="宋体" w:hAnsi="宋体"/>
                <w:color w:val="000000"/>
              </w:rPr>
              <w:t>局部放电试验</w:t>
            </w:r>
          </w:p>
        </w:tc>
        <w:tc>
          <w:tcPr>
            <w:tcW w:w="1015" w:type="dxa"/>
            <w:tcBorders>
              <w:top w:val="single" w:color="auto" w:sz="4" w:space="0"/>
              <w:left w:val="single" w:color="auto" w:sz="4" w:space="0"/>
              <w:bottom w:val="single" w:color="auto" w:sz="4" w:space="0"/>
              <w:right w:val="single" w:color="auto" w:sz="4" w:space="0"/>
            </w:tcBorders>
            <w:vAlign w:val="center"/>
          </w:tcPr>
          <w:p w14:paraId="7BB285C6">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AC304B4">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69825F5">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5F52D87">
            <w:pPr>
              <w:jc w:val="center"/>
              <w:rPr>
                <w:rFonts w:ascii="宋体" w:hAnsi="宋体"/>
                <w:color w:val="000000"/>
              </w:rPr>
            </w:pPr>
            <w:r>
              <w:rPr>
                <w:rFonts w:hint="eastAsia"/>
                <w:color w:val="000000"/>
              </w:rPr>
              <w:t>A</w:t>
            </w:r>
            <w:r>
              <w:rPr>
                <w:rFonts w:hint="eastAsia" w:ascii="宋体" w:hAnsi="宋体"/>
                <w:color w:val="000000"/>
              </w:rPr>
              <w:t>类</w:t>
            </w:r>
          </w:p>
        </w:tc>
      </w:tr>
      <w:tr w14:paraId="3868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60185D77">
            <w:pPr>
              <w:spacing w:after="120"/>
              <w:jc w:val="center"/>
              <w:rPr>
                <w:color w:val="000000"/>
              </w:rPr>
            </w:pPr>
          </w:p>
        </w:tc>
        <w:tc>
          <w:tcPr>
            <w:tcW w:w="916" w:type="dxa"/>
            <w:vMerge w:val="continue"/>
            <w:tcBorders>
              <w:left w:val="single" w:color="auto" w:sz="4" w:space="0"/>
              <w:right w:val="single" w:color="auto" w:sz="4" w:space="0"/>
            </w:tcBorders>
            <w:vAlign w:val="center"/>
          </w:tcPr>
          <w:p w14:paraId="21C67ED1">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6FBD092">
            <w:pPr>
              <w:tabs>
                <w:tab w:val="left" w:pos="3220"/>
              </w:tabs>
              <w:spacing w:line="300" w:lineRule="auto"/>
              <w:ind w:left="2" w:hanging="2" w:hangingChars="1"/>
              <w:jc w:val="center"/>
              <w:rPr>
                <w:rFonts w:ascii="宋体" w:hAnsi="宋体"/>
                <w:color w:val="000000"/>
              </w:rPr>
            </w:pPr>
            <w:r>
              <w:rPr>
                <w:rFonts w:hint="eastAsia" w:ascii="宋体" w:hAnsi="宋体"/>
                <w:color w:val="000000"/>
              </w:rPr>
              <w:t>介质损耗试验（如有）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157D572B">
            <w:pPr>
              <w:spacing w:after="156"/>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485D634">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D774A9B">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0475DB41">
            <w:pPr>
              <w:jc w:val="center"/>
              <w:rPr>
                <w:rFonts w:ascii="宋体" w:hAnsi="宋体"/>
                <w:color w:val="000000"/>
              </w:rPr>
            </w:pPr>
            <w:r>
              <w:rPr>
                <w:rFonts w:hint="eastAsia"/>
                <w:color w:val="000000"/>
              </w:rPr>
              <w:t>B</w:t>
            </w:r>
            <w:r>
              <w:rPr>
                <w:rFonts w:hint="eastAsia" w:ascii="宋体" w:hAnsi="宋体"/>
                <w:color w:val="000000"/>
              </w:rPr>
              <w:t>类</w:t>
            </w:r>
          </w:p>
        </w:tc>
      </w:tr>
      <w:tr w14:paraId="42C4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CC85FF7">
            <w:pPr>
              <w:spacing w:after="120"/>
              <w:jc w:val="center"/>
              <w:rPr>
                <w:color w:val="000000"/>
              </w:rPr>
            </w:pPr>
          </w:p>
        </w:tc>
        <w:tc>
          <w:tcPr>
            <w:tcW w:w="916" w:type="dxa"/>
            <w:vMerge w:val="continue"/>
            <w:tcBorders>
              <w:left w:val="single" w:color="auto" w:sz="4" w:space="0"/>
              <w:right w:val="single" w:color="auto" w:sz="4" w:space="0"/>
            </w:tcBorders>
            <w:vAlign w:val="center"/>
          </w:tcPr>
          <w:p w14:paraId="1E16418D">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6DD8840">
            <w:pPr>
              <w:tabs>
                <w:tab w:val="left" w:pos="3220"/>
              </w:tabs>
              <w:spacing w:line="300" w:lineRule="auto"/>
              <w:ind w:left="2" w:hanging="2" w:hangingChars="1"/>
              <w:jc w:val="center"/>
              <w:rPr>
                <w:rFonts w:ascii="宋体" w:hAnsi="宋体"/>
                <w:color w:val="000000"/>
              </w:rPr>
            </w:pPr>
            <w:r>
              <w:rPr>
                <w:rFonts w:hint="eastAsia" w:ascii="宋体" w:hAnsi="宋体"/>
                <w:color w:val="000000"/>
              </w:rPr>
              <w:t>热循环电压试验（如有）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0BC0EAC7">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2FB7A83">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4979922">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6DA60E8">
            <w:pPr>
              <w:jc w:val="center"/>
              <w:rPr>
                <w:rFonts w:ascii="宋体" w:hAnsi="宋体"/>
                <w:color w:val="000000"/>
              </w:rPr>
            </w:pPr>
            <w:r>
              <w:rPr>
                <w:rFonts w:hint="eastAsia"/>
                <w:color w:val="000000"/>
              </w:rPr>
              <w:t>B</w:t>
            </w:r>
            <w:r>
              <w:rPr>
                <w:rFonts w:hint="eastAsia" w:ascii="宋体" w:hAnsi="宋体"/>
                <w:color w:val="000000"/>
              </w:rPr>
              <w:t>类</w:t>
            </w:r>
          </w:p>
        </w:tc>
      </w:tr>
      <w:tr w14:paraId="386B5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04AB9D82">
            <w:pPr>
              <w:spacing w:after="120"/>
              <w:jc w:val="center"/>
              <w:rPr>
                <w:color w:val="000000"/>
              </w:rPr>
            </w:pPr>
          </w:p>
        </w:tc>
        <w:tc>
          <w:tcPr>
            <w:tcW w:w="916" w:type="dxa"/>
            <w:vMerge w:val="continue"/>
            <w:tcBorders>
              <w:left w:val="single" w:color="auto" w:sz="4" w:space="0"/>
              <w:right w:val="single" w:color="auto" w:sz="4" w:space="0"/>
            </w:tcBorders>
            <w:vAlign w:val="center"/>
          </w:tcPr>
          <w:p w14:paraId="46C62B30">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3B73BBA9">
            <w:pPr>
              <w:tabs>
                <w:tab w:val="left" w:pos="3220"/>
              </w:tabs>
              <w:spacing w:line="300" w:lineRule="auto"/>
              <w:ind w:left="2" w:hanging="2" w:hangingChars="1"/>
              <w:jc w:val="center"/>
              <w:rPr>
                <w:rFonts w:ascii="宋体" w:hAnsi="宋体"/>
                <w:color w:val="000000"/>
              </w:rPr>
            </w:pPr>
            <w:r>
              <w:rPr>
                <w:rFonts w:hint="eastAsia" w:ascii="宋体" w:hAnsi="宋体"/>
                <w:color w:val="000000"/>
              </w:rPr>
              <w:t>操作冲击电压试验（如有）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61F31976">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624A041">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624B608">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9681145">
            <w:pPr>
              <w:jc w:val="center"/>
              <w:rPr>
                <w:rFonts w:ascii="宋体" w:hAnsi="宋体"/>
                <w:color w:val="000000"/>
              </w:rPr>
            </w:pPr>
            <w:r>
              <w:rPr>
                <w:rFonts w:hint="eastAsia"/>
                <w:color w:val="000000"/>
              </w:rPr>
              <w:t>B</w:t>
            </w:r>
            <w:r>
              <w:rPr>
                <w:rFonts w:hint="eastAsia" w:ascii="宋体" w:hAnsi="宋体"/>
                <w:color w:val="000000"/>
              </w:rPr>
              <w:t>类</w:t>
            </w:r>
          </w:p>
        </w:tc>
      </w:tr>
      <w:tr w14:paraId="3289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0A297D04">
            <w:pPr>
              <w:spacing w:after="120"/>
              <w:jc w:val="center"/>
              <w:rPr>
                <w:color w:val="000000"/>
              </w:rPr>
            </w:pPr>
          </w:p>
        </w:tc>
        <w:tc>
          <w:tcPr>
            <w:tcW w:w="916" w:type="dxa"/>
            <w:vMerge w:val="continue"/>
            <w:tcBorders>
              <w:left w:val="single" w:color="auto" w:sz="4" w:space="0"/>
              <w:right w:val="single" w:color="auto" w:sz="4" w:space="0"/>
            </w:tcBorders>
            <w:vAlign w:val="center"/>
          </w:tcPr>
          <w:p w14:paraId="74ADC463">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4954042C">
            <w:pPr>
              <w:tabs>
                <w:tab w:val="left" w:pos="3220"/>
              </w:tabs>
              <w:spacing w:line="300" w:lineRule="auto"/>
              <w:ind w:left="2" w:hanging="2" w:hangingChars="1"/>
              <w:jc w:val="center"/>
              <w:rPr>
                <w:rFonts w:ascii="宋体" w:hAnsi="宋体"/>
                <w:color w:val="000000"/>
              </w:rPr>
            </w:pPr>
            <w:r>
              <w:rPr>
                <w:rFonts w:hint="eastAsia" w:ascii="宋体" w:hAnsi="宋体"/>
                <w:color w:val="000000"/>
              </w:rPr>
              <w:t>雷电冲击电压试验</w:t>
            </w:r>
          </w:p>
        </w:tc>
        <w:tc>
          <w:tcPr>
            <w:tcW w:w="1015" w:type="dxa"/>
            <w:tcBorders>
              <w:top w:val="single" w:color="auto" w:sz="4" w:space="0"/>
              <w:left w:val="single" w:color="auto" w:sz="4" w:space="0"/>
              <w:bottom w:val="single" w:color="auto" w:sz="4" w:space="0"/>
              <w:right w:val="single" w:color="auto" w:sz="4" w:space="0"/>
            </w:tcBorders>
            <w:vAlign w:val="center"/>
          </w:tcPr>
          <w:p w14:paraId="3730EFB7">
            <w:pPr>
              <w:spacing w:after="120"/>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B691040">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8A1601C">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1F0EB90">
            <w:pPr>
              <w:jc w:val="center"/>
              <w:rPr>
                <w:rFonts w:ascii="宋体" w:hAnsi="宋体"/>
                <w:color w:val="000000"/>
              </w:rPr>
            </w:pPr>
            <w:r>
              <w:rPr>
                <w:rFonts w:hint="eastAsia"/>
                <w:color w:val="000000"/>
              </w:rPr>
              <w:t>B</w:t>
            </w:r>
            <w:r>
              <w:rPr>
                <w:rFonts w:hint="eastAsia" w:ascii="宋体" w:hAnsi="宋体"/>
                <w:color w:val="000000"/>
              </w:rPr>
              <w:t>类</w:t>
            </w:r>
          </w:p>
        </w:tc>
      </w:tr>
      <w:tr w14:paraId="471D8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69D296E2">
            <w:pPr>
              <w:spacing w:after="120"/>
              <w:jc w:val="center"/>
              <w:rPr>
                <w:color w:val="000000"/>
              </w:rPr>
            </w:pPr>
          </w:p>
        </w:tc>
        <w:tc>
          <w:tcPr>
            <w:tcW w:w="916" w:type="dxa"/>
            <w:vMerge w:val="continue"/>
            <w:tcBorders>
              <w:left w:val="single" w:color="auto" w:sz="4" w:space="0"/>
              <w:right w:val="single" w:color="auto" w:sz="4" w:space="0"/>
            </w:tcBorders>
            <w:vAlign w:val="center"/>
          </w:tcPr>
          <w:p w14:paraId="4EF34E71">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71525EE">
            <w:pPr>
              <w:tabs>
                <w:tab w:val="left" w:pos="3220"/>
              </w:tabs>
              <w:spacing w:line="300" w:lineRule="auto"/>
              <w:ind w:left="2" w:hanging="2" w:hangingChars="1"/>
              <w:jc w:val="center"/>
              <w:rPr>
                <w:rFonts w:ascii="宋体" w:hAnsi="宋体"/>
                <w:color w:val="000000"/>
              </w:rPr>
            </w:pPr>
            <w:r>
              <w:rPr>
                <w:rFonts w:hint="eastAsia" w:ascii="宋体" w:hAnsi="宋体"/>
                <w:color w:val="000000"/>
              </w:rPr>
              <w:t>电压试验</w:t>
            </w:r>
          </w:p>
        </w:tc>
        <w:tc>
          <w:tcPr>
            <w:tcW w:w="1015" w:type="dxa"/>
            <w:tcBorders>
              <w:top w:val="single" w:color="auto" w:sz="4" w:space="0"/>
              <w:left w:val="single" w:color="auto" w:sz="4" w:space="0"/>
              <w:bottom w:val="single" w:color="auto" w:sz="4" w:space="0"/>
              <w:right w:val="single" w:color="auto" w:sz="4" w:space="0"/>
            </w:tcBorders>
            <w:vAlign w:val="center"/>
          </w:tcPr>
          <w:p w14:paraId="315D1658">
            <w:pPr>
              <w:spacing w:after="156"/>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B2F039C">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35AA691D">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658F5786">
            <w:pPr>
              <w:jc w:val="center"/>
              <w:rPr>
                <w:rFonts w:ascii="宋体" w:hAnsi="宋体"/>
                <w:color w:val="000000"/>
              </w:rPr>
            </w:pPr>
            <w:r>
              <w:rPr>
                <w:rFonts w:hint="eastAsia"/>
                <w:color w:val="000000"/>
              </w:rPr>
              <w:t>B</w:t>
            </w:r>
            <w:r>
              <w:rPr>
                <w:rFonts w:hint="eastAsia" w:ascii="宋体" w:hAnsi="宋体"/>
                <w:color w:val="000000"/>
              </w:rPr>
              <w:t>类</w:t>
            </w:r>
          </w:p>
        </w:tc>
      </w:tr>
      <w:tr w14:paraId="401B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540EDB07">
            <w:pPr>
              <w:spacing w:after="120"/>
              <w:jc w:val="center"/>
              <w:rPr>
                <w:color w:val="000000"/>
              </w:rPr>
            </w:pPr>
          </w:p>
        </w:tc>
        <w:tc>
          <w:tcPr>
            <w:tcW w:w="916" w:type="dxa"/>
            <w:vMerge w:val="continue"/>
            <w:tcBorders>
              <w:left w:val="single" w:color="auto" w:sz="4" w:space="0"/>
              <w:right w:val="single" w:color="auto" w:sz="4" w:space="0"/>
            </w:tcBorders>
            <w:vAlign w:val="center"/>
          </w:tcPr>
          <w:p w14:paraId="58F590E1">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FC3F2CF">
            <w:pPr>
              <w:tabs>
                <w:tab w:val="left" w:pos="3220"/>
              </w:tabs>
              <w:spacing w:line="300" w:lineRule="auto"/>
              <w:ind w:left="2" w:hanging="2" w:hangingChars="1"/>
              <w:jc w:val="center"/>
              <w:rPr>
                <w:rFonts w:ascii="宋体" w:hAnsi="宋体"/>
                <w:color w:val="000000"/>
              </w:rPr>
            </w:pPr>
            <w:r>
              <w:rPr>
                <w:rFonts w:hint="eastAsia" w:ascii="宋体" w:hAnsi="宋体"/>
                <w:color w:val="000000"/>
              </w:rPr>
              <w:t>非金属护套电气试验</w:t>
            </w:r>
          </w:p>
        </w:tc>
        <w:tc>
          <w:tcPr>
            <w:tcW w:w="1015" w:type="dxa"/>
            <w:tcBorders>
              <w:top w:val="single" w:color="auto" w:sz="4" w:space="0"/>
              <w:left w:val="single" w:color="auto" w:sz="4" w:space="0"/>
              <w:bottom w:val="single" w:color="auto" w:sz="4" w:space="0"/>
              <w:right w:val="single" w:color="auto" w:sz="4" w:space="0"/>
            </w:tcBorders>
            <w:vAlign w:val="center"/>
          </w:tcPr>
          <w:p w14:paraId="7B46DEB0">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8DA10ED">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0C85235">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0066343">
            <w:pPr>
              <w:jc w:val="center"/>
              <w:rPr>
                <w:rFonts w:ascii="宋体" w:hAnsi="宋体"/>
                <w:color w:val="000000"/>
              </w:rPr>
            </w:pPr>
            <w:r>
              <w:rPr>
                <w:rFonts w:hint="eastAsia"/>
                <w:color w:val="000000"/>
              </w:rPr>
              <w:t>B</w:t>
            </w:r>
            <w:r>
              <w:rPr>
                <w:rFonts w:hint="eastAsia" w:ascii="宋体" w:hAnsi="宋体"/>
                <w:color w:val="000000"/>
              </w:rPr>
              <w:t>类</w:t>
            </w:r>
          </w:p>
        </w:tc>
      </w:tr>
      <w:tr w14:paraId="00FC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67114380">
            <w:pPr>
              <w:spacing w:after="120"/>
              <w:jc w:val="center"/>
              <w:rPr>
                <w:color w:val="000000"/>
              </w:rPr>
            </w:pPr>
          </w:p>
        </w:tc>
        <w:tc>
          <w:tcPr>
            <w:tcW w:w="916" w:type="dxa"/>
            <w:vMerge w:val="continue"/>
            <w:tcBorders>
              <w:left w:val="single" w:color="auto" w:sz="4" w:space="0"/>
              <w:right w:val="single" w:color="auto" w:sz="4" w:space="0"/>
            </w:tcBorders>
            <w:vAlign w:val="center"/>
          </w:tcPr>
          <w:p w14:paraId="1C576E1A">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127A4CC">
            <w:pPr>
              <w:tabs>
                <w:tab w:val="left" w:pos="3220"/>
              </w:tabs>
              <w:spacing w:line="300" w:lineRule="auto"/>
              <w:ind w:left="2" w:hanging="2" w:hangingChars="1"/>
              <w:jc w:val="center"/>
              <w:rPr>
                <w:rFonts w:ascii="宋体" w:hAnsi="宋体"/>
                <w:color w:val="000000"/>
                <w:sz w:val="24"/>
              </w:rPr>
            </w:pPr>
            <w:r>
              <w:rPr>
                <w:rFonts w:hint="eastAsia" w:ascii="宋体" w:hAnsi="宋体"/>
                <w:color w:val="000000"/>
              </w:rPr>
              <w:t>气密性试验（如有）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48EA1FA5">
            <w:pPr>
              <w:spacing w:after="156"/>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8CCC83E">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32AE16B">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F16991D">
            <w:pPr>
              <w:jc w:val="center"/>
              <w:rPr>
                <w:rFonts w:ascii="宋体" w:hAnsi="宋体"/>
                <w:color w:val="000000"/>
              </w:rPr>
            </w:pPr>
            <w:r>
              <w:rPr>
                <w:rFonts w:hint="eastAsia"/>
                <w:color w:val="000000"/>
              </w:rPr>
              <w:t>B</w:t>
            </w:r>
            <w:r>
              <w:rPr>
                <w:rFonts w:hint="eastAsia" w:ascii="宋体" w:hAnsi="宋体"/>
                <w:color w:val="000000"/>
              </w:rPr>
              <w:t>类</w:t>
            </w:r>
          </w:p>
        </w:tc>
      </w:tr>
      <w:tr w14:paraId="5FCDA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0116EA66">
            <w:pPr>
              <w:spacing w:after="120"/>
              <w:jc w:val="center"/>
              <w:rPr>
                <w:color w:val="000000"/>
              </w:rPr>
            </w:pPr>
          </w:p>
        </w:tc>
        <w:tc>
          <w:tcPr>
            <w:tcW w:w="916" w:type="dxa"/>
            <w:vMerge w:val="continue"/>
            <w:tcBorders>
              <w:left w:val="single" w:color="auto" w:sz="4" w:space="0"/>
              <w:right w:val="single" w:color="auto" w:sz="4" w:space="0"/>
            </w:tcBorders>
            <w:vAlign w:val="center"/>
          </w:tcPr>
          <w:p w14:paraId="672AF84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7684EF4F">
            <w:pPr>
              <w:jc w:val="center"/>
              <w:rPr>
                <w:rFonts w:ascii="宋体" w:hAnsi="宋体"/>
                <w:color w:val="000000"/>
                <w:sz w:val="22"/>
                <w:szCs w:val="22"/>
              </w:rPr>
            </w:pPr>
            <w:r>
              <w:rPr>
                <w:rFonts w:hint="eastAsia" w:ascii="宋体" w:hAnsi="宋体"/>
                <w:color w:val="000000"/>
                <w:sz w:val="22"/>
                <w:szCs w:val="22"/>
              </w:rPr>
              <w:t>导体电阻测量</w:t>
            </w:r>
          </w:p>
        </w:tc>
        <w:tc>
          <w:tcPr>
            <w:tcW w:w="1015" w:type="dxa"/>
            <w:tcBorders>
              <w:top w:val="single" w:color="auto" w:sz="4" w:space="0"/>
              <w:left w:val="single" w:color="auto" w:sz="4" w:space="0"/>
              <w:bottom w:val="single" w:color="auto" w:sz="4" w:space="0"/>
              <w:right w:val="single" w:color="auto" w:sz="4" w:space="0"/>
            </w:tcBorders>
            <w:vAlign w:val="center"/>
          </w:tcPr>
          <w:p w14:paraId="64DD9DE9">
            <w:pPr>
              <w:spacing w:after="120"/>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24FFE95C">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8A82F9D">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37374E90">
            <w:pPr>
              <w:jc w:val="center"/>
              <w:rPr>
                <w:rFonts w:ascii="宋体" w:hAnsi="宋体"/>
                <w:color w:val="000000"/>
              </w:rPr>
            </w:pPr>
            <w:r>
              <w:rPr>
                <w:rFonts w:hint="eastAsia"/>
                <w:color w:val="000000"/>
              </w:rPr>
              <w:t>B</w:t>
            </w:r>
            <w:r>
              <w:rPr>
                <w:rFonts w:hint="eastAsia" w:ascii="宋体" w:hAnsi="宋体"/>
                <w:color w:val="000000"/>
              </w:rPr>
              <w:t>类</w:t>
            </w:r>
          </w:p>
        </w:tc>
      </w:tr>
      <w:tr w14:paraId="24FF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010EA32">
            <w:pPr>
              <w:spacing w:after="120"/>
              <w:jc w:val="center"/>
              <w:rPr>
                <w:color w:val="000000"/>
              </w:rPr>
            </w:pPr>
          </w:p>
        </w:tc>
        <w:tc>
          <w:tcPr>
            <w:tcW w:w="916" w:type="dxa"/>
            <w:vMerge w:val="continue"/>
            <w:tcBorders>
              <w:left w:val="single" w:color="auto" w:sz="4" w:space="0"/>
              <w:right w:val="single" w:color="auto" w:sz="4" w:space="0"/>
            </w:tcBorders>
            <w:vAlign w:val="center"/>
          </w:tcPr>
          <w:p w14:paraId="53F579F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B5612F7">
            <w:pPr>
              <w:jc w:val="center"/>
              <w:rPr>
                <w:rFonts w:ascii="宋体" w:hAnsi="宋体"/>
                <w:color w:val="000000"/>
                <w:sz w:val="22"/>
                <w:szCs w:val="22"/>
              </w:rPr>
            </w:pPr>
            <w:r>
              <w:rPr>
                <w:rFonts w:hint="eastAsia" w:ascii="宋体" w:hAnsi="宋体"/>
                <w:color w:val="000000"/>
                <w:sz w:val="22"/>
                <w:szCs w:val="22"/>
              </w:rPr>
              <w:t>绝缘电阻测量</w:t>
            </w:r>
          </w:p>
        </w:tc>
        <w:tc>
          <w:tcPr>
            <w:tcW w:w="1015" w:type="dxa"/>
            <w:tcBorders>
              <w:top w:val="single" w:color="auto" w:sz="4" w:space="0"/>
              <w:left w:val="single" w:color="auto" w:sz="4" w:space="0"/>
              <w:bottom w:val="single" w:color="auto" w:sz="4" w:space="0"/>
              <w:right w:val="single" w:color="auto" w:sz="4" w:space="0"/>
            </w:tcBorders>
            <w:vAlign w:val="center"/>
          </w:tcPr>
          <w:p w14:paraId="002253B8">
            <w:pPr>
              <w:spacing w:after="120"/>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3FF25FFC">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0590B7B">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031A5A1C">
            <w:pPr>
              <w:jc w:val="center"/>
              <w:rPr>
                <w:rFonts w:ascii="宋体" w:hAnsi="宋体"/>
                <w:color w:val="000000"/>
              </w:rPr>
            </w:pPr>
            <w:r>
              <w:rPr>
                <w:rFonts w:hint="eastAsia"/>
                <w:color w:val="000000"/>
              </w:rPr>
              <w:t>B</w:t>
            </w:r>
            <w:r>
              <w:rPr>
                <w:rFonts w:hint="eastAsia" w:ascii="宋体" w:hAnsi="宋体"/>
                <w:color w:val="000000"/>
              </w:rPr>
              <w:t>类</w:t>
            </w:r>
          </w:p>
        </w:tc>
      </w:tr>
      <w:tr w14:paraId="7F7C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B7537F8">
            <w:pPr>
              <w:spacing w:after="120"/>
              <w:jc w:val="center"/>
              <w:rPr>
                <w:color w:val="000000"/>
              </w:rPr>
            </w:pPr>
          </w:p>
        </w:tc>
        <w:tc>
          <w:tcPr>
            <w:tcW w:w="916" w:type="dxa"/>
            <w:vMerge w:val="continue"/>
            <w:tcBorders>
              <w:left w:val="single" w:color="auto" w:sz="4" w:space="0"/>
              <w:right w:val="single" w:color="auto" w:sz="4" w:space="0"/>
            </w:tcBorders>
            <w:vAlign w:val="center"/>
          </w:tcPr>
          <w:p w14:paraId="5AF11A81">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E92B8FA">
            <w:pPr>
              <w:jc w:val="center"/>
              <w:rPr>
                <w:rFonts w:ascii="宋体" w:hAnsi="宋体"/>
                <w:color w:val="000000"/>
                <w:sz w:val="22"/>
                <w:szCs w:val="22"/>
              </w:rPr>
            </w:pPr>
            <w:r>
              <w:rPr>
                <w:rFonts w:hint="eastAsia" w:ascii="宋体" w:hAnsi="宋体"/>
                <w:color w:val="000000"/>
                <w:sz w:val="22"/>
                <w:szCs w:val="22"/>
              </w:rPr>
              <w:t>电容试验（如有）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0DCF412A">
            <w:pPr>
              <w:spacing w:after="156"/>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303A2ED">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D8E408E">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54F54FC">
            <w:pPr>
              <w:jc w:val="center"/>
              <w:rPr>
                <w:rFonts w:ascii="宋体" w:hAnsi="宋体"/>
                <w:color w:val="000000"/>
              </w:rPr>
            </w:pPr>
            <w:r>
              <w:rPr>
                <w:rFonts w:hint="eastAsia"/>
                <w:color w:val="000000"/>
              </w:rPr>
              <w:t>B</w:t>
            </w:r>
            <w:r>
              <w:rPr>
                <w:rFonts w:hint="eastAsia" w:ascii="宋体" w:hAnsi="宋体"/>
                <w:color w:val="000000"/>
              </w:rPr>
              <w:t>类</w:t>
            </w:r>
          </w:p>
        </w:tc>
      </w:tr>
      <w:tr w14:paraId="58B6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5BBFDA9B">
            <w:pPr>
              <w:spacing w:after="120"/>
              <w:jc w:val="center"/>
              <w:rPr>
                <w:color w:val="000000"/>
              </w:rPr>
            </w:pPr>
          </w:p>
        </w:tc>
        <w:tc>
          <w:tcPr>
            <w:tcW w:w="916" w:type="dxa"/>
            <w:vMerge w:val="continue"/>
            <w:tcBorders>
              <w:left w:val="single" w:color="auto" w:sz="4" w:space="0"/>
              <w:right w:val="single" w:color="auto" w:sz="4" w:space="0"/>
            </w:tcBorders>
            <w:vAlign w:val="center"/>
          </w:tcPr>
          <w:p w14:paraId="6A324924">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62CEC4E">
            <w:pPr>
              <w:jc w:val="center"/>
              <w:rPr>
                <w:rFonts w:ascii="宋体" w:hAnsi="宋体"/>
                <w:color w:val="000000"/>
                <w:sz w:val="22"/>
                <w:szCs w:val="22"/>
              </w:rPr>
            </w:pPr>
            <w:r>
              <w:rPr>
                <w:rFonts w:hint="eastAsia" w:ascii="宋体" w:hAnsi="宋体"/>
                <w:color w:val="000000"/>
                <w:sz w:val="22"/>
                <w:szCs w:val="22"/>
              </w:rPr>
              <w:t>光纤衰减试验（如有）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24723A57">
            <w:pPr>
              <w:spacing w:after="120"/>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D34D274">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E7A847A">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3D394271">
            <w:pPr>
              <w:jc w:val="center"/>
              <w:rPr>
                <w:rFonts w:ascii="宋体" w:hAnsi="宋体"/>
                <w:color w:val="000000"/>
              </w:rPr>
            </w:pPr>
            <w:r>
              <w:rPr>
                <w:rFonts w:hint="eastAsia"/>
                <w:color w:val="000000"/>
              </w:rPr>
              <w:t>B</w:t>
            </w:r>
            <w:r>
              <w:rPr>
                <w:rFonts w:hint="eastAsia" w:ascii="宋体" w:hAnsi="宋体"/>
                <w:color w:val="000000"/>
              </w:rPr>
              <w:t>类</w:t>
            </w:r>
          </w:p>
        </w:tc>
      </w:tr>
      <w:tr w14:paraId="6D369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72E6D2F">
            <w:pPr>
              <w:spacing w:after="120"/>
              <w:jc w:val="center"/>
              <w:rPr>
                <w:color w:val="000000"/>
              </w:rPr>
            </w:pPr>
          </w:p>
        </w:tc>
        <w:tc>
          <w:tcPr>
            <w:tcW w:w="916" w:type="dxa"/>
            <w:vMerge w:val="continue"/>
            <w:tcBorders>
              <w:left w:val="single" w:color="auto" w:sz="4" w:space="0"/>
              <w:right w:val="single" w:color="auto" w:sz="4" w:space="0"/>
            </w:tcBorders>
            <w:vAlign w:val="center"/>
          </w:tcPr>
          <w:p w14:paraId="4B1FAE04">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1963B8BB">
            <w:pPr>
              <w:jc w:val="center"/>
              <w:rPr>
                <w:rFonts w:ascii="宋体" w:hAnsi="宋体"/>
                <w:color w:val="000000"/>
                <w:sz w:val="22"/>
                <w:szCs w:val="22"/>
              </w:rPr>
            </w:pPr>
            <w:r>
              <w:rPr>
                <w:rFonts w:hint="eastAsia" w:ascii="宋体" w:hAnsi="宋体"/>
                <w:color w:val="000000"/>
                <w:sz w:val="22"/>
                <w:szCs w:val="22"/>
              </w:rPr>
              <w:t>导体检查</w:t>
            </w:r>
          </w:p>
        </w:tc>
        <w:tc>
          <w:tcPr>
            <w:tcW w:w="1015" w:type="dxa"/>
            <w:tcBorders>
              <w:top w:val="single" w:color="auto" w:sz="4" w:space="0"/>
              <w:left w:val="single" w:color="auto" w:sz="4" w:space="0"/>
              <w:bottom w:val="single" w:color="auto" w:sz="4" w:space="0"/>
              <w:right w:val="single" w:color="auto" w:sz="4" w:space="0"/>
            </w:tcBorders>
            <w:vAlign w:val="center"/>
          </w:tcPr>
          <w:p w14:paraId="21B29947">
            <w:pPr>
              <w:spacing w:after="156"/>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BAF0D3C">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659BABD5">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01BFFF2">
            <w:pPr>
              <w:jc w:val="center"/>
              <w:rPr>
                <w:rFonts w:ascii="宋体" w:hAnsi="宋体"/>
                <w:color w:val="000000"/>
              </w:rPr>
            </w:pPr>
            <w:r>
              <w:rPr>
                <w:rFonts w:hint="eastAsia"/>
                <w:color w:val="000000"/>
              </w:rPr>
              <w:t>B</w:t>
            </w:r>
            <w:r>
              <w:rPr>
                <w:rFonts w:hint="eastAsia" w:ascii="宋体" w:hAnsi="宋体"/>
                <w:color w:val="000000"/>
              </w:rPr>
              <w:t>类</w:t>
            </w:r>
          </w:p>
        </w:tc>
      </w:tr>
      <w:tr w14:paraId="2A68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62C52063">
            <w:pPr>
              <w:spacing w:after="120"/>
              <w:jc w:val="center"/>
              <w:rPr>
                <w:color w:val="000000"/>
              </w:rPr>
            </w:pPr>
          </w:p>
        </w:tc>
        <w:tc>
          <w:tcPr>
            <w:tcW w:w="916" w:type="dxa"/>
            <w:vMerge w:val="continue"/>
            <w:tcBorders>
              <w:left w:val="single" w:color="auto" w:sz="4" w:space="0"/>
              <w:right w:val="single" w:color="auto" w:sz="4" w:space="0"/>
            </w:tcBorders>
            <w:vAlign w:val="center"/>
          </w:tcPr>
          <w:p w14:paraId="3F785BCB">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7664ED2">
            <w:pPr>
              <w:jc w:val="center"/>
              <w:rPr>
                <w:rFonts w:ascii="宋体" w:hAnsi="宋体"/>
                <w:color w:val="000000"/>
                <w:sz w:val="22"/>
                <w:szCs w:val="22"/>
              </w:rPr>
            </w:pPr>
            <w:r>
              <w:rPr>
                <w:rFonts w:hint="eastAsia" w:ascii="宋体" w:hAnsi="宋体"/>
                <w:color w:val="000000"/>
                <w:sz w:val="22"/>
                <w:szCs w:val="22"/>
              </w:rPr>
              <w:t>绝缘和非金属护套厚度测量</w:t>
            </w:r>
          </w:p>
        </w:tc>
        <w:tc>
          <w:tcPr>
            <w:tcW w:w="1015" w:type="dxa"/>
            <w:tcBorders>
              <w:top w:val="single" w:color="auto" w:sz="4" w:space="0"/>
              <w:left w:val="single" w:color="auto" w:sz="4" w:space="0"/>
              <w:bottom w:val="single" w:color="auto" w:sz="4" w:space="0"/>
              <w:right w:val="single" w:color="auto" w:sz="4" w:space="0"/>
            </w:tcBorders>
            <w:vAlign w:val="center"/>
          </w:tcPr>
          <w:p w14:paraId="7AEA7A1E">
            <w:pPr>
              <w:spacing w:after="120"/>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105BDB12">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2EEFF2EB">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646EFBF">
            <w:pPr>
              <w:jc w:val="center"/>
              <w:rPr>
                <w:rFonts w:ascii="宋体" w:hAnsi="宋体"/>
                <w:color w:val="000000"/>
              </w:rPr>
            </w:pPr>
            <w:r>
              <w:rPr>
                <w:rFonts w:hint="eastAsia"/>
                <w:color w:val="000000"/>
              </w:rPr>
              <w:t>B</w:t>
            </w:r>
            <w:r>
              <w:rPr>
                <w:rFonts w:hint="eastAsia" w:ascii="宋体" w:hAnsi="宋体"/>
                <w:color w:val="000000"/>
              </w:rPr>
              <w:t>类</w:t>
            </w:r>
          </w:p>
        </w:tc>
      </w:tr>
      <w:tr w14:paraId="37CA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E3B5EFF">
            <w:pPr>
              <w:spacing w:after="120"/>
              <w:jc w:val="center"/>
              <w:rPr>
                <w:color w:val="000000"/>
              </w:rPr>
            </w:pPr>
          </w:p>
        </w:tc>
        <w:tc>
          <w:tcPr>
            <w:tcW w:w="916" w:type="dxa"/>
            <w:vMerge w:val="continue"/>
            <w:tcBorders>
              <w:left w:val="single" w:color="auto" w:sz="4" w:space="0"/>
              <w:right w:val="single" w:color="auto" w:sz="4" w:space="0"/>
            </w:tcBorders>
            <w:vAlign w:val="center"/>
          </w:tcPr>
          <w:p w14:paraId="46B864A2">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AF96867">
            <w:pPr>
              <w:jc w:val="center"/>
              <w:rPr>
                <w:color w:val="000000"/>
                <w:sz w:val="22"/>
                <w:szCs w:val="22"/>
              </w:rPr>
            </w:pPr>
            <w:r>
              <w:rPr>
                <w:rFonts w:hint="eastAsia" w:ascii="宋体" w:hAnsi="宋体"/>
                <w:color w:val="000000"/>
                <w:sz w:val="22"/>
                <w:szCs w:val="22"/>
              </w:rPr>
              <w:t>铠装金属丝测量</w:t>
            </w:r>
          </w:p>
        </w:tc>
        <w:tc>
          <w:tcPr>
            <w:tcW w:w="1015" w:type="dxa"/>
            <w:tcBorders>
              <w:top w:val="single" w:color="auto" w:sz="4" w:space="0"/>
              <w:left w:val="single" w:color="auto" w:sz="4" w:space="0"/>
              <w:bottom w:val="single" w:color="auto" w:sz="4" w:space="0"/>
              <w:right w:val="single" w:color="auto" w:sz="4" w:space="0"/>
            </w:tcBorders>
            <w:vAlign w:val="center"/>
          </w:tcPr>
          <w:p w14:paraId="3D27112F">
            <w:pPr>
              <w:spacing w:after="120"/>
              <w:jc w:val="center"/>
              <w:rPr>
                <w:rFonts w:ascii="宋体" w:hAnsi="宋体"/>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1ECB02C8">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6D3669CD">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B85D1AF">
            <w:pPr>
              <w:jc w:val="center"/>
              <w:rPr>
                <w:rFonts w:ascii="宋体" w:hAnsi="宋体"/>
                <w:color w:val="000000"/>
              </w:rPr>
            </w:pPr>
            <w:r>
              <w:rPr>
                <w:rFonts w:hint="eastAsia"/>
                <w:color w:val="000000"/>
              </w:rPr>
              <w:t>B</w:t>
            </w:r>
            <w:r>
              <w:rPr>
                <w:rFonts w:hint="eastAsia" w:ascii="宋体" w:hAnsi="宋体"/>
                <w:color w:val="000000"/>
              </w:rPr>
              <w:t>类</w:t>
            </w:r>
          </w:p>
        </w:tc>
      </w:tr>
      <w:tr w14:paraId="5646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5FAC0412">
            <w:pPr>
              <w:spacing w:after="120"/>
              <w:jc w:val="center"/>
              <w:rPr>
                <w:color w:val="000000"/>
              </w:rPr>
            </w:pPr>
          </w:p>
        </w:tc>
        <w:tc>
          <w:tcPr>
            <w:tcW w:w="916" w:type="dxa"/>
            <w:vMerge w:val="continue"/>
            <w:tcBorders>
              <w:left w:val="single" w:color="auto" w:sz="4" w:space="0"/>
              <w:right w:val="single" w:color="auto" w:sz="4" w:space="0"/>
            </w:tcBorders>
            <w:vAlign w:val="center"/>
          </w:tcPr>
          <w:p w14:paraId="6525016D">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7B49919">
            <w:pPr>
              <w:jc w:val="center"/>
              <w:rPr>
                <w:rFonts w:ascii="宋体" w:hAnsi="宋体"/>
                <w:color w:val="000000"/>
                <w:sz w:val="22"/>
                <w:szCs w:val="22"/>
              </w:rPr>
            </w:pPr>
            <w:r>
              <w:rPr>
                <w:rFonts w:hint="eastAsia" w:ascii="宋体" w:hAnsi="宋体"/>
                <w:color w:val="000000"/>
                <w:sz w:val="22"/>
                <w:szCs w:val="22"/>
              </w:rPr>
              <w:t>金属护套厚度测量</w:t>
            </w:r>
          </w:p>
        </w:tc>
        <w:tc>
          <w:tcPr>
            <w:tcW w:w="1015" w:type="dxa"/>
            <w:tcBorders>
              <w:top w:val="single" w:color="auto" w:sz="4" w:space="0"/>
              <w:left w:val="single" w:color="auto" w:sz="4" w:space="0"/>
              <w:bottom w:val="single" w:color="auto" w:sz="4" w:space="0"/>
              <w:right w:val="single" w:color="auto" w:sz="4" w:space="0"/>
            </w:tcBorders>
            <w:vAlign w:val="center"/>
          </w:tcPr>
          <w:p w14:paraId="46624081">
            <w:pPr>
              <w:spacing w:after="120"/>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42516855">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81C6C0E">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056A3380">
            <w:pPr>
              <w:jc w:val="center"/>
              <w:rPr>
                <w:color w:val="000000"/>
              </w:rPr>
            </w:pPr>
            <w:r>
              <w:rPr>
                <w:rFonts w:hint="eastAsia"/>
                <w:color w:val="000000"/>
              </w:rPr>
              <w:t>C</w:t>
            </w:r>
            <w:r>
              <w:rPr>
                <w:rFonts w:hint="eastAsia" w:ascii="宋体" w:hAnsi="宋体"/>
                <w:color w:val="000000"/>
              </w:rPr>
              <w:t>类</w:t>
            </w:r>
          </w:p>
        </w:tc>
      </w:tr>
      <w:tr w14:paraId="6522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atLeast"/>
          <w:jc w:val="center"/>
        </w:trPr>
        <w:tc>
          <w:tcPr>
            <w:tcW w:w="632" w:type="dxa"/>
            <w:vMerge w:val="continue"/>
            <w:tcBorders>
              <w:left w:val="single" w:color="auto" w:sz="4" w:space="0"/>
              <w:right w:val="single" w:color="auto" w:sz="4" w:space="0"/>
            </w:tcBorders>
            <w:vAlign w:val="center"/>
          </w:tcPr>
          <w:p w14:paraId="65729949">
            <w:pPr>
              <w:spacing w:after="120"/>
              <w:jc w:val="center"/>
              <w:rPr>
                <w:color w:val="000000"/>
              </w:rPr>
            </w:pPr>
          </w:p>
        </w:tc>
        <w:tc>
          <w:tcPr>
            <w:tcW w:w="916" w:type="dxa"/>
            <w:vMerge w:val="continue"/>
            <w:tcBorders>
              <w:left w:val="single" w:color="auto" w:sz="4" w:space="0"/>
              <w:right w:val="single" w:color="auto" w:sz="4" w:space="0"/>
            </w:tcBorders>
            <w:vAlign w:val="center"/>
          </w:tcPr>
          <w:p w14:paraId="786F6A98">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5594AB1">
            <w:pPr>
              <w:jc w:val="center"/>
              <w:rPr>
                <w:rFonts w:ascii="宋体" w:hAnsi="宋体"/>
                <w:color w:val="000000"/>
                <w:sz w:val="22"/>
                <w:szCs w:val="22"/>
              </w:rPr>
            </w:pPr>
            <w:r>
              <w:rPr>
                <w:rFonts w:hint="eastAsia"/>
                <w:color w:val="000000"/>
                <w:sz w:val="22"/>
                <w:szCs w:val="22"/>
              </w:rPr>
              <w:t>XLPE</w:t>
            </w:r>
            <w:r>
              <w:rPr>
                <w:rFonts w:hint="eastAsia" w:ascii="宋体" w:hAnsi="宋体"/>
                <w:color w:val="000000"/>
                <w:sz w:val="22"/>
                <w:szCs w:val="22"/>
              </w:rPr>
              <w:t>绝缘的热延伸试验</w:t>
            </w:r>
          </w:p>
        </w:tc>
        <w:tc>
          <w:tcPr>
            <w:tcW w:w="1015" w:type="dxa"/>
            <w:tcBorders>
              <w:top w:val="single" w:color="auto" w:sz="4" w:space="0"/>
              <w:left w:val="single" w:color="auto" w:sz="4" w:space="0"/>
              <w:bottom w:val="single" w:color="auto" w:sz="4" w:space="0"/>
              <w:right w:val="single" w:color="auto" w:sz="4" w:space="0"/>
            </w:tcBorders>
            <w:vAlign w:val="center"/>
          </w:tcPr>
          <w:p w14:paraId="2D9363B6">
            <w:pPr>
              <w:spacing w:after="156"/>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A64F6D1">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E5D5E28">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3EF20125">
            <w:pPr>
              <w:jc w:val="center"/>
              <w:rPr>
                <w:rFonts w:ascii="宋体" w:hAnsi="宋体"/>
                <w:color w:val="000000"/>
              </w:rPr>
            </w:pPr>
            <w:r>
              <w:rPr>
                <w:rFonts w:hint="eastAsia"/>
                <w:color w:val="000000"/>
              </w:rPr>
              <w:t>A</w:t>
            </w:r>
            <w:r>
              <w:rPr>
                <w:rFonts w:hint="eastAsia" w:ascii="宋体" w:hAnsi="宋体"/>
                <w:color w:val="000000"/>
              </w:rPr>
              <w:t>类</w:t>
            </w:r>
          </w:p>
        </w:tc>
      </w:tr>
      <w:tr w14:paraId="6CCF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EAFB66A">
            <w:pPr>
              <w:spacing w:after="120"/>
              <w:jc w:val="center"/>
              <w:rPr>
                <w:color w:val="000000"/>
              </w:rPr>
            </w:pPr>
          </w:p>
        </w:tc>
        <w:tc>
          <w:tcPr>
            <w:tcW w:w="916" w:type="dxa"/>
            <w:vMerge w:val="continue"/>
            <w:tcBorders>
              <w:left w:val="single" w:color="auto" w:sz="4" w:space="0"/>
              <w:right w:val="single" w:color="auto" w:sz="4" w:space="0"/>
            </w:tcBorders>
            <w:vAlign w:val="center"/>
          </w:tcPr>
          <w:p w14:paraId="35F602F5">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39DC53FC">
            <w:pPr>
              <w:jc w:val="center"/>
              <w:rPr>
                <w:rFonts w:ascii="宋体" w:hAnsi="宋体"/>
                <w:color w:val="000000"/>
                <w:sz w:val="22"/>
                <w:szCs w:val="22"/>
              </w:rPr>
            </w:pPr>
            <w:r>
              <w:rPr>
                <w:rFonts w:hint="eastAsia" w:ascii="宋体" w:hAnsi="宋体"/>
                <w:color w:val="000000"/>
                <w:sz w:val="22"/>
                <w:szCs w:val="22"/>
              </w:rPr>
              <w:t>电容测量</w:t>
            </w:r>
          </w:p>
        </w:tc>
        <w:tc>
          <w:tcPr>
            <w:tcW w:w="1015" w:type="dxa"/>
            <w:tcBorders>
              <w:top w:val="single" w:color="auto" w:sz="4" w:space="0"/>
              <w:left w:val="single" w:color="auto" w:sz="4" w:space="0"/>
              <w:bottom w:val="single" w:color="auto" w:sz="4" w:space="0"/>
              <w:right w:val="single" w:color="auto" w:sz="4" w:space="0"/>
            </w:tcBorders>
            <w:vAlign w:val="center"/>
          </w:tcPr>
          <w:p w14:paraId="548EC25D">
            <w:pPr>
              <w:spacing w:after="120"/>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3C33F22">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459AA8E">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EF0F40F">
            <w:pPr>
              <w:jc w:val="center"/>
              <w:rPr>
                <w:rFonts w:ascii="宋体" w:hAnsi="宋体"/>
                <w:color w:val="000000"/>
              </w:rPr>
            </w:pPr>
            <w:r>
              <w:rPr>
                <w:rFonts w:hint="eastAsia"/>
                <w:color w:val="000000"/>
              </w:rPr>
              <w:t>C</w:t>
            </w:r>
            <w:r>
              <w:rPr>
                <w:rFonts w:hint="eastAsia" w:ascii="宋体" w:hAnsi="宋体"/>
                <w:color w:val="000000"/>
              </w:rPr>
              <w:t>类</w:t>
            </w:r>
          </w:p>
        </w:tc>
      </w:tr>
      <w:tr w14:paraId="3D31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9444A0D">
            <w:pPr>
              <w:spacing w:after="120"/>
              <w:jc w:val="center"/>
              <w:rPr>
                <w:color w:val="000000"/>
              </w:rPr>
            </w:pPr>
          </w:p>
        </w:tc>
        <w:tc>
          <w:tcPr>
            <w:tcW w:w="916" w:type="dxa"/>
            <w:vMerge w:val="continue"/>
            <w:tcBorders>
              <w:left w:val="single" w:color="auto" w:sz="4" w:space="0"/>
              <w:right w:val="single" w:color="auto" w:sz="4" w:space="0"/>
            </w:tcBorders>
            <w:vAlign w:val="center"/>
          </w:tcPr>
          <w:p w14:paraId="4BD9CBA2">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7D65E9E1">
            <w:pPr>
              <w:jc w:val="center"/>
              <w:rPr>
                <w:color w:val="000000"/>
                <w:sz w:val="22"/>
                <w:szCs w:val="22"/>
              </w:rPr>
            </w:pPr>
            <w:r>
              <w:rPr>
                <w:rFonts w:hint="eastAsia" w:ascii="宋体" w:hAnsi="宋体"/>
                <w:color w:val="000000"/>
                <w:sz w:val="22"/>
                <w:szCs w:val="22"/>
              </w:rPr>
              <w:t>导体屏蔽、绝缘屏蔽和半导电护套电阻率测量</w:t>
            </w:r>
          </w:p>
        </w:tc>
        <w:tc>
          <w:tcPr>
            <w:tcW w:w="1015" w:type="dxa"/>
            <w:tcBorders>
              <w:top w:val="single" w:color="auto" w:sz="4" w:space="0"/>
              <w:left w:val="single" w:color="auto" w:sz="4" w:space="0"/>
              <w:bottom w:val="single" w:color="auto" w:sz="4" w:space="0"/>
              <w:right w:val="single" w:color="auto" w:sz="4" w:space="0"/>
            </w:tcBorders>
            <w:vAlign w:val="center"/>
          </w:tcPr>
          <w:p w14:paraId="49CA4962">
            <w:pPr>
              <w:spacing w:after="120"/>
              <w:jc w:val="center"/>
              <w:rPr>
                <w:rFonts w:ascii="宋体" w:hAnsi="宋体"/>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06E1D20">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B603D60">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461F6351">
            <w:pPr>
              <w:jc w:val="center"/>
              <w:rPr>
                <w:rFonts w:ascii="宋体" w:hAnsi="宋体"/>
                <w:color w:val="000000"/>
              </w:rPr>
            </w:pPr>
            <w:r>
              <w:rPr>
                <w:rFonts w:hint="eastAsia"/>
                <w:color w:val="000000"/>
              </w:rPr>
              <w:t>B</w:t>
            </w:r>
            <w:r>
              <w:rPr>
                <w:rFonts w:hint="eastAsia" w:ascii="宋体" w:hAnsi="宋体"/>
                <w:color w:val="000000"/>
              </w:rPr>
              <w:t>类</w:t>
            </w:r>
          </w:p>
        </w:tc>
      </w:tr>
      <w:tr w14:paraId="7B7B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bottom w:val="single" w:color="auto" w:sz="4" w:space="0"/>
              <w:right w:val="single" w:color="auto" w:sz="4" w:space="0"/>
            </w:tcBorders>
            <w:vAlign w:val="center"/>
          </w:tcPr>
          <w:p w14:paraId="404F480E">
            <w:pPr>
              <w:spacing w:after="120"/>
              <w:jc w:val="center"/>
              <w:rPr>
                <w:color w:val="000000"/>
              </w:rPr>
            </w:pPr>
          </w:p>
        </w:tc>
        <w:tc>
          <w:tcPr>
            <w:tcW w:w="916" w:type="dxa"/>
            <w:vMerge w:val="continue"/>
            <w:tcBorders>
              <w:left w:val="single" w:color="auto" w:sz="4" w:space="0"/>
              <w:bottom w:val="single" w:color="auto" w:sz="4" w:space="0"/>
              <w:right w:val="single" w:color="auto" w:sz="4" w:space="0"/>
            </w:tcBorders>
            <w:vAlign w:val="center"/>
          </w:tcPr>
          <w:p w14:paraId="3C8C29B0">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8280E4A">
            <w:pPr>
              <w:jc w:val="center"/>
              <w:rPr>
                <w:rFonts w:ascii="宋体" w:hAnsi="宋体"/>
                <w:color w:val="000000"/>
                <w:sz w:val="22"/>
                <w:szCs w:val="22"/>
              </w:rPr>
            </w:pPr>
            <w:r>
              <w:rPr>
                <w:rFonts w:hint="eastAsia" w:ascii="宋体" w:hAnsi="宋体"/>
                <w:color w:val="000000"/>
                <w:sz w:val="22"/>
                <w:szCs w:val="22"/>
              </w:rPr>
              <w:t>高温雷电冲击电压试验（可选）</w:t>
            </w:r>
          </w:p>
        </w:tc>
        <w:tc>
          <w:tcPr>
            <w:tcW w:w="1015" w:type="dxa"/>
            <w:tcBorders>
              <w:top w:val="single" w:color="auto" w:sz="4" w:space="0"/>
              <w:left w:val="single" w:color="auto" w:sz="4" w:space="0"/>
              <w:bottom w:val="single" w:color="auto" w:sz="4" w:space="0"/>
              <w:right w:val="single" w:color="auto" w:sz="4" w:space="0"/>
            </w:tcBorders>
            <w:vAlign w:val="center"/>
          </w:tcPr>
          <w:p w14:paraId="63B9266A">
            <w:pPr>
              <w:spacing w:after="156"/>
              <w:jc w:val="center"/>
              <w:rPr>
                <w:b/>
                <w:color w:val="000000"/>
                <w:kern w:val="0"/>
                <w:szCs w:val="21"/>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5103A22C">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37160E2">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7F9E6AFB">
            <w:pPr>
              <w:jc w:val="center"/>
              <w:rPr>
                <w:rFonts w:ascii="宋体" w:hAnsi="宋体"/>
                <w:color w:val="000000"/>
              </w:rPr>
            </w:pPr>
            <w:r>
              <w:rPr>
                <w:rFonts w:hint="eastAsia"/>
                <w:color w:val="000000"/>
              </w:rPr>
              <w:t>A</w:t>
            </w:r>
            <w:r>
              <w:rPr>
                <w:rFonts w:hint="eastAsia" w:ascii="宋体" w:hAnsi="宋体"/>
                <w:color w:val="000000"/>
              </w:rPr>
              <w:t>类</w:t>
            </w:r>
          </w:p>
        </w:tc>
      </w:tr>
      <w:tr w14:paraId="125E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restart"/>
            <w:tcBorders>
              <w:top w:val="single" w:color="auto" w:sz="4" w:space="0"/>
              <w:left w:val="single" w:color="auto" w:sz="4" w:space="0"/>
              <w:right w:val="single" w:color="auto" w:sz="4" w:space="0"/>
            </w:tcBorders>
            <w:vAlign w:val="center"/>
          </w:tcPr>
          <w:p w14:paraId="3C4D97D9">
            <w:pPr>
              <w:spacing w:after="120"/>
              <w:jc w:val="center"/>
              <w:rPr>
                <w:rFonts w:ascii="宋体" w:hAnsi="宋体"/>
                <w:color w:val="000000"/>
              </w:rPr>
            </w:pPr>
            <w:r>
              <w:rPr>
                <w:rFonts w:hint="eastAsia" w:ascii="宋体" w:hAnsi="宋体"/>
                <w:color w:val="000000"/>
              </w:rPr>
              <w:t>６</w:t>
            </w:r>
          </w:p>
        </w:tc>
        <w:tc>
          <w:tcPr>
            <w:tcW w:w="916" w:type="dxa"/>
            <w:vMerge w:val="restart"/>
            <w:tcBorders>
              <w:top w:val="single" w:color="auto" w:sz="4" w:space="0"/>
              <w:left w:val="single" w:color="auto" w:sz="4" w:space="0"/>
              <w:right w:val="single" w:color="auto" w:sz="4" w:space="0"/>
            </w:tcBorders>
            <w:vAlign w:val="center"/>
          </w:tcPr>
          <w:p w14:paraId="07C74178">
            <w:pPr>
              <w:spacing w:after="156"/>
              <w:jc w:val="center"/>
              <w:rPr>
                <w:rFonts w:ascii="宋体" w:hAnsi="宋体"/>
                <w:color w:val="000000"/>
              </w:rPr>
            </w:pPr>
            <w:r>
              <w:rPr>
                <w:rFonts w:hint="eastAsia" w:ascii="宋体" w:hAnsi="宋体"/>
                <w:color w:val="000000"/>
              </w:rPr>
              <w:t>工厂接头试验</w:t>
            </w:r>
          </w:p>
        </w:tc>
        <w:tc>
          <w:tcPr>
            <w:tcW w:w="2504" w:type="dxa"/>
            <w:tcBorders>
              <w:top w:val="single" w:color="auto" w:sz="4" w:space="0"/>
              <w:left w:val="single" w:color="auto" w:sz="4" w:space="0"/>
              <w:bottom w:val="single" w:color="auto" w:sz="4" w:space="0"/>
              <w:right w:val="single" w:color="auto" w:sz="4" w:space="0"/>
            </w:tcBorders>
            <w:vAlign w:val="center"/>
          </w:tcPr>
          <w:p w14:paraId="02273FB6">
            <w:pPr>
              <w:tabs>
                <w:tab w:val="left" w:pos="3220"/>
              </w:tabs>
              <w:spacing w:line="300" w:lineRule="auto"/>
              <w:ind w:left="2" w:hanging="2" w:hangingChars="1"/>
              <w:jc w:val="center"/>
              <w:rPr>
                <w:rFonts w:ascii="宋体" w:hAnsi="宋体"/>
                <w:color w:val="000000"/>
              </w:rPr>
            </w:pPr>
            <w:r>
              <w:rPr>
                <w:rFonts w:hint="eastAsia" w:ascii="宋体" w:hAnsi="宋体"/>
                <w:color w:val="000000"/>
              </w:rPr>
              <w:t>试验设备</w:t>
            </w:r>
          </w:p>
        </w:tc>
        <w:tc>
          <w:tcPr>
            <w:tcW w:w="1015" w:type="dxa"/>
            <w:tcBorders>
              <w:top w:val="single" w:color="auto" w:sz="4" w:space="0"/>
              <w:left w:val="single" w:color="auto" w:sz="4" w:space="0"/>
              <w:bottom w:val="single" w:color="auto" w:sz="4" w:space="0"/>
              <w:right w:val="single" w:color="auto" w:sz="4" w:space="0"/>
            </w:tcBorders>
            <w:vAlign w:val="center"/>
          </w:tcPr>
          <w:p w14:paraId="36C3D58D">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11E4510D">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F062D7F">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B0C4FCF">
            <w:pPr>
              <w:jc w:val="center"/>
              <w:rPr>
                <w:rFonts w:ascii="宋体" w:hAnsi="宋体"/>
                <w:color w:val="000000"/>
              </w:rPr>
            </w:pPr>
            <w:r>
              <w:rPr>
                <w:rFonts w:hint="eastAsia"/>
                <w:color w:val="000000"/>
              </w:rPr>
              <w:t>C</w:t>
            </w:r>
            <w:r>
              <w:rPr>
                <w:rFonts w:hint="eastAsia" w:ascii="宋体" w:hAnsi="宋体"/>
                <w:color w:val="000000"/>
              </w:rPr>
              <w:t>类</w:t>
            </w:r>
          </w:p>
        </w:tc>
      </w:tr>
      <w:tr w14:paraId="6D668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4CF94AA3">
            <w:pPr>
              <w:spacing w:after="120"/>
              <w:jc w:val="center"/>
              <w:rPr>
                <w:color w:val="000000"/>
              </w:rPr>
            </w:pPr>
          </w:p>
        </w:tc>
        <w:tc>
          <w:tcPr>
            <w:tcW w:w="916" w:type="dxa"/>
            <w:vMerge w:val="continue"/>
            <w:tcBorders>
              <w:left w:val="single" w:color="auto" w:sz="4" w:space="0"/>
              <w:right w:val="single" w:color="auto" w:sz="4" w:space="0"/>
            </w:tcBorders>
            <w:vAlign w:val="center"/>
          </w:tcPr>
          <w:p w14:paraId="12B134B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33413B96">
            <w:pPr>
              <w:tabs>
                <w:tab w:val="left" w:pos="3220"/>
              </w:tabs>
              <w:spacing w:line="300" w:lineRule="auto"/>
              <w:ind w:left="2" w:hanging="2" w:hangingChars="1"/>
              <w:jc w:val="center"/>
              <w:rPr>
                <w:rFonts w:ascii="宋体" w:hAnsi="宋体"/>
                <w:color w:val="000000"/>
              </w:rPr>
            </w:pPr>
            <w:r>
              <w:rPr>
                <w:rFonts w:hint="eastAsia" w:ascii="宋体" w:hAnsi="宋体"/>
                <w:color w:val="000000"/>
              </w:rPr>
              <w:t>结构尺寸检查</w:t>
            </w:r>
          </w:p>
        </w:tc>
        <w:tc>
          <w:tcPr>
            <w:tcW w:w="1015" w:type="dxa"/>
            <w:tcBorders>
              <w:top w:val="single" w:color="auto" w:sz="4" w:space="0"/>
              <w:left w:val="single" w:color="auto" w:sz="4" w:space="0"/>
              <w:bottom w:val="single" w:color="auto" w:sz="4" w:space="0"/>
              <w:right w:val="single" w:color="auto" w:sz="4" w:space="0"/>
            </w:tcBorders>
            <w:vAlign w:val="center"/>
          </w:tcPr>
          <w:p w14:paraId="6897A5CF">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1CC0D882">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2D3EB2B1">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95A045E">
            <w:pPr>
              <w:jc w:val="center"/>
              <w:rPr>
                <w:rFonts w:ascii="宋体" w:hAnsi="宋体"/>
                <w:color w:val="000000"/>
              </w:rPr>
            </w:pPr>
            <w:r>
              <w:rPr>
                <w:rFonts w:hint="eastAsia"/>
                <w:color w:val="000000"/>
              </w:rPr>
              <w:t>C</w:t>
            </w:r>
            <w:r>
              <w:rPr>
                <w:rFonts w:hint="eastAsia" w:ascii="宋体" w:hAnsi="宋体"/>
                <w:color w:val="000000"/>
              </w:rPr>
              <w:t>类</w:t>
            </w:r>
          </w:p>
        </w:tc>
      </w:tr>
      <w:tr w14:paraId="745B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10B13D90">
            <w:pPr>
              <w:spacing w:after="120"/>
              <w:jc w:val="center"/>
              <w:rPr>
                <w:color w:val="000000"/>
              </w:rPr>
            </w:pPr>
          </w:p>
        </w:tc>
        <w:tc>
          <w:tcPr>
            <w:tcW w:w="916" w:type="dxa"/>
            <w:vMerge w:val="continue"/>
            <w:tcBorders>
              <w:left w:val="single" w:color="auto" w:sz="4" w:space="0"/>
              <w:right w:val="single" w:color="auto" w:sz="4" w:space="0"/>
            </w:tcBorders>
            <w:vAlign w:val="center"/>
          </w:tcPr>
          <w:p w14:paraId="7A936EB0">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050A4AAE">
            <w:pPr>
              <w:tabs>
                <w:tab w:val="left" w:pos="3220"/>
              </w:tabs>
              <w:spacing w:line="300" w:lineRule="auto"/>
              <w:ind w:left="2" w:hanging="2" w:hangingChars="1"/>
              <w:jc w:val="center"/>
              <w:rPr>
                <w:rFonts w:ascii="宋体" w:hAnsi="宋体"/>
                <w:color w:val="000000"/>
              </w:rPr>
            </w:pPr>
            <w:r>
              <w:rPr>
                <w:rFonts w:hint="eastAsia" w:ascii="宋体" w:hAnsi="宋体"/>
                <w:color w:val="000000"/>
              </w:rPr>
              <w:t>局部放电试验</w:t>
            </w:r>
          </w:p>
        </w:tc>
        <w:tc>
          <w:tcPr>
            <w:tcW w:w="1015" w:type="dxa"/>
            <w:tcBorders>
              <w:top w:val="single" w:color="auto" w:sz="4" w:space="0"/>
              <w:left w:val="single" w:color="auto" w:sz="4" w:space="0"/>
              <w:bottom w:val="single" w:color="auto" w:sz="4" w:space="0"/>
              <w:right w:val="single" w:color="auto" w:sz="4" w:space="0"/>
            </w:tcBorders>
            <w:vAlign w:val="center"/>
          </w:tcPr>
          <w:p w14:paraId="76DFA8AF">
            <w:pPr>
              <w:spacing w:after="156"/>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D57399B">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649EF37">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2D6AC6DB">
            <w:pPr>
              <w:jc w:val="center"/>
              <w:rPr>
                <w:rFonts w:ascii="宋体" w:hAnsi="宋体"/>
                <w:color w:val="000000"/>
              </w:rPr>
            </w:pPr>
            <w:r>
              <w:rPr>
                <w:rFonts w:hint="eastAsia"/>
                <w:color w:val="000000"/>
              </w:rPr>
              <w:t>A</w:t>
            </w:r>
            <w:r>
              <w:rPr>
                <w:rFonts w:hint="eastAsia" w:ascii="宋体" w:hAnsi="宋体"/>
                <w:color w:val="000000"/>
              </w:rPr>
              <w:t>类</w:t>
            </w:r>
          </w:p>
        </w:tc>
      </w:tr>
      <w:tr w14:paraId="5B45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76CB6A3C">
            <w:pPr>
              <w:spacing w:after="120"/>
              <w:jc w:val="center"/>
              <w:rPr>
                <w:color w:val="000000"/>
              </w:rPr>
            </w:pPr>
          </w:p>
        </w:tc>
        <w:tc>
          <w:tcPr>
            <w:tcW w:w="916" w:type="dxa"/>
            <w:vMerge w:val="continue"/>
            <w:tcBorders>
              <w:left w:val="single" w:color="auto" w:sz="4" w:space="0"/>
              <w:right w:val="single" w:color="auto" w:sz="4" w:space="0"/>
            </w:tcBorders>
            <w:vAlign w:val="center"/>
          </w:tcPr>
          <w:p w14:paraId="74B78072">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3EC790F9">
            <w:pPr>
              <w:tabs>
                <w:tab w:val="left" w:pos="3220"/>
              </w:tabs>
              <w:spacing w:line="300" w:lineRule="auto"/>
              <w:ind w:left="2" w:hanging="2" w:hangingChars="1"/>
              <w:jc w:val="center"/>
              <w:rPr>
                <w:rFonts w:ascii="宋体" w:hAnsi="宋体"/>
                <w:color w:val="000000"/>
              </w:rPr>
            </w:pPr>
            <w:r>
              <w:rPr>
                <w:rFonts w:hint="eastAsia" w:ascii="宋体" w:hAnsi="宋体"/>
                <w:color w:val="000000"/>
              </w:rPr>
              <w:t>导体接头拉力试验</w:t>
            </w:r>
          </w:p>
        </w:tc>
        <w:tc>
          <w:tcPr>
            <w:tcW w:w="1015" w:type="dxa"/>
            <w:tcBorders>
              <w:top w:val="single" w:color="auto" w:sz="4" w:space="0"/>
              <w:left w:val="single" w:color="auto" w:sz="4" w:space="0"/>
              <w:bottom w:val="single" w:color="auto" w:sz="4" w:space="0"/>
              <w:right w:val="single" w:color="auto" w:sz="4" w:space="0"/>
            </w:tcBorders>
            <w:vAlign w:val="center"/>
          </w:tcPr>
          <w:p w14:paraId="0911682B">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BD5E693">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57FB9501">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69902E16">
            <w:pPr>
              <w:jc w:val="center"/>
              <w:rPr>
                <w:rFonts w:ascii="宋体" w:hAnsi="宋体"/>
                <w:color w:val="000000"/>
              </w:rPr>
            </w:pPr>
            <w:r>
              <w:rPr>
                <w:color w:val="000000"/>
              </w:rPr>
              <w:t>B</w:t>
            </w:r>
            <w:r>
              <w:rPr>
                <w:rFonts w:hint="eastAsia" w:ascii="宋体" w:hAnsi="宋体"/>
                <w:color w:val="000000"/>
              </w:rPr>
              <w:t>类</w:t>
            </w:r>
          </w:p>
        </w:tc>
      </w:tr>
      <w:tr w14:paraId="1F33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019D27E6">
            <w:pPr>
              <w:spacing w:after="120"/>
              <w:jc w:val="center"/>
              <w:rPr>
                <w:color w:val="000000"/>
              </w:rPr>
            </w:pPr>
          </w:p>
        </w:tc>
        <w:tc>
          <w:tcPr>
            <w:tcW w:w="916" w:type="dxa"/>
            <w:vMerge w:val="continue"/>
            <w:tcBorders>
              <w:left w:val="single" w:color="auto" w:sz="4" w:space="0"/>
              <w:right w:val="single" w:color="auto" w:sz="4" w:space="0"/>
            </w:tcBorders>
            <w:vAlign w:val="center"/>
          </w:tcPr>
          <w:p w14:paraId="0510647F">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60EC099E">
            <w:pPr>
              <w:tabs>
                <w:tab w:val="left" w:pos="3220"/>
              </w:tabs>
              <w:spacing w:line="300" w:lineRule="auto"/>
              <w:ind w:left="2" w:hanging="2" w:hangingChars="1"/>
              <w:jc w:val="center"/>
              <w:rPr>
                <w:rFonts w:ascii="宋体" w:hAnsi="宋体"/>
                <w:color w:val="000000"/>
              </w:rPr>
            </w:pPr>
            <w:r>
              <w:rPr>
                <w:rFonts w:hint="eastAsia" w:ascii="宋体" w:hAnsi="宋体"/>
                <w:color w:val="000000"/>
              </w:rPr>
              <w:t>雷电冲击电压试验</w:t>
            </w:r>
          </w:p>
        </w:tc>
        <w:tc>
          <w:tcPr>
            <w:tcW w:w="1015" w:type="dxa"/>
            <w:tcBorders>
              <w:top w:val="single" w:color="auto" w:sz="4" w:space="0"/>
              <w:left w:val="single" w:color="auto" w:sz="4" w:space="0"/>
              <w:bottom w:val="single" w:color="auto" w:sz="4" w:space="0"/>
              <w:right w:val="single" w:color="auto" w:sz="4" w:space="0"/>
            </w:tcBorders>
            <w:vAlign w:val="center"/>
          </w:tcPr>
          <w:p w14:paraId="5A39E18C">
            <w:pPr>
              <w:spacing w:after="156"/>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798EAF11">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71DF1F00">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17B53EB6">
            <w:pPr>
              <w:jc w:val="center"/>
              <w:rPr>
                <w:rFonts w:ascii="宋体" w:hAnsi="宋体"/>
                <w:color w:val="000000"/>
              </w:rPr>
            </w:pPr>
            <w:r>
              <w:rPr>
                <w:rFonts w:hint="eastAsia"/>
                <w:color w:val="000000"/>
              </w:rPr>
              <w:t>A</w:t>
            </w:r>
            <w:r>
              <w:rPr>
                <w:rFonts w:hint="eastAsia" w:ascii="宋体" w:hAnsi="宋体"/>
                <w:color w:val="000000"/>
              </w:rPr>
              <w:t>类</w:t>
            </w:r>
          </w:p>
        </w:tc>
      </w:tr>
      <w:tr w14:paraId="709BF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1511C323">
            <w:pPr>
              <w:spacing w:after="120"/>
              <w:jc w:val="center"/>
              <w:rPr>
                <w:color w:val="000000"/>
              </w:rPr>
            </w:pPr>
          </w:p>
        </w:tc>
        <w:tc>
          <w:tcPr>
            <w:tcW w:w="916" w:type="dxa"/>
            <w:vMerge w:val="continue"/>
            <w:tcBorders>
              <w:left w:val="single" w:color="auto" w:sz="4" w:space="0"/>
              <w:right w:val="single" w:color="auto" w:sz="4" w:space="0"/>
            </w:tcBorders>
            <w:vAlign w:val="center"/>
          </w:tcPr>
          <w:p w14:paraId="6577C957">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3F73EE37">
            <w:pPr>
              <w:tabs>
                <w:tab w:val="left" w:pos="3220"/>
              </w:tabs>
              <w:spacing w:line="300" w:lineRule="auto"/>
              <w:ind w:left="2" w:hanging="2" w:hangingChars="1"/>
              <w:jc w:val="center"/>
              <w:rPr>
                <w:rFonts w:ascii="宋体" w:hAnsi="宋体"/>
                <w:color w:val="000000"/>
              </w:rPr>
            </w:pPr>
            <w:r>
              <w:rPr>
                <w:rFonts w:hint="eastAsia" w:ascii="宋体" w:hAnsi="宋体"/>
                <w:color w:val="000000"/>
              </w:rPr>
              <w:t>电压试验</w:t>
            </w:r>
          </w:p>
        </w:tc>
        <w:tc>
          <w:tcPr>
            <w:tcW w:w="1015" w:type="dxa"/>
            <w:tcBorders>
              <w:top w:val="single" w:color="auto" w:sz="4" w:space="0"/>
              <w:left w:val="single" w:color="auto" w:sz="4" w:space="0"/>
              <w:bottom w:val="single" w:color="auto" w:sz="4" w:space="0"/>
              <w:right w:val="single" w:color="auto" w:sz="4" w:space="0"/>
            </w:tcBorders>
            <w:vAlign w:val="center"/>
          </w:tcPr>
          <w:p w14:paraId="5D868520">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CAE11F7">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CF3F571">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061BB92F">
            <w:pPr>
              <w:jc w:val="center"/>
              <w:rPr>
                <w:rFonts w:ascii="宋体" w:hAnsi="宋体"/>
                <w:color w:val="000000"/>
              </w:rPr>
            </w:pPr>
            <w:r>
              <w:rPr>
                <w:rFonts w:hint="eastAsia"/>
                <w:color w:val="000000"/>
              </w:rPr>
              <w:t>A</w:t>
            </w:r>
            <w:r>
              <w:rPr>
                <w:rFonts w:hint="eastAsia" w:ascii="宋体" w:hAnsi="宋体"/>
                <w:color w:val="000000"/>
              </w:rPr>
              <w:t>类</w:t>
            </w:r>
          </w:p>
        </w:tc>
      </w:tr>
      <w:tr w14:paraId="3F0DA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2B792746">
            <w:pPr>
              <w:spacing w:after="120"/>
              <w:jc w:val="center"/>
              <w:rPr>
                <w:color w:val="000000"/>
              </w:rPr>
            </w:pPr>
          </w:p>
        </w:tc>
        <w:tc>
          <w:tcPr>
            <w:tcW w:w="916" w:type="dxa"/>
            <w:vMerge w:val="continue"/>
            <w:tcBorders>
              <w:left w:val="single" w:color="auto" w:sz="4" w:space="0"/>
              <w:right w:val="single" w:color="auto" w:sz="4" w:space="0"/>
            </w:tcBorders>
            <w:vAlign w:val="center"/>
          </w:tcPr>
          <w:p w14:paraId="61E46FFC">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13A9024C">
            <w:pPr>
              <w:tabs>
                <w:tab w:val="left" w:pos="3220"/>
              </w:tabs>
              <w:spacing w:line="300" w:lineRule="auto"/>
              <w:ind w:left="2" w:hanging="2" w:hangingChars="1"/>
              <w:jc w:val="center"/>
              <w:rPr>
                <w:rFonts w:ascii="宋体" w:hAnsi="宋体"/>
                <w:color w:val="000000"/>
              </w:rPr>
            </w:pPr>
            <w:r>
              <w:rPr>
                <w:rFonts w:hint="eastAsia" w:ascii="宋体" w:hAnsi="宋体"/>
                <w:color w:val="000000"/>
              </w:rPr>
              <w:t>导体焊接检验</w:t>
            </w:r>
          </w:p>
        </w:tc>
        <w:tc>
          <w:tcPr>
            <w:tcW w:w="1015" w:type="dxa"/>
            <w:tcBorders>
              <w:top w:val="single" w:color="auto" w:sz="4" w:space="0"/>
              <w:left w:val="single" w:color="auto" w:sz="4" w:space="0"/>
              <w:bottom w:val="single" w:color="auto" w:sz="4" w:space="0"/>
              <w:right w:val="single" w:color="auto" w:sz="4" w:space="0"/>
            </w:tcBorders>
            <w:vAlign w:val="center"/>
          </w:tcPr>
          <w:p w14:paraId="55C9D8BA">
            <w:pPr>
              <w:spacing w:after="120"/>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3B8C3D79">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0E1F2600">
            <w:pPr>
              <w:spacing w:after="120"/>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5C0175B6">
            <w:pPr>
              <w:jc w:val="center"/>
              <w:rPr>
                <w:rFonts w:ascii="宋体" w:hAnsi="宋体"/>
                <w:color w:val="000000"/>
              </w:rPr>
            </w:pPr>
            <w:r>
              <w:rPr>
                <w:rFonts w:hint="eastAsia"/>
                <w:color w:val="000000"/>
              </w:rPr>
              <w:t>B</w:t>
            </w:r>
            <w:r>
              <w:rPr>
                <w:rFonts w:hint="eastAsia" w:ascii="宋体" w:hAnsi="宋体"/>
                <w:color w:val="000000"/>
              </w:rPr>
              <w:t>类</w:t>
            </w:r>
          </w:p>
        </w:tc>
      </w:tr>
      <w:tr w14:paraId="57AC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0A7156D5">
            <w:pPr>
              <w:spacing w:after="120"/>
              <w:jc w:val="center"/>
              <w:rPr>
                <w:color w:val="000000"/>
              </w:rPr>
            </w:pPr>
          </w:p>
        </w:tc>
        <w:tc>
          <w:tcPr>
            <w:tcW w:w="916" w:type="dxa"/>
            <w:vMerge w:val="continue"/>
            <w:tcBorders>
              <w:left w:val="single" w:color="auto" w:sz="4" w:space="0"/>
              <w:right w:val="single" w:color="auto" w:sz="4" w:space="0"/>
            </w:tcBorders>
            <w:vAlign w:val="center"/>
          </w:tcPr>
          <w:p w14:paraId="391CE326">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2443045E">
            <w:pPr>
              <w:tabs>
                <w:tab w:val="left" w:pos="3220"/>
              </w:tabs>
              <w:spacing w:line="300" w:lineRule="auto"/>
              <w:ind w:left="2" w:hanging="2" w:hangingChars="1"/>
              <w:jc w:val="center"/>
              <w:rPr>
                <w:rFonts w:ascii="宋体" w:hAnsi="宋体"/>
                <w:color w:val="000000"/>
              </w:rPr>
            </w:pPr>
            <w:r>
              <w:rPr>
                <w:rFonts w:hint="eastAsia" w:ascii="宋体" w:hAnsi="宋体"/>
                <w:color w:val="000000"/>
              </w:rPr>
              <w:t>铅套外径检查</w:t>
            </w:r>
          </w:p>
        </w:tc>
        <w:tc>
          <w:tcPr>
            <w:tcW w:w="1015" w:type="dxa"/>
            <w:tcBorders>
              <w:top w:val="single" w:color="auto" w:sz="4" w:space="0"/>
              <w:left w:val="single" w:color="auto" w:sz="4" w:space="0"/>
              <w:bottom w:val="single" w:color="auto" w:sz="4" w:space="0"/>
              <w:right w:val="single" w:color="auto" w:sz="4" w:space="0"/>
            </w:tcBorders>
            <w:vAlign w:val="center"/>
          </w:tcPr>
          <w:p w14:paraId="3A0B62A4">
            <w:pPr>
              <w:spacing w:after="156"/>
              <w:jc w:val="center"/>
              <w:rPr>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1D3F4E8">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1B67657D">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tcPr>
          <w:p w14:paraId="68AD33E4">
            <w:pPr>
              <w:jc w:val="center"/>
              <w:rPr>
                <w:rFonts w:ascii="宋体" w:hAnsi="宋体"/>
                <w:color w:val="000000"/>
              </w:rPr>
            </w:pPr>
            <w:r>
              <w:rPr>
                <w:color w:val="000000"/>
              </w:rPr>
              <w:t>B</w:t>
            </w:r>
            <w:r>
              <w:rPr>
                <w:rFonts w:hint="eastAsia" w:ascii="宋体" w:hAnsi="宋体"/>
                <w:color w:val="000000"/>
              </w:rPr>
              <w:t>类</w:t>
            </w:r>
          </w:p>
        </w:tc>
      </w:tr>
      <w:tr w14:paraId="5D16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right w:val="single" w:color="auto" w:sz="4" w:space="0"/>
            </w:tcBorders>
            <w:vAlign w:val="center"/>
          </w:tcPr>
          <w:p w14:paraId="131A9DEA">
            <w:pPr>
              <w:spacing w:after="120"/>
              <w:jc w:val="center"/>
              <w:rPr>
                <w:color w:val="000000"/>
              </w:rPr>
            </w:pPr>
          </w:p>
        </w:tc>
        <w:tc>
          <w:tcPr>
            <w:tcW w:w="916" w:type="dxa"/>
            <w:vMerge w:val="continue"/>
            <w:tcBorders>
              <w:left w:val="single" w:color="auto" w:sz="4" w:space="0"/>
              <w:bottom w:val="single" w:color="auto" w:sz="4" w:space="0"/>
              <w:right w:val="single" w:color="auto" w:sz="4" w:space="0"/>
            </w:tcBorders>
            <w:vAlign w:val="center"/>
          </w:tcPr>
          <w:p w14:paraId="7F28D92B">
            <w:pPr>
              <w:spacing w:after="156"/>
              <w:jc w:val="center"/>
              <w:rPr>
                <w:rFonts w:ascii="宋体" w:hAnsi="宋体"/>
                <w:color w:val="000000"/>
              </w:rPr>
            </w:pPr>
          </w:p>
        </w:tc>
        <w:tc>
          <w:tcPr>
            <w:tcW w:w="2504" w:type="dxa"/>
            <w:tcBorders>
              <w:top w:val="single" w:color="auto" w:sz="4" w:space="0"/>
              <w:left w:val="single" w:color="auto" w:sz="4" w:space="0"/>
              <w:bottom w:val="single" w:color="auto" w:sz="4" w:space="0"/>
              <w:right w:val="single" w:color="auto" w:sz="4" w:space="0"/>
            </w:tcBorders>
            <w:vAlign w:val="center"/>
          </w:tcPr>
          <w:p w14:paraId="5D204B8B">
            <w:pPr>
              <w:tabs>
                <w:tab w:val="left" w:pos="3220"/>
              </w:tabs>
              <w:spacing w:line="300" w:lineRule="auto"/>
              <w:ind w:left="2" w:hanging="2" w:hangingChars="1"/>
              <w:jc w:val="center"/>
              <w:rPr>
                <w:rFonts w:ascii="宋体" w:hAnsi="宋体"/>
                <w:color w:val="000000"/>
              </w:rPr>
            </w:pPr>
            <w:r>
              <w:rPr>
                <w:rFonts w:hint="eastAsia" w:ascii="宋体" w:hAnsi="宋体"/>
                <w:color w:val="000000"/>
              </w:rPr>
              <w:t>交联聚乙烯绝缘热延伸试验</w:t>
            </w:r>
          </w:p>
        </w:tc>
        <w:tc>
          <w:tcPr>
            <w:tcW w:w="1015" w:type="dxa"/>
            <w:tcBorders>
              <w:top w:val="single" w:color="auto" w:sz="4" w:space="0"/>
              <w:left w:val="single" w:color="auto" w:sz="4" w:space="0"/>
              <w:bottom w:val="single" w:color="auto" w:sz="4" w:space="0"/>
              <w:right w:val="single" w:color="auto" w:sz="4" w:space="0"/>
            </w:tcBorders>
            <w:vAlign w:val="center"/>
          </w:tcPr>
          <w:p w14:paraId="3AFEF654">
            <w:pPr>
              <w:spacing w:after="156"/>
              <w:jc w:val="center"/>
              <w:rPr>
                <w:rFonts w:ascii="宋体" w:hAnsi="宋体"/>
                <w:b/>
                <w:color w:val="000000"/>
                <w:kern w:val="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623CBE65">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F610647">
            <w:pPr>
              <w:spacing w:after="156"/>
              <w:jc w:val="center"/>
              <w:rPr>
                <w:b/>
                <w:color w:val="000000"/>
                <w:kern w:val="0"/>
              </w:rPr>
            </w:pPr>
          </w:p>
        </w:tc>
        <w:tc>
          <w:tcPr>
            <w:tcW w:w="1475" w:type="dxa"/>
            <w:tcBorders>
              <w:top w:val="single" w:color="auto" w:sz="4" w:space="0"/>
              <w:left w:val="single" w:color="auto" w:sz="4" w:space="0"/>
              <w:bottom w:val="single" w:color="auto" w:sz="4" w:space="0"/>
              <w:right w:val="single" w:color="auto" w:sz="4" w:space="0"/>
            </w:tcBorders>
            <w:vAlign w:val="center"/>
          </w:tcPr>
          <w:p w14:paraId="583AA69C">
            <w:pPr>
              <w:jc w:val="center"/>
              <w:rPr>
                <w:color w:val="000000"/>
              </w:rPr>
            </w:pPr>
            <w:r>
              <w:rPr>
                <w:rFonts w:hint="eastAsia"/>
                <w:color w:val="000000"/>
              </w:rPr>
              <w:t>B</w:t>
            </w:r>
            <w:r>
              <w:rPr>
                <w:rFonts w:hint="eastAsia" w:ascii="宋体" w:hAnsi="宋体"/>
                <w:color w:val="000000"/>
              </w:rPr>
              <w:t>类</w:t>
            </w:r>
          </w:p>
        </w:tc>
      </w:tr>
      <w:tr w14:paraId="532E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32" w:type="dxa"/>
            <w:vMerge w:val="continue"/>
            <w:tcBorders>
              <w:left w:val="single" w:color="auto" w:sz="4" w:space="0"/>
              <w:bottom w:val="single" w:color="auto" w:sz="4" w:space="0"/>
              <w:right w:val="single" w:color="auto" w:sz="4" w:space="0"/>
            </w:tcBorders>
            <w:vAlign w:val="center"/>
          </w:tcPr>
          <w:p w14:paraId="480C3265">
            <w:pPr>
              <w:spacing w:after="120"/>
              <w:jc w:val="center"/>
              <w:rPr>
                <w:color w:val="000000"/>
              </w:rPr>
            </w:pPr>
          </w:p>
        </w:tc>
        <w:tc>
          <w:tcPr>
            <w:tcW w:w="916" w:type="dxa"/>
            <w:tcBorders>
              <w:top w:val="single" w:color="auto" w:sz="4" w:space="0"/>
              <w:left w:val="single" w:color="auto" w:sz="4" w:space="0"/>
              <w:bottom w:val="single" w:color="auto" w:sz="4" w:space="0"/>
              <w:right w:val="single" w:color="auto" w:sz="4" w:space="0"/>
            </w:tcBorders>
            <w:vAlign w:val="center"/>
          </w:tcPr>
          <w:p w14:paraId="16F6282F">
            <w:pPr>
              <w:tabs>
                <w:tab w:val="left" w:pos="3220"/>
              </w:tabs>
              <w:spacing w:line="300" w:lineRule="auto"/>
              <w:jc w:val="center"/>
              <w:rPr>
                <w:rFonts w:ascii="宋体" w:hAnsi="宋体"/>
                <w:color w:val="000000"/>
              </w:rPr>
            </w:pPr>
            <w:r>
              <w:rPr>
                <w:rFonts w:hint="eastAsia" w:ascii="宋体" w:hAnsi="宋体"/>
                <w:color w:val="000000"/>
              </w:rPr>
              <w:t>密封金具和套管装置试验</w:t>
            </w:r>
          </w:p>
        </w:tc>
        <w:tc>
          <w:tcPr>
            <w:tcW w:w="2504" w:type="dxa"/>
            <w:tcBorders>
              <w:top w:val="single" w:color="auto" w:sz="4" w:space="0"/>
              <w:left w:val="single" w:color="auto" w:sz="4" w:space="0"/>
              <w:bottom w:val="single" w:color="auto" w:sz="4" w:space="0"/>
              <w:right w:val="single" w:color="auto" w:sz="4" w:space="0"/>
            </w:tcBorders>
            <w:vAlign w:val="center"/>
          </w:tcPr>
          <w:p w14:paraId="7C703E3B">
            <w:pPr>
              <w:tabs>
                <w:tab w:val="left" w:pos="3220"/>
              </w:tabs>
              <w:spacing w:line="300" w:lineRule="auto"/>
              <w:ind w:left="2" w:hanging="2" w:hangingChars="1"/>
              <w:jc w:val="center"/>
              <w:rPr>
                <w:rFonts w:ascii="宋体" w:hAnsi="宋体"/>
                <w:color w:val="000000"/>
              </w:rPr>
            </w:pPr>
            <w:r>
              <w:rPr>
                <w:rFonts w:hint="eastAsia" w:ascii="宋体" w:hAnsi="宋体"/>
                <w:color w:val="000000"/>
              </w:rPr>
              <w:t>密封金具和套管装置的密封试验（如有）</w:t>
            </w:r>
          </w:p>
        </w:tc>
        <w:tc>
          <w:tcPr>
            <w:tcW w:w="1015" w:type="dxa"/>
            <w:tcBorders>
              <w:top w:val="single" w:color="auto" w:sz="4" w:space="0"/>
              <w:left w:val="single" w:color="auto" w:sz="4" w:space="0"/>
              <w:bottom w:val="single" w:color="auto" w:sz="4" w:space="0"/>
              <w:right w:val="single" w:color="auto" w:sz="4" w:space="0"/>
            </w:tcBorders>
            <w:vAlign w:val="center"/>
          </w:tcPr>
          <w:p w14:paraId="79104F3F">
            <w:pPr>
              <w:spacing w:after="156"/>
              <w:jc w:val="center"/>
              <w:rPr>
                <w:color w:val="000000"/>
              </w:rPr>
            </w:pPr>
            <w:r>
              <w:rPr>
                <w:rFonts w:hint="eastAsia" w:ascii="宋体" w:hAnsi="宋体"/>
                <w:b/>
                <w:color w:val="000000"/>
                <w:kern w:val="0"/>
              </w:rPr>
              <w:t>√</w:t>
            </w:r>
          </w:p>
        </w:tc>
        <w:tc>
          <w:tcPr>
            <w:tcW w:w="993" w:type="dxa"/>
            <w:tcBorders>
              <w:top w:val="single" w:color="auto" w:sz="4" w:space="0"/>
              <w:left w:val="single" w:color="auto" w:sz="4" w:space="0"/>
              <w:bottom w:val="single" w:color="auto" w:sz="4" w:space="0"/>
              <w:right w:val="single" w:color="auto" w:sz="4" w:space="0"/>
            </w:tcBorders>
            <w:vAlign w:val="center"/>
          </w:tcPr>
          <w:p w14:paraId="01BD20CC">
            <w:pPr>
              <w:spacing w:after="156"/>
              <w:jc w:val="center"/>
              <w:rPr>
                <w:rFonts w:ascii="宋体" w:hAnsi="宋体"/>
                <w:b/>
                <w:color w:val="000000"/>
                <w:kern w:val="0"/>
              </w:rPr>
            </w:pPr>
          </w:p>
        </w:tc>
        <w:tc>
          <w:tcPr>
            <w:tcW w:w="993" w:type="dxa"/>
            <w:tcBorders>
              <w:top w:val="single" w:color="auto" w:sz="4" w:space="0"/>
              <w:left w:val="single" w:color="auto" w:sz="4" w:space="0"/>
              <w:bottom w:val="single" w:color="auto" w:sz="4" w:space="0"/>
              <w:right w:val="single" w:color="auto" w:sz="4" w:space="0"/>
            </w:tcBorders>
            <w:vAlign w:val="center"/>
          </w:tcPr>
          <w:p w14:paraId="4F9FDDCB">
            <w:pPr>
              <w:spacing w:after="156"/>
              <w:ind w:left="420"/>
              <w:jc w:val="center"/>
              <w:rPr>
                <w:color w:val="000000"/>
              </w:rPr>
            </w:pPr>
          </w:p>
        </w:tc>
        <w:tc>
          <w:tcPr>
            <w:tcW w:w="1475" w:type="dxa"/>
            <w:tcBorders>
              <w:top w:val="single" w:color="auto" w:sz="4" w:space="0"/>
              <w:left w:val="single" w:color="auto" w:sz="4" w:space="0"/>
              <w:bottom w:val="single" w:color="auto" w:sz="4" w:space="0"/>
              <w:right w:val="single" w:color="auto" w:sz="4" w:space="0"/>
            </w:tcBorders>
          </w:tcPr>
          <w:p w14:paraId="430C8A9E">
            <w:pPr>
              <w:jc w:val="center"/>
              <w:rPr>
                <w:rFonts w:ascii="宋体" w:hAnsi="宋体"/>
                <w:color w:val="000000"/>
              </w:rPr>
            </w:pPr>
            <w:r>
              <w:rPr>
                <w:rFonts w:hint="eastAsia"/>
                <w:color w:val="000000"/>
              </w:rPr>
              <w:t>C</w:t>
            </w:r>
            <w:r>
              <w:rPr>
                <w:rFonts w:hint="eastAsia" w:ascii="宋体" w:hAnsi="宋体"/>
                <w:color w:val="000000"/>
              </w:rPr>
              <w:t>类</w:t>
            </w:r>
          </w:p>
        </w:tc>
      </w:tr>
      <w:tr w14:paraId="5F2B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8528" w:type="dxa"/>
            <w:gridSpan w:val="7"/>
            <w:tcBorders>
              <w:top w:val="single" w:color="auto" w:sz="4" w:space="0"/>
              <w:left w:val="single" w:color="auto" w:sz="4" w:space="0"/>
              <w:bottom w:val="single" w:color="auto" w:sz="4" w:space="0"/>
              <w:right w:val="single" w:color="auto" w:sz="4" w:space="0"/>
            </w:tcBorders>
            <w:vAlign w:val="center"/>
          </w:tcPr>
          <w:p w14:paraId="3EBDCABD">
            <w:pPr>
              <w:rPr>
                <w:rFonts w:ascii="宋体" w:hAnsi="宋体"/>
                <w:color w:val="000000"/>
              </w:rPr>
            </w:pPr>
            <w:r>
              <w:rPr>
                <w:rFonts w:hint="eastAsia" w:ascii="宋体" w:hAnsi="宋体"/>
                <w:color w:val="000000"/>
              </w:rPr>
              <w:t>备注：</w:t>
            </w:r>
          </w:p>
          <w:p w14:paraId="12179638">
            <w:pPr>
              <w:rPr>
                <w:rFonts w:ascii="宋体" w:hAnsi="宋体"/>
                <w:color w:val="000000"/>
              </w:rPr>
            </w:pPr>
            <w:r>
              <w:rPr>
                <w:rFonts w:hint="eastAsia" w:ascii="宋体" w:hAnsi="宋体"/>
                <w:color w:val="000000"/>
              </w:rPr>
              <w:t>A类缺陷：影响设备基本功能，危及人身安全或会引起严重后果的设备质量异常现象。</w:t>
            </w:r>
          </w:p>
          <w:p w14:paraId="2DEAA8DA">
            <w:pPr>
              <w:rPr>
                <w:rFonts w:ascii="宋体" w:hAnsi="宋体"/>
                <w:color w:val="000000"/>
              </w:rPr>
            </w:pPr>
            <w:r>
              <w:rPr>
                <w:rFonts w:hint="eastAsia" w:ascii="宋体" w:hAnsi="宋体"/>
                <w:color w:val="000000"/>
              </w:rPr>
              <w:t>B类缺陷：严重安全隐患或长期运行会造成严重经济损失的设备质量异常现象。</w:t>
            </w:r>
          </w:p>
          <w:p w14:paraId="1E5C8A1D">
            <w:pPr>
              <w:rPr>
                <w:color w:val="000000"/>
              </w:rPr>
            </w:pPr>
            <w:r>
              <w:rPr>
                <w:rFonts w:hint="eastAsia" w:ascii="宋体" w:hAnsi="宋体"/>
                <w:color w:val="000000"/>
              </w:rPr>
              <w:t>C类缺陷：外观或轻微故障且处理方法相对简单的设备质量异常现象。</w:t>
            </w:r>
          </w:p>
        </w:tc>
      </w:tr>
    </w:tbl>
    <w:p w14:paraId="1A9BCC35">
      <w:pPr>
        <w:adjustRightInd w:val="0"/>
        <w:snapToGrid w:val="0"/>
        <w:spacing w:line="360" w:lineRule="auto"/>
        <w:jc w:val="center"/>
        <w:rPr>
          <w:szCs w:val="21"/>
        </w:rPr>
      </w:pPr>
    </w:p>
    <w:p w14:paraId="65F5CCDE">
      <w:pPr>
        <w:adjustRightInd w:val="0"/>
        <w:snapToGrid w:val="0"/>
        <w:spacing w:line="360" w:lineRule="auto"/>
        <w:ind w:firstLine="420" w:firstLineChars="200"/>
      </w:pPr>
      <w:r>
        <w:rPr>
          <w:rFonts w:hint="eastAsia"/>
        </w:rPr>
        <w:t>以上关键节点监造需实现数字化，应提供电子化过程数据，并附带对应视频记录信息。</w:t>
      </w:r>
    </w:p>
    <w:p w14:paraId="21C142A8">
      <w:pPr>
        <w:pStyle w:val="152"/>
        <w:adjustRightInd w:val="0"/>
        <w:snapToGrid w:val="0"/>
        <w:spacing w:line="360" w:lineRule="auto"/>
        <w:rPr>
          <w:szCs w:val="21"/>
        </w:rPr>
      </w:pPr>
      <w:r>
        <w:rPr>
          <w:szCs w:val="21"/>
        </w:rPr>
        <w:t>10.1.</w:t>
      </w:r>
      <w:r>
        <w:rPr>
          <w:rFonts w:hint="eastAsia"/>
          <w:szCs w:val="21"/>
        </w:rPr>
        <w:t>5</w:t>
      </w:r>
      <w:r>
        <w:rPr>
          <w:szCs w:val="21"/>
        </w:rPr>
        <w:t>其他</w:t>
      </w:r>
    </w:p>
    <w:p w14:paraId="0E26F0FD">
      <w:pPr>
        <w:pStyle w:val="152"/>
        <w:adjustRightInd w:val="0"/>
        <w:snapToGrid w:val="0"/>
        <w:spacing w:line="360" w:lineRule="auto"/>
        <w:rPr>
          <w:szCs w:val="21"/>
        </w:rPr>
      </w:pPr>
      <w:r>
        <w:rPr>
          <w:rFonts w:hint="eastAsia"/>
          <w:szCs w:val="21"/>
        </w:rPr>
        <w:t>1、</w:t>
      </w:r>
      <w:r>
        <w:rPr>
          <w:szCs w:val="21"/>
        </w:rPr>
        <w:t>向监造方提供办公的方便，确定固定的联络渠道和联系人员，负责与监造人员的联络和协调工作，负责对监造工作有关的承制方内部各部门的协调。</w:t>
      </w:r>
    </w:p>
    <w:p w14:paraId="06F7D81B">
      <w:pPr>
        <w:pStyle w:val="152"/>
        <w:adjustRightInd w:val="0"/>
        <w:snapToGrid w:val="0"/>
        <w:spacing w:line="360" w:lineRule="auto"/>
        <w:rPr>
          <w:szCs w:val="21"/>
        </w:rPr>
      </w:pPr>
      <w:r>
        <w:rPr>
          <w:rFonts w:hint="eastAsia"/>
          <w:szCs w:val="21"/>
        </w:rPr>
        <w:t>2、</w:t>
      </w:r>
      <w:r>
        <w:rPr>
          <w:szCs w:val="21"/>
        </w:rPr>
        <w:t>投标方向监造方提供监造产品所涉及的生产计划和技术文件，监造可拍摄合同设备有关照片。</w:t>
      </w:r>
    </w:p>
    <w:p w14:paraId="6D2A2E24">
      <w:pPr>
        <w:pStyle w:val="152"/>
        <w:adjustRightInd w:val="0"/>
        <w:snapToGrid w:val="0"/>
        <w:spacing w:line="360" w:lineRule="auto"/>
        <w:rPr>
          <w:szCs w:val="21"/>
        </w:rPr>
      </w:pPr>
      <w:r>
        <w:rPr>
          <w:rFonts w:hint="eastAsia"/>
          <w:szCs w:val="21"/>
        </w:rPr>
        <w:t>3、</w:t>
      </w:r>
      <w:r>
        <w:rPr>
          <w:szCs w:val="21"/>
        </w:rPr>
        <w:t>监造方可以查阅与监造产品相关的技术文件、检验及试验记录。</w:t>
      </w:r>
    </w:p>
    <w:p w14:paraId="06390CF9">
      <w:pPr>
        <w:pStyle w:val="152"/>
        <w:adjustRightInd w:val="0"/>
        <w:snapToGrid w:val="0"/>
        <w:spacing w:line="360" w:lineRule="auto"/>
        <w:rPr>
          <w:szCs w:val="21"/>
        </w:rPr>
      </w:pPr>
      <w:r>
        <w:rPr>
          <w:rFonts w:hint="eastAsia"/>
          <w:szCs w:val="21"/>
        </w:rPr>
        <w:t>4、</w:t>
      </w:r>
      <w:r>
        <w:rPr>
          <w:szCs w:val="21"/>
        </w:rPr>
        <w:t>监造方可以进入与监造产品有关的生产现场进行检查。</w:t>
      </w:r>
    </w:p>
    <w:p w14:paraId="55B36387">
      <w:pPr>
        <w:pStyle w:val="152"/>
        <w:adjustRightInd w:val="0"/>
        <w:snapToGrid w:val="0"/>
        <w:spacing w:line="360" w:lineRule="auto"/>
        <w:rPr>
          <w:szCs w:val="21"/>
        </w:rPr>
      </w:pPr>
      <w:r>
        <w:rPr>
          <w:rFonts w:hint="eastAsia"/>
          <w:szCs w:val="21"/>
        </w:rPr>
        <w:t>5、</w:t>
      </w:r>
      <w:r>
        <w:rPr>
          <w:szCs w:val="21"/>
        </w:rPr>
        <w:t>投标方应配合监造方完成关键部件以及重要过程的见证、检验和审核，应提前3天通知监造方。</w:t>
      </w:r>
    </w:p>
    <w:p w14:paraId="5DFE1F49">
      <w:pPr>
        <w:pStyle w:val="152"/>
        <w:adjustRightInd w:val="0"/>
        <w:snapToGrid w:val="0"/>
        <w:spacing w:line="360" w:lineRule="auto"/>
        <w:rPr>
          <w:szCs w:val="21"/>
        </w:rPr>
      </w:pPr>
      <w:r>
        <w:rPr>
          <w:rFonts w:hint="eastAsia"/>
          <w:szCs w:val="21"/>
        </w:rPr>
        <w:t>6、</w:t>
      </w:r>
      <w:r>
        <w:rPr>
          <w:szCs w:val="21"/>
        </w:rPr>
        <w:t>在设计冻结后，不允许投标方私自对产品变更，投标方的任何变更需先提交给招标方和监造方审查，监造方审查后报招标方审查。</w:t>
      </w:r>
    </w:p>
    <w:p w14:paraId="79032D46">
      <w:pPr>
        <w:pStyle w:val="152"/>
        <w:adjustRightInd w:val="0"/>
        <w:snapToGrid w:val="0"/>
        <w:spacing w:line="360" w:lineRule="auto"/>
        <w:rPr>
          <w:rFonts w:ascii="宋体" w:hAnsi="宋体"/>
          <w:szCs w:val="21"/>
        </w:rPr>
      </w:pPr>
      <w:r>
        <w:rPr>
          <w:rFonts w:hint="eastAsia"/>
          <w:szCs w:val="21"/>
        </w:rPr>
        <w:t>7、</w:t>
      </w:r>
      <w:r>
        <w:rPr>
          <w:rFonts w:ascii="宋体" w:hAnsi="宋体"/>
          <w:szCs w:val="21"/>
        </w:rPr>
        <w:t>在试验数据出现异常，或试验数据虽在标准范围内但</w:t>
      </w:r>
      <w:r>
        <w:rPr>
          <w:rFonts w:hint="eastAsia" w:ascii="宋体" w:hAnsi="宋体"/>
          <w:szCs w:val="21"/>
        </w:rPr>
        <w:t>招标方</w:t>
      </w:r>
      <w:r>
        <w:rPr>
          <w:rFonts w:ascii="宋体" w:hAnsi="宋体"/>
          <w:szCs w:val="21"/>
        </w:rPr>
        <w:t>对设备质量提出异议时，</w:t>
      </w:r>
      <w:r>
        <w:rPr>
          <w:rFonts w:hint="eastAsia" w:ascii="宋体" w:hAnsi="宋体"/>
          <w:szCs w:val="21"/>
        </w:rPr>
        <w:t>招标方</w:t>
      </w:r>
      <w:r>
        <w:rPr>
          <w:rFonts w:ascii="宋体" w:hAnsi="宋体"/>
          <w:szCs w:val="21"/>
        </w:rPr>
        <w:t>可以提出新的用于设备质量验证的特殊试验，并要求招标方提供设备设计理论、设计算法、制造工艺等技术文件用于问题原因调查。投标方应配合监造方完成特殊试验的见证、检验和审核。</w:t>
      </w:r>
    </w:p>
    <w:p w14:paraId="09ECDD01">
      <w:pPr>
        <w:pStyle w:val="152"/>
        <w:adjustRightInd w:val="0"/>
        <w:snapToGrid w:val="0"/>
        <w:spacing w:line="360" w:lineRule="auto"/>
        <w:rPr>
          <w:szCs w:val="21"/>
        </w:rPr>
      </w:pPr>
      <w:r>
        <w:rPr>
          <w:rFonts w:ascii="宋体" w:hAnsi="宋体"/>
          <w:szCs w:val="21"/>
        </w:rPr>
        <w:t>8</w:t>
      </w:r>
      <w:r>
        <w:rPr>
          <w:rFonts w:hint="eastAsia" w:ascii="宋体" w:hAnsi="宋体"/>
          <w:szCs w:val="21"/>
        </w:rPr>
        <w:t>、监造过程中，投标方应配备有工厂内及工厂至码头运输过程中的应力监测设备，实时反馈海缆应力情况，供监造单位与招标方进行审查。</w:t>
      </w:r>
    </w:p>
    <w:p w14:paraId="5EE72B87">
      <w:pPr>
        <w:pStyle w:val="286"/>
      </w:pPr>
      <w:bookmarkStart w:id="239" w:name="_Toc226123964"/>
      <w:bookmarkStart w:id="240" w:name="_Toc232443378"/>
      <w:r>
        <w:rPr>
          <w:rFonts w:hint="eastAsia"/>
        </w:rPr>
        <w:t>10</w:t>
      </w:r>
      <w:r>
        <w:t xml:space="preserve">.2 </w:t>
      </w:r>
      <w:r>
        <w:rPr>
          <w:rFonts w:hint="eastAsia"/>
        </w:rPr>
        <w:t>包装</w:t>
      </w:r>
      <w:bookmarkEnd w:id="235"/>
      <w:bookmarkEnd w:id="236"/>
      <w:bookmarkEnd w:id="237"/>
      <w:bookmarkEnd w:id="238"/>
      <w:bookmarkEnd w:id="239"/>
      <w:bookmarkEnd w:id="240"/>
    </w:p>
    <w:p w14:paraId="657DD4C6">
      <w:pPr>
        <w:adjustRightInd w:val="0"/>
        <w:snapToGrid w:val="0"/>
        <w:spacing w:line="360" w:lineRule="auto"/>
        <w:ind w:firstLine="420" w:firstLineChars="200"/>
      </w:pPr>
      <w:r>
        <w:rPr>
          <w:rFonts w:hint="eastAsia"/>
        </w:rPr>
        <w:t>1、除非本合同另有规定，提供的海底光电复合电缆及附件须采用相应标准的保护措施进行包装。这种包装应适用于海运及陆运，并有良好的防潮、防震、防锈和防野蛮装卸等保护措施，以确保海底光电复合电缆及附件安全运抵现场。投标方应承担由于其包装或其防护措施不妥而引起海底光电复合电缆及附件锈蚀、损坏和丢失的任何损失的责任或费用。</w:t>
      </w:r>
    </w:p>
    <w:p w14:paraId="27589E00">
      <w:pPr>
        <w:adjustRightInd w:val="0"/>
        <w:snapToGrid w:val="0"/>
        <w:spacing w:line="360" w:lineRule="auto"/>
        <w:ind w:firstLine="420" w:firstLineChars="200"/>
      </w:pPr>
      <w:r>
        <w:rPr>
          <w:rFonts w:hint="eastAsia"/>
        </w:rPr>
        <w:t>2、成品海底光电复合电缆应有的电缆型号、规格、制造商、制造年月和长度标志。标志应字迹清楚，容易辨认，耐磨。</w:t>
      </w:r>
    </w:p>
    <w:p w14:paraId="0DB23953">
      <w:pPr>
        <w:adjustRightInd w:val="0"/>
        <w:snapToGrid w:val="0"/>
        <w:spacing w:line="360" w:lineRule="auto"/>
        <w:ind w:firstLine="420" w:firstLineChars="200"/>
      </w:pPr>
      <w:r>
        <w:rPr>
          <w:rFonts w:hint="eastAsia"/>
        </w:rPr>
        <w:t>3、海底光电复合电缆的附件外包装要求是坚固的，能经多次起吊搬运的，均有防水包装的制造厂的产品质量合格证。</w:t>
      </w:r>
    </w:p>
    <w:p w14:paraId="094DD808">
      <w:pPr>
        <w:adjustRightInd w:val="0"/>
        <w:snapToGrid w:val="0"/>
        <w:spacing w:line="360" w:lineRule="auto"/>
        <w:ind w:firstLine="420" w:firstLineChars="200"/>
      </w:pPr>
      <w:r>
        <w:rPr>
          <w:rFonts w:hint="eastAsia"/>
        </w:rPr>
        <w:t>4、装运的海底光电复合电缆及附件必须符合合同规定的设备名称、型号、规格、要求交货的数量，否则一切后果均由投标方承担。</w:t>
      </w:r>
    </w:p>
    <w:p w14:paraId="0A656B33">
      <w:pPr>
        <w:pStyle w:val="286"/>
      </w:pPr>
      <w:bookmarkStart w:id="241" w:name="_Toc232443379"/>
      <w:bookmarkStart w:id="242" w:name="_Toc226123965"/>
      <w:r>
        <w:rPr>
          <w:rFonts w:hint="eastAsia"/>
        </w:rPr>
        <w:t>10.3 运输</w:t>
      </w:r>
      <w:bookmarkEnd w:id="241"/>
      <w:bookmarkEnd w:id="242"/>
    </w:p>
    <w:p w14:paraId="6FCE3128">
      <w:pPr>
        <w:adjustRightInd w:val="0"/>
        <w:snapToGrid w:val="0"/>
        <w:spacing w:line="360" w:lineRule="auto"/>
        <w:ind w:firstLine="420" w:firstLineChars="200"/>
      </w:pPr>
      <w:r>
        <w:rPr>
          <w:rFonts w:hint="eastAsia"/>
        </w:rPr>
        <w:t>投标方应配合招标方委托的施工单位完成海缆的运输工作，并将海缆附件依据3</w:t>
      </w:r>
      <w:r>
        <w:t>.3</w:t>
      </w:r>
      <w:r>
        <w:rPr>
          <w:rFonts w:hint="eastAsia"/>
        </w:rPr>
        <w:t>章节要求运送至指定交货地点。要求海缆运输过程应满足GB/T 41629.2中要求，并核验海缆施工单位运输船只情况且监测运输过程中海缆情况，发现问题及时与招标方反馈。</w:t>
      </w:r>
    </w:p>
    <w:p w14:paraId="5440BD1F">
      <w:pPr>
        <w:pStyle w:val="288"/>
        <w:ind w:firstLine="422"/>
        <w:rPr>
          <w:b/>
        </w:rPr>
      </w:pPr>
      <w:r>
        <w:rPr>
          <w:rFonts w:hint="eastAsia"/>
          <w:b/>
          <w:szCs w:val="24"/>
        </w:rPr>
        <w:t>投标方应提供海缆耐堆放能力指标，包括可堆放高度、可堆放时间等，用于指导海缆的装船存储等工作。</w:t>
      </w:r>
    </w:p>
    <w:p w14:paraId="52A43630">
      <w:pPr>
        <w:pStyle w:val="286"/>
      </w:pPr>
      <w:bookmarkStart w:id="243" w:name="_Toc226123966"/>
      <w:bookmarkStart w:id="244" w:name="_Toc232443380"/>
      <w:r>
        <w:rPr>
          <w:rFonts w:hint="eastAsia"/>
        </w:rPr>
        <w:t>10.4</w:t>
      </w:r>
      <w:r>
        <w:t xml:space="preserve"> </w:t>
      </w:r>
      <w:r>
        <w:rPr>
          <w:rFonts w:hint="eastAsia"/>
        </w:rPr>
        <w:t>现场技术服务</w:t>
      </w:r>
      <w:bookmarkEnd w:id="243"/>
      <w:bookmarkEnd w:id="244"/>
    </w:p>
    <w:p w14:paraId="00BFA6CF">
      <w:pPr>
        <w:adjustRightInd w:val="0"/>
        <w:snapToGrid w:val="0"/>
        <w:spacing w:line="360" w:lineRule="auto"/>
        <w:ind w:firstLine="420" w:firstLineChars="200"/>
      </w:pPr>
      <w:r>
        <w:rPr>
          <w:rFonts w:hint="eastAsia"/>
        </w:rPr>
        <w:t>1、投标方应指定至少一个技术团队，由具备海缆项目经验的人员为负责人，配合招标方及海缆施工承包商之间的工作，参与海缆敷设及保护等方案的评审与海缆施工现场指导及过程见证。投标方应指派合格的有经验的安装监督人员和试验工程师，对海缆及其附件等的安装、调试和现场试验等进行技术指导。除非安装承包商的工作未按照投标方指导人员的意见执行，并且投标方指导人员立即以书面形式将此情况通知了招标方，投标方指导人员应对所有安装工作的正确性负责。投标方派出的技术团队人员安全责任由投标方负责，投标方应为其购买相关保险。</w:t>
      </w:r>
    </w:p>
    <w:p w14:paraId="536EFEBB">
      <w:pPr>
        <w:adjustRightInd w:val="0"/>
        <w:snapToGrid w:val="0"/>
        <w:spacing w:line="360" w:lineRule="auto"/>
        <w:ind w:firstLine="420" w:firstLineChars="200"/>
      </w:pPr>
      <w:r>
        <w:rPr>
          <w:rFonts w:hint="eastAsia"/>
        </w:rPr>
        <w:t>2、投标方应配合海缆施工方，全程开展海缆敷设过程的施工监测工作。包括但不限于：提供海缆应力监测设备，协助施工方合理设定张力、弯曲应变等关键参数的报警阈值等；在施工过程中，一旦监测数据触发异常值，投标方须及时向招标方报告。</w:t>
      </w:r>
    </w:p>
    <w:p w14:paraId="642F3A3A">
      <w:pPr>
        <w:adjustRightInd w:val="0"/>
        <w:snapToGrid w:val="0"/>
        <w:spacing w:line="360" w:lineRule="auto"/>
        <w:ind w:firstLine="420" w:firstLineChars="200"/>
      </w:pPr>
      <w:r>
        <w:t>3</w:t>
      </w:r>
      <w:r>
        <w:rPr>
          <w:rFonts w:hint="eastAsia"/>
        </w:rPr>
        <w:t>、海缆施工工期内，买卖双方共同确认一份详尽的安装工序和时间表，作为投标方指导安装的依据，并列出安装承包商应提供的人员和工具的类型及数量。</w:t>
      </w:r>
    </w:p>
    <w:p w14:paraId="02D9B6C3">
      <w:pPr>
        <w:adjustRightInd w:val="0"/>
        <w:snapToGrid w:val="0"/>
        <w:spacing w:line="360" w:lineRule="auto"/>
        <w:ind w:firstLine="420" w:firstLineChars="200"/>
      </w:pPr>
      <w:r>
        <w:t>4</w:t>
      </w:r>
      <w:r>
        <w:rPr>
          <w:rFonts w:hint="eastAsia"/>
        </w:rPr>
        <w:t>、投标方与招标方应该根据工地施工的实际工作进展，通过协商决定投标方技术人员的专业、人员数量、服务持续时间以及到达和离开工地的日期。</w:t>
      </w:r>
    </w:p>
    <w:p w14:paraId="75451BB2">
      <w:pPr>
        <w:pStyle w:val="286"/>
      </w:pPr>
      <w:bookmarkStart w:id="245" w:name="_Toc232443381"/>
      <w:bookmarkStart w:id="246" w:name="_Toc22302731"/>
      <w:bookmarkStart w:id="247" w:name="_Toc387613598"/>
      <w:bookmarkStart w:id="248" w:name="_Toc288118330"/>
      <w:bookmarkStart w:id="249" w:name="_Toc385582828"/>
      <w:bookmarkStart w:id="250" w:name="_Toc226123967"/>
      <w:r>
        <w:rPr>
          <w:rFonts w:hint="eastAsia"/>
        </w:rPr>
        <w:t>10.</w:t>
      </w:r>
      <w:r>
        <w:t>5</w:t>
      </w:r>
      <w:r>
        <w:rPr>
          <w:rFonts w:hint="eastAsia"/>
        </w:rPr>
        <w:t xml:space="preserve"> 全生命周期质量保证</w:t>
      </w:r>
      <w:bookmarkEnd w:id="245"/>
      <w:bookmarkEnd w:id="246"/>
      <w:bookmarkEnd w:id="247"/>
      <w:bookmarkEnd w:id="248"/>
      <w:bookmarkEnd w:id="249"/>
      <w:bookmarkEnd w:id="250"/>
    </w:p>
    <w:p w14:paraId="77447918">
      <w:pPr>
        <w:adjustRightInd w:val="0"/>
        <w:snapToGrid w:val="0"/>
        <w:spacing w:line="360" w:lineRule="auto"/>
      </w:pPr>
      <w:r>
        <w:rPr>
          <w:rFonts w:hint="eastAsia"/>
        </w:rPr>
        <w:t>1</w:t>
      </w:r>
      <w:r>
        <w:t xml:space="preserve">0.5.1 </w:t>
      </w:r>
      <w:r>
        <w:rPr>
          <w:rFonts w:hint="eastAsia"/>
        </w:rPr>
        <w:t>招标方审批（权）</w:t>
      </w:r>
    </w:p>
    <w:p w14:paraId="18E68130">
      <w:pPr>
        <w:adjustRightInd w:val="0"/>
        <w:snapToGrid w:val="0"/>
        <w:spacing w:line="360" w:lineRule="auto"/>
        <w:ind w:firstLine="420" w:firstLineChars="200"/>
        <w:rPr>
          <w:szCs w:val="21"/>
        </w:rPr>
      </w:pPr>
      <w:r>
        <w:rPr>
          <w:rFonts w:ascii="宋体" w:hAnsi="宋体"/>
        </w:rPr>
        <w:t>招标方对投标方的质量保证体系任何方面的认可，不能作为投标方不承担自己工作质量责任的理由。</w:t>
      </w:r>
    </w:p>
    <w:p w14:paraId="5DF6BE77">
      <w:pPr>
        <w:adjustRightInd w:val="0"/>
        <w:snapToGrid w:val="0"/>
        <w:spacing w:line="360" w:lineRule="auto"/>
        <w:ind w:firstLine="420" w:firstLineChars="200"/>
        <w:rPr>
          <w:rFonts w:ascii="宋体" w:hAnsi="宋体"/>
        </w:rPr>
      </w:pPr>
      <w:r>
        <w:rPr>
          <w:rFonts w:ascii="宋体" w:hAnsi="宋体"/>
        </w:rPr>
        <w:t>在随后的制造、安装、试验或调试阶段或保证期中，如果发现招标方的任何认可不满足合同的要求，招标方仍有权给予否定，从而使招标方的整个工作或部分工作不受到损害。</w:t>
      </w:r>
    </w:p>
    <w:p w14:paraId="5DF5C5A1">
      <w:pPr>
        <w:adjustRightInd w:val="0"/>
        <w:snapToGrid w:val="0"/>
        <w:spacing w:line="360" w:lineRule="auto"/>
      </w:pPr>
      <w:r>
        <w:t>10.5.2</w:t>
      </w:r>
      <w:r>
        <w:rPr>
          <w:rFonts w:hint="eastAsia"/>
        </w:rPr>
        <w:t>质量保证及管理</w:t>
      </w:r>
    </w:p>
    <w:p w14:paraId="38AB88A1">
      <w:pPr>
        <w:adjustRightInd w:val="0"/>
        <w:snapToGrid w:val="0"/>
        <w:spacing w:line="360" w:lineRule="auto"/>
        <w:ind w:firstLine="420" w:firstLineChars="200"/>
      </w:pPr>
      <w:r>
        <w:rPr>
          <w:rFonts w:hint="eastAsia"/>
        </w:rPr>
        <w:t>1、全部设备必须是全新的，持久耐用的，应满足作为一个完整产品所能满足的全部要求。投标方应保证全部设备经过正确安装、正常操作和保养，在其寿命期内运行良好，投标方承诺所有设备的设计寿命（即全生命周期）不少于 40年。全部设备的质量保证期为从全部设备通过验收并投运开始至设备全生命周期结束时结束。投标方在海缆全生命周期内，负责对所提供海缆进行维修。</w:t>
      </w:r>
    </w:p>
    <w:p w14:paraId="27A56BD8">
      <w:pPr>
        <w:adjustRightInd w:val="0"/>
        <w:snapToGrid w:val="0"/>
        <w:spacing w:line="360" w:lineRule="auto"/>
        <w:ind w:firstLine="420" w:firstLineChars="200"/>
      </w:pPr>
      <w:r>
        <w:rPr>
          <w:rFonts w:hint="eastAsia"/>
        </w:rPr>
        <w:t>2、电缆系统设计使用寿命内，</w:t>
      </w:r>
      <w:r>
        <w:t>对于</w:t>
      </w:r>
      <w:r>
        <w:rPr>
          <w:rFonts w:hint="eastAsia"/>
        </w:rPr>
        <w:t>投标方</w:t>
      </w:r>
      <w:r>
        <w:t>原因（包括但不限于合同设备设计缺陷、质量问题、安装指导错误及卖方开展的维保工作不当等）引起的合同设备缺陷、故障或隐患。</w:t>
      </w:r>
      <w:r>
        <w:rPr>
          <w:rFonts w:hint="eastAsia"/>
        </w:rPr>
        <w:t>投标方负责免费维修，由此产生的所有损失</w:t>
      </w:r>
      <w:r>
        <w:t>(</w:t>
      </w:r>
      <w:r>
        <w:rPr>
          <w:rFonts w:hint="eastAsia"/>
        </w:rPr>
        <w:t>包括但不限于由设备质量原因引起的相关检测、实验、专家咨询、运输、安装等费用</w:t>
      </w:r>
      <w:r>
        <w:t>)</w:t>
      </w:r>
      <w:r>
        <w:rPr>
          <w:rFonts w:hint="eastAsia"/>
        </w:rPr>
        <w:t>由投标方承担。同时对于其他缺陷或故障</w:t>
      </w:r>
      <w:r>
        <w:t>(</w:t>
      </w:r>
      <w:r>
        <w:rPr>
          <w:rFonts w:hint="eastAsia"/>
        </w:rPr>
        <w:t>含设计使用寿命外</w:t>
      </w:r>
      <w:r>
        <w:t>)</w:t>
      </w:r>
      <w:r>
        <w:rPr>
          <w:rFonts w:hint="eastAsia"/>
        </w:rPr>
        <w:t>，投标方应按照招标方要求给予必要的技术支持服务</w:t>
      </w:r>
      <w:r>
        <w:t>,</w:t>
      </w:r>
      <w:r>
        <w:rPr>
          <w:rFonts w:hint="eastAsia"/>
        </w:rPr>
        <w:t>包括但不限于缺陷、故障应急抢修服务等。</w:t>
      </w:r>
    </w:p>
    <w:p w14:paraId="102711C4">
      <w:pPr>
        <w:adjustRightInd w:val="0"/>
        <w:snapToGrid w:val="0"/>
        <w:spacing w:line="360" w:lineRule="auto"/>
        <w:ind w:firstLine="420" w:firstLineChars="200"/>
      </w:pPr>
      <w:r>
        <w:rPr>
          <w:rFonts w:hint="eastAsia"/>
        </w:rPr>
        <w:t>3、订购的新型产品除应满足本规范书外，投标方还应提供该产品的新产品鉴定证书。</w:t>
      </w:r>
    </w:p>
    <w:p w14:paraId="45E14CF1">
      <w:pPr>
        <w:adjustRightInd w:val="0"/>
        <w:snapToGrid w:val="0"/>
        <w:spacing w:line="360" w:lineRule="auto"/>
        <w:ind w:firstLine="420" w:firstLineChars="200"/>
      </w:pPr>
      <w:r>
        <w:rPr>
          <w:rFonts w:hint="eastAsia"/>
        </w:rPr>
        <w:t>4、投标方应保证制造过程中的所有工艺、材料试验等均应符合本规范书的规定。对外购件和消耗性材料，投标方应提供相关技术参数与试验报告。</w:t>
      </w:r>
    </w:p>
    <w:p w14:paraId="6F5190FD">
      <w:pPr>
        <w:adjustRightInd w:val="0"/>
        <w:snapToGrid w:val="0"/>
        <w:spacing w:line="360" w:lineRule="auto"/>
        <w:ind w:firstLine="420" w:firstLineChars="200"/>
      </w:pPr>
      <w:r>
        <w:rPr>
          <w:rFonts w:hint="eastAsia"/>
        </w:rPr>
        <w:t>5、附属及配套设备必须满足有关行业标准的要求，并提供试验报告和产品合格证。</w:t>
      </w:r>
    </w:p>
    <w:p w14:paraId="27343924">
      <w:pPr>
        <w:adjustRightInd w:val="0"/>
        <w:snapToGrid w:val="0"/>
        <w:spacing w:line="360" w:lineRule="auto"/>
        <w:ind w:firstLine="420" w:firstLineChars="200"/>
      </w:pPr>
      <w:r>
        <w:rPr>
          <w:rFonts w:hint="eastAsia"/>
        </w:rPr>
        <w:t>6、投标方应有遵守本规范书中各条款和工作项目的</w:t>
      </w:r>
      <w:r>
        <w:t>ISO900</w:t>
      </w:r>
      <w:r>
        <w:rPr>
          <w:rFonts w:hint="eastAsia"/>
        </w:rPr>
        <w:t>0-</w:t>
      </w:r>
      <w:r>
        <w:t>GB/T1900</w:t>
      </w:r>
      <w:r>
        <w:rPr>
          <w:rFonts w:hint="eastAsia"/>
        </w:rPr>
        <w:t>0质量保证体系，该质量保证体系已经通过国家认证并在正常运转。</w:t>
      </w:r>
    </w:p>
    <w:p w14:paraId="1980DE0A">
      <w:pPr>
        <w:adjustRightInd w:val="0"/>
        <w:snapToGrid w:val="0"/>
        <w:spacing w:line="360" w:lineRule="auto"/>
        <w:ind w:firstLine="420" w:firstLineChars="200"/>
      </w:pPr>
      <w:r>
        <w:rPr>
          <w:rFonts w:hint="eastAsia"/>
        </w:rPr>
        <w:t>7、招标方有权要求投标方进行附件产品安装图纸及施工工艺审查，必要时进行附件产品试组装。</w:t>
      </w:r>
    </w:p>
    <w:p w14:paraId="7FD2F5CD">
      <w:pPr>
        <w:adjustRightInd w:val="0"/>
        <w:snapToGrid w:val="0"/>
        <w:spacing w:line="360" w:lineRule="auto"/>
        <w:ind w:firstLine="420" w:firstLineChars="200"/>
      </w:pPr>
      <w:r>
        <w:t>8</w:t>
      </w:r>
      <w:r>
        <w:rPr>
          <w:rFonts w:hint="eastAsia"/>
        </w:rPr>
        <w:t>、投标方应指定双方联络人(部门)，应急情况下便于双方联络。当指定联络人因故无法继续承担联络工作时，应更换联络人。更换后24小时内书面通知招标方新的联络人的联系方式等信息。</w:t>
      </w:r>
    </w:p>
    <w:p w14:paraId="5B2CC750">
      <w:pPr>
        <w:adjustRightInd w:val="0"/>
        <w:snapToGrid w:val="0"/>
        <w:spacing w:line="360" w:lineRule="auto"/>
        <w:ind w:firstLine="420" w:firstLineChars="200"/>
      </w:pPr>
      <w:r>
        <w:rPr>
          <w:rFonts w:hint="eastAsia"/>
        </w:rPr>
        <w:t>9、</w:t>
      </w:r>
      <w:r>
        <w:t>投标方应采用有运行经验证明正确的、成熟的技术；若采用投标方过去未采用过的新技术，应征得招标方的同意。</w:t>
      </w:r>
    </w:p>
    <w:p w14:paraId="5FE71C0E">
      <w:pPr>
        <w:adjustRightInd w:val="0"/>
        <w:snapToGrid w:val="0"/>
        <w:spacing w:line="360" w:lineRule="auto"/>
        <w:ind w:firstLine="420" w:firstLineChars="200"/>
      </w:pPr>
      <w:r>
        <w:t>10</w:t>
      </w:r>
      <w:r>
        <w:rPr>
          <w:rFonts w:hint="eastAsia"/>
        </w:rPr>
        <w:t>、</w:t>
      </w:r>
      <w:r>
        <w:t>投标方从其它厂采购的设备及原材料等，一切质量问题应由投标方负责。</w:t>
      </w:r>
    </w:p>
    <w:p w14:paraId="402C36AD">
      <w:pPr>
        <w:adjustRightInd w:val="0"/>
        <w:snapToGrid w:val="0"/>
        <w:spacing w:line="360" w:lineRule="auto"/>
        <w:ind w:firstLine="420" w:firstLineChars="200"/>
      </w:pPr>
      <w:r>
        <w:t>11</w:t>
      </w:r>
      <w:r>
        <w:rPr>
          <w:rFonts w:hint="eastAsia"/>
        </w:rPr>
        <w:t>、</w:t>
      </w:r>
      <w:r>
        <w:t>投标方应对合同设备的设计、材料选择、加工、制造和试验等建立质量保证体系，并在合同设备的整个制造过程中严格按其执行。</w:t>
      </w:r>
    </w:p>
    <w:p w14:paraId="7B3A72C5">
      <w:pPr>
        <w:adjustRightInd w:val="0"/>
        <w:snapToGrid w:val="0"/>
        <w:spacing w:line="360" w:lineRule="auto"/>
        <w:ind w:firstLine="420" w:firstLineChars="200"/>
      </w:pPr>
      <w:r>
        <w:t>12</w:t>
      </w:r>
      <w:r>
        <w:rPr>
          <w:rFonts w:hint="eastAsia"/>
        </w:rPr>
        <w:t>、</w:t>
      </w:r>
      <w:r>
        <w:t>若投标方中标后相关产品出现质量问题或设计变更，需及时书面通知招标方。</w:t>
      </w:r>
    </w:p>
    <w:p w14:paraId="0C51ED4D">
      <w:pPr>
        <w:adjustRightInd w:val="0"/>
        <w:snapToGrid w:val="0"/>
        <w:spacing w:line="360" w:lineRule="auto"/>
        <w:ind w:firstLine="420" w:firstLineChars="200"/>
      </w:pPr>
      <w:r>
        <w:t>13</w:t>
      </w:r>
      <w:r>
        <w:rPr>
          <w:rFonts w:hint="eastAsia"/>
        </w:rPr>
        <w:t>、</w:t>
      </w:r>
      <w:r>
        <w:t>设备投运前，投标方应为本项目中所供设备配备稳定的、足够的、合格的现场服务人员，对设备安装、调试提供技术支持，以确保设备安装、调试进度满足项目施工进度和质量要求，无特殊情况下不允许随意更换。若招标方认为投标方配备的现场服务人员不能满足要求，有权要求投标方更换，投标方应在收到招标方更换人员通知的3天内更换完毕。</w:t>
      </w:r>
    </w:p>
    <w:p w14:paraId="3E094EA8">
      <w:pPr>
        <w:adjustRightInd w:val="0"/>
        <w:snapToGrid w:val="0"/>
        <w:spacing w:line="360" w:lineRule="auto"/>
        <w:ind w:firstLine="420" w:firstLineChars="200"/>
      </w:pPr>
      <w:r>
        <w:t>14</w:t>
      </w:r>
      <w:r>
        <w:rPr>
          <w:rFonts w:hint="eastAsia"/>
        </w:rPr>
        <w:t>、</w:t>
      </w:r>
      <w:r>
        <w:t>投标方应提供工程投运后驻场不少于6个月的技术支持服务。</w:t>
      </w:r>
    </w:p>
    <w:p w14:paraId="061B58E7">
      <w:pPr>
        <w:adjustRightInd w:val="0"/>
        <w:snapToGrid w:val="0"/>
        <w:spacing w:line="360" w:lineRule="auto"/>
        <w:ind w:firstLine="420" w:firstLineChars="200"/>
      </w:pPr>
      <w:r>
        <w:rPr>
          <w:rFonts w:hint="eastAsia"/>
        </w:rPr>
        <w:t>15、设备投运 5 年内，投标方应每年对陆上部分的供货设备进行至少一次专业巡视、检查服务。</w:t>
      </w:r>
    </w:p>
    <w:p w14:paraId="622E4F89">
      <w:pPr>
        <w:adjustRightInd w:val="0"/>
        <w:snapToGrid w:val="0"/>
        <w:spacing w:line="360" w:lineRule="auto"/>
        <w:ind w:firstLine="420" w:firstLineChars="200"/>
      </w:pPr>
      <w:r>
        <w:rPr>
          <w:rFonts w:hint="eastAsia"/>
        </w:rPr>
        <w:t>1</w:t>
      </w:r>
      <w:r>
        <w:t>6</w:t>
      </w:r>
      <w:r>
        <w:rPr>
          <w:rFonts w:hint="eastAsia"/>
        </w:rPr>
        <w:t>、海缆投运后,投标方对海缆及附件运行中发生的问题应在4个小时内作出响应。如需投标方到合同设备现场，投标方应在收到招标方通知后 48 小时内到达，并在到达后7日内解决合同设备的故障(重大故障除外)。如果投标方未在上述时间内作出响应，则招标方有权自行或委托他人解决相关问题或查找和解决合同设备的故障，投标方应承担由此发生的全部费用。</w:t>
      </w:r>
    </w:p>
    <w:p w14:paraId="25AE2EC3">
      <w:pPr>
        <w:adjustRightInd w:val="0"/>
        <w:snapToGrid w:val="0"/>
        <w:spacing w:line="360" w:lineRule="auto"/>
        <w:ind w:firstLine="420" w:firstLineChars="200"/>
      </w:pPr>
      <w:r>
        <w:rPr>
          <w:rFonts w:hint="eastAsia"/>
        </w:rPr>
        <w:t>1</w:t>
      </w:r>
      <w:r>
        <w:t>7</w:t>
      </w:r>
      <w:r>
        <w:rPr>
          <w:rFonts w:hint="eastAsia"/>
        </w:rPr>
        <w:t>、投标方应在査明故障点位置后 72小时内，根据故障点位置及原因，向招标方提交维修方案。投标方提交的维修方案经招标方确认后10日内，施工船舶、设备、人员须抵达指定地点并进行修复。除非招标方同意，维修工作应在 30日以内完成。如投标方未按期完成维修，招标方有权自行组织采购，所发生的费用和质量责任由投标方负责，并承担违约责任。</w:t>
      </w:r>
    </w:p>
    <w:p w14:paraId="2644A936">
      <w:pPr>
        <w:adjustRightInd w:val="0"/>
        <w:snapToGrid w:val="0"/>
        <w:spacing w:line="360" w:lineRule="auto"/>
        <w:ind w:firstLine="420" w:firstLineChars="200"/>
      </w:pPr>
      <w:r>
        <w:rPr>
          <w:rFonts w:hint="eastAsia"/>
        </w:rPr>
        <w:t>18、维修过程中对海底电缆产生损坏或对海底电缆的设计使用寿命造成影响,无论是严格责任还是由疏忽引起的责任，也不论是何等形式的责任，都由投标方负责。</w:t>
      </w:r>
    </w:p>
    <w:p w14:paraId="331C4333">
      <w:pPr>
        <w:adjustRightInd w:val="0"/>
        <w:snapToGrid w:val="0"/>
        <w:spacing w:line="360" w:lineRule="auto"/>
        <w:ind w:firstLine="420" w:firstLineChars="200"/>
      </w:pPr>
      <w:r>
        <w:rPr>
          <w:rFonts w:hint="eastAsia"/>
        </w:rPr>
        <w:t>19、若发生维修情况，投标方需保证海缆维修没有工艺上的缺陷，维修后能够安全、稳定地运行。</w:t>
      </w:r>
      <w:r>
        <w:t>在设备质量保修期内，投标方需准备足量的备品备件，以保证在设备出现缺陷、故障后可及时更换，若因投标方无法提供对应备品备件使设备修复不及时，导致设备非计划停运，招标方可根据停运造成的损失，追究投标方违约责任</w:t>
      </w:r>
      <w:r>
        <w:rPr>
          <w:rFonts w:hint="eastAsia"/>
        </w:rPr>
        <w:t>。</w:t>
      </w:r>
    </w:p>
    <w:p w14:paraId="5E4AD969">
      <w:pPr>
        <w:adjustRightInd w:val="0"/>
        <w:snapToGrid w:val="0"/>
        <w:spacing w:line="360" w:lineRule="auto"/>
        <w:ind w:firstLine="420" w:firstLineChars="200"/>
      </w:pPr>
      <w:r>
        <w:rPr>
          <w:rFonts w:hint="eastAsia"/>
        </w:rPr>
        <w:t>20、由于维修工作发生延误给招标方带来的损失，投标方应负全责。</w:t>
      </w:r>
    </w:p>
    <w:p w14:paraId="788381D5">
      <w:pPr>
        <w:adjustRightInd w:val="0"/>
        <w:snapToGrid w:val="0"/>
        <w:spacing w:line="360" w:lineRule="auto"/>
        <w:ind w:firstLine="420" w:firstLineChars="200"/>
      </w:pPr>
      <w:r>
        <w:rPr>
          <w:rFonts w:hint="eastAsia"/>
        </w:rPr>
        <w:t>21、其他抢修工作的未尽事宜，以故障发生后双方合同为补充。</w:t>
      </w:r>
    </w:p>
    <w:p w14:paraId="6818CFC6">
      <w:pPr>
        <w:pStyle w:val="286"/>
      </w:pPr>
      <w:bookmarkStart w:id="251" w:name="_Toc226123968"/>
      <w:bookmarkStart w:id="252" w:name="_Toc232443382"/>
      <w:r>
        <w:rPr>
          <w:rFonts w:hint="eastAsia"/>
        </w:rPr>
        <w:t>10.</w:t>
      </w:r>
      <w:r>
        <w:t xml:space="preserve">6 </w:t>
      </w:r>
      <w:r>
        <w:rPr>
          <w:rFonts w:hint="eastAsia"/>
        </w:rPr>
        <w:t>培训</w:t>
      </w:r>
      <w:bookmarkEnd w:id="251"/>
      <w:bookmarkEnd w:id="252"/>
    </w:p>
    <w:p w14:paraId="1AE7C177">
      <w:pPr>
        <w:adjustRightInd w:val="0"/>
        <w:snapToGrid w:val="0"/>
        <w:spacing w:line="360" w:lineRule="auto"/>
      </w:pPr>
      <w:r>
        <w:rPr>
          <w:rFonts w:hint="eastAsia"/>
        </w:rPr>
        <w:t>10.</w:t>
      </w:r>
      <w:r>
        <w:t>6</w:t>
      </w:r>
      <w:r>
        <w:rPr>
          <w:rFonts w:hint="eastAsia"/>
        </w:rPr>
        <w:t>.1</w:t>
      </w:r>
      <w:r>
        <w:t xml:space="preserve"> </w:t>
      </w:r>
      <w:r>
        <w:rPr>
          <w:rFonts w:hint="eastAsia"/>
        </w:rPr>
        <w:t>概述</w:t>
      </w:r>
    </w:p>
    <w:p w14:paraId="47F5A03C">
      <w:pPr>
        <w:adjustRightInd w:val="0"/>
        <w:snapToGrid w:val="0"/>
        <w:spacing w:line="360" w:lineRule="auto"/>
        <w:ind w:firstLine="420" w:firstLineChars="200"/>
      </w:pPr>
      <w:r>
        <w:rPr>
          <w:rFonts w:hint="eastAsia"/>
        </w:rPr>
        <w:t>买卖双方均有责任确保对招标方运行及维护岗位的熟练技术人员进行必要的培训。投标方应向招标方提供至少一套交联聚乙烯海缆专用检修工具与提供下列培训计划，其目的是培训由招标方指定的运行人员和维修人员(包括管理人员)，以保证海底电缆工程投运并移交后招标方能完成日常的运行维护和管理工作。</w:t>
      </w:r>
    </w:p>
    <w:p w14:paraId="35110BDE">
      <w:pPr>
        <w:adjustRightInd w:val="0"/>
        <w:snapToGrid w:val="0"/>
        <w:spacing w:line="360" w:lineRule="auto"/>
      </w:pPr>
      <w:r>
        <w:rPr>
          <w:rFonts w:hint="eastAsia"/>
        </w:rPr>
        <w:t>10.</w:t>
      </w:r>
      <w:r>
        <w:t>6</w:t>
      </w:r>
      <w:r>
        <w:rPr>
          <w:rFonts w:hint="eastAsia"/>
        </w:rPr>
        <w:t>.2</w:t>
      </w:r>
      <w:r>
        <w:t xml:space="preserve"> </w:t>
      </w:r>
      <w:r>
        <w:rPr>
          <w:rFonts w:hint="eastAsia"/>
        </w:rPr>
        <w:t>培训文件</w:t>
      </w:r>
    </w:p>
    <w:p w14:paraId="6A0116F7">
      <w:pPr>
        <w:adjustRightInd w:val="0"/>
        <w:snapToGrid w:val="0"/>
        <w:spacing w:line="360" w:lineRule="auto"/>
        <w:ind w:firstLine="420" w:firstLineChars="200"/>
      </w:pPr>
      <w:r>
        <w:rPr>
          <w:rFonts w:hint="eastAsia"/>
        </w:rPr>
        <w:t>投标方应提供全部培训资料，包括培训教材和相关设备资料。</w:t>
      </w:r>
    </w:p>
    <w:p w14:paraId="46DB0155">
      <w:pPr>
        <w:adjustRightInd w:val="0"/>
        <w:snapToGrid w:val="0"/>
        <w:spacing w:line="360" w:lineRule="auto"/>
        <w:ind w:firstLine="420" w:firstLineChars="200"/>
      </w:pPr>
      <w:r>
        <w:rPr>
          <w:rFonts w:hint="eastAsia"/>
        </w:rPr>
        <w:t>投标方应准许招标方带走培训资料。</w:t>
      </w:r>
    </w:p>
    <w:p w14:paraId="5ACF0088">
      <w:pPr>
        <w:adjustRightInd w:val="0"/>
        <w:snapToGrid w:val="0"/>
        <w:spacing w:line="360" w:lineRule="auto"/>
      </w:pPr>
      <w:r>
        <w:rPr>
          <w:rFonts w:hint="eastAsia"/>
        </w:rPr>
        <w:t>10.</w:t>
      </w:r>
      <w:r>
        <w:t>6</w:t>
      </w:r>
      <w:r>
        <w:rPr>
          <w:rFonts w:hint="eastAsia"/>
        </w:rPr>
        <w:t>.3</w:t>
      </w:r>
      <w:r>
        <w:t xml:space="preserve"> </w:t>
      </w:r>
      <w:r>
        <w:rPr>
          <w:rFonts w:hint="eastAsia"/>
        </w:rPr>
        <w:t>培训地点</w:t>
      </w:r>
    </w:p>
    <w:p w14:paraId="52543566">
      <w:pPr>
        <w:adjustRightInd w:val="0"/>
        <w:snapToGrid w:val="0"/>
        <w:spacing w:line="360" w:lineRule="auto"/>
        <w:ind w:firstLine="420" w:firstLineChars="200"/>
      </w:pPr>
      <w:r>
        <w:rPr>
          <w:rFonts w:hint="eastAsia"/>
        </w:rPr>
        <w:t>培训地点为工厂和招标方所在地。</w:t>
      </w:r>
    </w:p>
    <w:p w14:paraId="03917BA6">
      <w:pPr>
        <w:adjustRightInd w:val="0"/>
        <w:snapToGrid w:val="0"/>
        <w:spacing w:line="360" w:lineRule="auto"/>
      </w:pPr>
      <w:r>
        <w:rPr>
          <w:rFonts w:hint="eastAsia"/>
        </w:rPr>
        <w:t>10.</w:t>
      </w:r>
      <w:r>
        <w:t>6</w:t>
      </w:r>
      <w:r>
        <w:rPr>
          <w:rFonts w:hint="eastAsia"/>
        </w:rPr>
        <w:t>.4</w:t>
      </w:r>
      <w:r>
        <w:t xml:space="preserve"> </w:t>
      </w:r>
      <w:r>
        <w:rPr>
          <w:rFonts w:hint="eastAsia"/>
        </w:rPr>
        <w:t>培训人数和时间</w:t>
      </w:r>
    </w:p>
    <w:p w14:paraId="7F4150DD">
      <w:pPr>
        <w:adjustRightInd w:val="0"/>
        <w:snapToGrid w:val="0"/>
        <w:spacing w:line="360" w:lineRule="auto"/>
        <w:ind w:firstLine="420" w:firstLineChars="200"/>
      </w:pPr>
      <w:r>
        <w:rPr>
          <w:rFonts w:hint="eastAsia"/>
        </w:rPr>
        <w:t>工厂培训：培训不少于2批次，到投标方工厂或其推荐的培训地点(须征得招标方同意)了解电缆运行要求，并在与本工程类似已建成的工程参观和必要的实习。</w:t>
      </w:r>
    </w:p>
    <w:p w14:paraId="07C82C05">
      <w:pPr>
        <w:adjustRightInd w:val="0"/>
        <w:snapToGrid w:val="0"/>
        <w:spacing w:line="360" w:lineRule="auto"/>
        <w:ind w:firstLine="420" w:firstLineChars="200"/>
      </w:pPr>
      <w:r>
        <w:rPr>
          <w:rFonts w:hint="eastAsia"/>
        </w:rPr>
        <w:t>招标方所在地培训：培训不少于2批次，采取课堂授课和现场操作培训两种方式相结合。投标方应派出能授课的合格教员。</w:t>
      </w:r>
    </w:p>
    <w:p w14:paraId="254D6780">
      <w:pPr>
        <w:adjustRightInd w:val="0"/>
        <w:snapToGrid w:val="0"/>
        <w:spacing w:line="360" w:lineRule="auto"/>
      </w:pPr>
      <w:r>
        <w:rPr>
          <w:rFonts w:hint="eastAsia"/>
        </w:rPr>
        <w:t>10.</w:t>
      </w:r>
      <w:r>
        <w:t>6</w:t>
      </w:r>
      <w:r>
        <w:rPr>
          <w:rFonts w:hint="eastAsia"/>
        </w:rPr>
        <w:t>.5</w:t>
      </w:r>
      <w:r>
        <w:t xml:space="preserve"> </w:t>
      </w:r>
      <w:r>
        <w:rPr>
          <w:rFonts w:hint="eastAsia"/>
        </w:rPr>
        <w:t>培训内容</w:t>
      </w:r>
    </w:p>
    <w:p w14:paraId="25886F5F">
      <w:pPr>
        <w:adjustRightInd w:val="0"/>
        <w:snapToGrid w:val="0"/>
        <w:spacing w:line="360" w:lineRule="auto"/>
        <w:ind w:firstLine="420" w:firstLineChars="200"/>
      </w:pPr>
      <w:r>
        <w:rPr>
          <w:rFonts w:hint="eastAsia"/>
        </w:rPr>
        <w:t>投标方应在培训开始前一个月，根据招标方提供的培训大纲其以往工程建设经验，提交培训计划、培训大纲及建议、供招标方确认。</w:t>
      </w:r>
    </w:p>
    <w:p w14:paraId="7E254921">
      <w:pPr>
        <w:adjustRightInd w:val="0"/>
        <w:snapToGrid w:val="0"/>
        <w:spacing w:line="360" w:lineRule="auto"/>
        <w:ind w:firstLine="420" w:firstLineChars="200"/>
      </w:pPr>
      <w:r>
        <w:rPr>
          <w:rFonts w:hint="eastAsia"/>
        </w:rPr>
        <w:t>10.</w:t>
      </w:r>
      <w:r>
        <w:t>6</w:t>
      </w:r>
      <w:r>
        <w:rPr>
          <w:rFonts w:hint="eastAsia"/>
        </w:rPr>
        <w:t>.5.1工厂培训</w:t>
      </w:r>
    </w:p>
    <w:p w14:paraId="77736AF9">
      <w:pPr>
        <w:adjustRightInd w:val="0"/>
        <w:snapToGrid w:val="0"/>
        <w:spacing w:line="360" w:lineRule="auto"/>
        <w:ind w:firstLine="420" w:firstLineChars="200"/>
      </w:pPr>
      <w:r>
        <w:rPr>
          <w:rFonts w:hint="eastAsia"/>
        </w:rPr>
        <w:t>投标方培训内容应包括但不限于以下内容：</w:t>
      </w:r>
    </w:p>
    <w:p w14:paraId="21DBD98E">
      <w:pPr>
        <w:adjustRightInd w:val="0"/>
        <w:snapToGrid w:val="0"/>
        <w:spacing w:line="360" w:lineRule="auto"/>
        <w:ind w:firstLine="420" w:firstLineChars="200"/>
      </w:pPr>
      <w:r>
        <w:rPr>
          <w:rFonts w:hint="eastAsia"/>
        </w:rPr>
        <w:t>1、 招标方技术人员至投标方或其分包商的工厂参加海缆及其附属设备设计培训；</w:t>
      </w:r>
    </w:p>
    <w:p w14:paraId="0A35E33F">
      <w:pPr>
        <w:adjustRightInd w:val="0"/>
        <w:snapToGrid w:val="0"/>
        <w:spacing w:line="360" w:lineRule="auto"/>
        <w:ind w:firstLine="420" w:firstLineChars="200"/>
      </w:pPr>
      <w:r>
        <w:rPr>
          <w:rFonts w:hint="eastAsia"/>
        </w:rPr>
        <w:t>2、 前往投标方或其分包商生产车间，对海缆及附属设备的加工制造工艺培训。包括导体、绝缘、工厂接头等关键工艺现场培训；</w:t>
      </w:r>
    </w:p>
    <w:p w14:paraId="505BA660">
      <w:pPr>
        <w:adjustRightInd w:val="0"/>
        <w:snapToGrid w:val="0"/>
        <w:spacing w:line="360" w:lineRule="auto"/>
        <w:ind w:firstLine="420" w:firstLineChars="200"/>
      </w:pPr>
      <w:r>
        <w:rPr>
          <w:rFonts w:hint="eastAsia"/>
        </w:rPr>
        <w:t>3、 出厂试验地进行海缆及其附属设备的检测、试验培训；</w:t>
      </w:r>
    </w:p>
    <w:p w14:paraId="670A9D72">
      <w:pPr>
        <w:adjustRightInd w:val="0"/>
        <w:snapToGrid w:val="0"/>
        <w:spacing w:line="360" w:lineRule="auto"/>
        <w:ind w:firstLine="420" w:firstLineChars="200"/>
      </w:pPr>
      <w:r>
        <w:rPr>
          <w:rFonts w:hint="eastAsia"/>
        </w:rPr>
        <w:t>4、终端头的安装技术培训；</w:t>
      </w:r>
    </w:p>
    <w:p w14:paraId="1D46FFD3">
      <w:pPr>
        <w:adjustRightInd w:val="0"/>
        <w:snapToGrid w:val="0"/>
        <w:spacing w:line="360" w:lineRule="auto"/>
        <w:ind w:firstLine="420" w:firstLineChars="200"/>
      </w:pPr>
      <w:r>
        <w:rPr>
          <w:rFonts w:hint="eastAsia"/>
        </w:rPr>
        <w:t>5、对投标方提供的类似海底电缆工程进行实地考察，交流设备运行技术；</w:t>
      </w:r>
    </w:p>
    <w:p w14:paraId="47D0FA39">
      <w:pPr>
        <w:adjustRightInd w:val="0"/>
        <w:snapToGrid w:val="0"/>
        <w:spacing w:line="360" w:lineRule="auto"/>
        <w:ind w:firstLine="420" w:firstLineChars="200"/>
      </w:pPr>
      <w:r>
        <w:rPr>
          <w:rFonts w:hint="eastAsia"/>
        </w:rPr>
        <w:t>6、海缆故障定位、打捞、修复、回放技术培训。</w:t>
      </w:r>
    </w:p>
    <w:p w14:paraId="371C3BDE">
      <w:pPr>
        <w:adjustRightInd w:val="0"/>
        <w:snapToGrid w:val="0"/>
        <w:spacing w:line="360" w:lineRule="auto"/>
        <w:ind w:firstLine="420" w:firstLineChars="200"/>
      </w:pPr>
      <w:r>
        <w:rPr>
          <w:rFonts w:hint="eastAsia"/>
        </w:rPr>
        <w:t>10.</w:t>
      </w:r>
      <w:r>
        <w:t>6</w:t>
      </w:r>
      <w:r>
        <w:rPr>
          <w:rFonts w:hint="eastAsia"/>
        </w:rPr>
        <w:t>.5.2</w:t>
      </w:r>
      <w:r>
        <w:t xml:space="preserve"> </w:t>
      </w:r>
      <w:r>
        <w:rPr>
          <w:rFonts w:hint="eastAsia"/>
        </w:rPr>
        <w:t>现场培训：</w:t>
      </w:r>
    </w:p>
    <w:p w14:paraId="51318159">
      <w:pPr>
        <w:adjustRightInd w:val="0"/>
        <w:snapToGrid w:val="0"/>
        <w:spacing w:line="360" w:lineRule="auto"/>
        <w:ind w:firstLine="420" w:firstLineChars="200"/>
      </w:pPr>
      <w:r>
        <w:rPr>
          <w:rFonts w:hint="eastAsia"/>
        </w:rPr>
        <w:t>投标方培训内容包括但不限于以下内容：</w:t>
      </w:r>
    </w:p>
    <w:p w14:paraId="733C1B08">
      <w:pPr>
        <w:adjustRightInd w:val="0"/>
        <w:snapToGrid w:val="0"/>
        <w:spacing w:line="360" w:lineRule="auto"/>
        <w:ind w:firstLine="420" w:firstLineChars="200"/>
      </w:pPr>
      <w:r>
        <w:rPr>
          <w:rFonts w:hint="eastAsia"/>
        </w:rPr>
        <w:t>1、电缆系统日常维护、检修试验及故障排除；</w:t>
      </w:r>
    </w:p>
    <w:p w14:paraId="63E5EABB">
      <w:pPr>
        <w:adjustRightInd w:val="0"/>
        <w:snapToGrid w:val="0"/>
        <w:spacing w:line="360" w:lineRule="auto"/>
        <w:ind w:firstLine="420" w:firstLineChars="200"/>
      </w:pPr>
      <w:r>
        <w:rPr>
          <w:rFonts w:hint="eastAsia"/>
        </w:rPr>
        <w:t>2、海缆终端头日常维护、检修试验及故障排除；</w:t>
      </w:r>
    </w:p>
    <w:p w14:paraId="066AE646">
      <w:pPr>
        <w:adjustRightInd w:val="0"/>
        <w:snapToGrid w:val="0"/>
        <w:spacing w:line="360" w:lineRule="auto"/>
        <w:ind w:firstLine="420" w:firstLineChars="200"/>
      </w:pPr>
      <w:r>
        <w:rPr>
          <w:rFonts w:hint="eastAsia"/>
        </w:rPr>
        <w:t>3、海缆本体检测、在线监控、故障维修、保护施工；</w:t>
      </w:r>
    </w:p>
    <w:p w14:paraId="4E10B2D7">
      <w:pPr>
        <w:adjustRightInd w:val="0"/>
        <w:snapToGrid w:val="0"/>
        <w:spacing w:line="360" w:lineRule="auto"/>
        <w:ind w:firstLine="420" w:firstLineChars="200"/>
      </w:pPr>
      <w:r>
        <w:rPr>
          <w:rFonts w:hint="eastAsia"/>
        </w:rPr>
        <w:t>4、备用海缆维护、检修试验、调取；</w:t>
      </w:r>
    </w:p>
    <w:p w14:paraId="71A9D0C6">
      <w:pPr>
        <w:adjustRightInd w:val="0"/>
        <w:snapToGrid w:val="0"/>
        <w:spacing w:line="360" w:lineRule="auto"/>
        <w:ind w:firstLine="420" w:firstLineChars="200"/>
      </w:pPr>
      <w:r>
        <w:rPr>
          <w:rFonts w:hint="eastAsia"/>
        </w:rPr>
        <w:t>5、专用工器具的操作试验等其他运维人员所需培训。</w:t>
      </w:r>
    </w:p>
    <w:p w14:paraId="1ABB20A3">
      <w:pPr>
        <w:adjustRightInd w:val="0"/>
        <w:snapToGrid w:val="0"/>
        <w:spacing w:line="360" w:lineRule="auto"/>
        <w:ind w:firstLine="420" w:firstLineChars="200"/>
      </w:pPr>
      <w:r>
        <w:rPr>
          <w:rFonts w:hint="eastAsia"/>
        </w:rPr>
        <w:t>10.</w:t>
      </w:r>
      <w:r>
        <w:t>6</w:t>
      </w:r>
      <w:r>
        <w:rPr>
          <w:rFonts w:hint="eastAsia"/>
        </w:rPr>
        <w:t>.5.</w:t>
      </w:r>
      <w:r>
        <w:t>3</w:t>
      </w:r>
      <w:r>
        <w:rPr>
          <w:rFonts w:hint="eastAsia"/>
        </w:rPr>
        <w:t>培训费用</w:t>
      </w:r>
    </w:p>
    <w:p w14:paraId="17DFC57D">
      <w:pPr>
        <w:adjustRightInd w:val="0"/>
        <w:snapToGrid w:val="0"/>
        <w:spacing w:line="360" w:lineRule="auto"/>
        <w:ind w:firstLine="420" w:firstLineChars="200"/>
      </w:pPr>
      <w:r>
        <w:rPr>
          <w:rFonts w:hint="eastAsia"/>
        </w:rPr>
        <w:t>招标方参加培训的费用已包含在合同总价中。</w:t>
      </w:r>
    </w:p>
    <w:p w14:paraId="7EA80FB1">
      <w:pPr>
        <w:adjustRightInd w:val="0"/>
        <w:snapToGrid w:val="0"/>
        <w:spacing w:line="360" w:lineRule="auto"/>
      </w:pPr>
      <w:r>
        <w:rPr>
          <w:rFonts w:hint="eastAsia"/>
        </w:rPr>
        <w:t>10.</w:t>
      </w:r>
      <w:r>
        <w:t>6</w:t>
      </w:r>
      <w:r>
        <w:rPr>
          <w:rFonts w:hint="eastAsia"/>
        </w:rPr>
        <w:t>.6其他</w:t>
      </w:r>
    </w:p>
    <w:p w14:paraId="106EFDDA">
      <w:pPr>
        <w:adjustRightInd w:val="0"/>
        <w:snapToGrid w:val="0"/>
        <w:spacing w:line="360" w:lineRule="auto"/>
        <w:ind w:firstLine="420" w:firstLineChars="200"/>
      </w:pPr>
      <w:r>
        <w:rPr>
          <w:rFonts w:hint="eastAsia"/>
        </w:rPr>
        <w:t>投标方应对所培训人员颁发书面培训合格证书。</w:t>
      </w:r>
    </w:p>
    <w:p w14:paraId="0D0D541D">
      <w:pPr>
        <w:pStyle w:val="286"/>
      </w:pPr>
      <w:bookmarkStart w:id="253" w:name="_Toc232443383"/>
      <w:r>
        <w:rPr>
          <w:rFonts w:hint="eastAsia"/>
        </w:rPr>
        <w:t>10.7 海缆现场到货验收</w:t>
      </w:r>
      <w:bookmarkEnd w:id="253"/>
    </w:p>
    <w:p w14:paraId="53608DB0">
      <w:pPr>
        <w:adjustRightInd w:val="0"/>
        <w:snapToGrid w:val="0"/>
        <w:spacing w:line="360" w:lineRule="auto"/>
        <w:ind w:firstLine="420" w:firstLineChars="200"/>
      </w:pPr>
      <w:r>
        <w:t>现场到货验收应包括如下要求:</w:t>
      </w:r>
    </w:p>
    <w:p w14:paraId="3A2878C5">
      <w:pPr>
        <w:adjustRightInd w:val="0"/>
        <w:snapToGrid w:val="0"/>
        <w:spacing w:line="360" w:lineRule="auto"/>
        <w:ind w:firstLine="420" w:firstLineChars="200"/>
      </w:pPr>
      <w:r>
        <w:rPr>
          <w:rFonts w:hint="eastAsia"/>
        </w:rPr>
        <w:t>1、</w:t>
      </w:r>
      <w:r>
        <w:t>资料检查:应有国家资质认定和实验室认可机构出具的型式试验报告，</w:t>
      </w:r>
      <w:r>
        <w:rPr>
          <w:rFonts w:hint="eastAsia"/>
        </w:rPr>
        <w:t>预鉴定试验报告，</w:t>
      </w:r>
      <w:r>
        <w:t>产品出厂合格证原件</w:t>
      </w:r>
      <w:r>
        <w:rPr>
          <w:rFonts w:hint="eastAsia"/>
        </w:rPr>
        <w:t>与各式海缆试验证明文件</w:t>
      </w:r>
      <w:r>
        <w:t>；</w:t>
      </w:r>
    </w:p>
    <w:p w14:paraId="3DAE039F">
      <w:pPr>
        <w:adjustRightInd w:val="0"/>
        <w:snapToGrid w:val="0"/>
        <w:spacing w:line="360" w:lineRule="auto"/>
        <w:ind w:firstLine="420" w:firstLineChars="200"/>
      </w:pPr>
      <w:r>
        <w:rPr>
          <w:rFonts w:hint="eastAsia"/>
        </w:rPr>
        <w:t>2、</w:t>
      </w:r>
      <w:r>
        <w:t>包装检查:包装完整，铭牌上标注应与订单要求一致；</w:t>
      </w:r>
    </w:p>
    <w:p w14:paraId="57CDAD5F">
      <w:pPr>
        <w:adjustRightInd w:val="0"/>
        <w:snapToGrid w:val="0"/>
        <w:spacing w:line="360" w:lineRule="auto"/>
        <w:ind w:firstLine="420" w:firstLineChars="200"/>
      </w:pPr>
      <w:r>
        <w:rPr>
          <w:rFonts w:hint="eastAsia"/>
        </w:rPr>
        <w:t>3、</w:t>
      </w:r>
      <w:r>
        <w:t>实物检查:海缆铠装层目视无损伤，端头铅封完好，海缆导体绝缘满足要求，必要时进行交接试验，试验要求按照GB50150执行;光纤复合海缆光纤导通，衰减值符合要求。</w:t>
      </w:r>
    </w:p>
    <w:p w14:paraId="088101B6">
      <w:pPr>
        <w:pStyle w:val="286"/>
      </w:pPr>
      <w:bookmarkStart w:id="254" w:name="_Toc232443384"/>
      <w:bookmarkStart w:id="255" w:name="_Toc226123969"/>
      <w:r>
        <w:rPr>
          <w:rFonts w:hint="eastAsia"/>
        </w:rPr>
        <w:t>10</w:t>
      </w:r>
      <w:r>
        <w:t>.</w:t>
      </w:r>
      <w:r>
        <w:rPr>
          <w:rFonts w:hint="eastAsia"/>
        </w:rPr>
        <w:t>8</w:t>
      </w:r>
      <w:r>
        <w:t xml:space="preserve"> </w:t>
      </w:r>
      <w:r>
        <w:rPr>
          <w:rFonts w:hint="eastAsia"/>
        </w:rPr>
        <w:t>备用缆及备用附件</w:t>
      </w:r>
      <w:r>
        <w:t>存储</w:t>
      </w:r>
      <w:r>
        <w:rPr>
          <w:rFonts w:hint="eastAsia"/>
        </w:rPr>
        <w:t>服务</w:t>
      </w:r>
      <w:bookmarkEnd w:id="254"/>
      <w:bookmarkEnd w:id="255"/>
    </w:p>
    <w:p w14:paraId="582B61AE">
      <w:pPr>
        <w:adjustRightInd w:val="0"/>
        <w:snapToGrid w:val="0"/>
        <w:spacing w:line="360" w:lineRule="auto"/>
        <w:ind w:firstLine="420" w:firstLineChars="200"/>
      </w:pPr>
      <w:r>
        <w:rPr>
          <w:rFonts w:hint="eastAsia"/>
        </w:rPr>
        <w:t>1、承诺海缆可以在投标方内保存至海缆全生命周期结束。备用缆需与使用电缆有相同的全生命周期寿命，投标方应切实履行好保管维护责任。</w:t>
      </w:r>
    </w:p>
    <w:p w14:paraId="134F43C1">
      <w:pPr>
        <w:adjustRightInd w:val="0"/>
        <w:snapToGrid w:val="0"/>
        <w:spacing w:line="360" w:lineRule="auto"/>
        <w:ind w:firstLine="420" w:firstLineChars="200"/>
      </w:pPr>
      <w:r>
        <w:rPr>
          <w:rFonts w:hint="eastAsia"/>
        </w:rPr>
        <w:t>2、</w:t>
      </w:r>
      <w:r>
        <w:t>本次投标报价</w:t>
      </w:r>
      <w:r>
        <w:rPr>
          <w:rFonts w:hint="eastAsia"/>
        </w:rPr>
        <w:t>包含备用</w:t>
      </w:r>
      <w:r>
        <w:t>缆</w:t>
      </w:r>
      <w:r>
        <w:rPr>
          <w:rFonts w:hint="eastAsia"/>
        </w:rPr>
        <w:t>及备用附件在质保期年限内</w:t>
      </w:r>
      <w:r>
        <w:t>存储服务</w:t>
      </w:r>
      <w:r>
        <w:rPr>
          <w:rFonts w:hint="eastAsia"/>
        </w:rPr>
        <w:t>的费用，并考虑在海缆设备费用中。备用缆包含供货范围内要求的300m钢丝铠装三芯海缆与敷设完成后剩余的海缆。备用附件主要为海缆敷设完成后多余的附件设备。</w:t>
      </w:r>
    </w:p>
    <w:p w14:paraId="62E6FA09">
      <w:pPr>
        <w:adjustRightInd w:val="0"/>
        <w:snapToGrid w:val="0"/>
        <w:spacing w:line="360" w:lineRule="auto"/>
        <w:ind w:firstLine="420" w:firstLineChars="200"/>
      </w:pPr>
      <w:r>
        <w:rPr>
          <w:rFonts w:hint="eastAsia"/>
        </w:rPr>
        <w:t>3、备用</w:t>
      </w:r>
      <w:r>
        <w:t>缆</w:t>
      </w:r>
      <w:r>
        <w:rPr>
          <w:rFonts w:hint="eastAsia"/>
        </w:rPr>
        <w:t>及备用附件存储环境的温、 湿度应符合本项目海底电缆及其附件长期性能稳定的要求；</w:t>
      </w:r>
    </w:p>
    <w:p w14:paraId="52130A94">
      <w:pPr>
        <w:adjustRightInd w:val="0"/>
        <w:snapToGrid w:val="0"/>
        <w:spacing w:line="360" w:lineRule="auto"/>
        <w:ind w:firstLine="420" w:firstLineChars="200"/>
      </w:pPr>
      <w:r>
        <w:rPr>
          <w:rFonts w:hint="eastAsia"/>
        </w:rPr>
        <w:t>4、备用海缆应放入库房内或四周有遮蔽的货棚内，避免日晒雨淋、过冷过热、人为损害，以防止金属材料锈蚀或绝缘材料发粘变形，硬化变脆；</w:t>
      </w:r>
    </w:p>
    <w:p w14:paraId="3F89AB67">
      <w:pPr>
        <w:adjustRightInd w:val="0"/>
        <w:snapToGrid w:val="0"/>
        <w:spacing w:line="360" w:lineRule="auto"/>
        <w:ind w:firstLine="420" w:firstLineChars="200"/>
      </w:pPr>
      <w:r>
        <w:rPr>
          <w:rFonts w:hint="eastAsia"/>
        </w:rPr>
        <w:t>5、备用海缆严禁与酸、 碱及矿物油类接触，要与这些有腐蚀性的物质隔离存放；</w:t>
      </w:r>
    </w:p>
    <w:p w14:paraId="1F816DE1">
      <w:pPr>
        <w:adjustRightInd w:val="0"/>
        <w:snapToGrid w:val="0"/>
        <w:spacing w:line="360" w:lineRule="auto"/>
        <w:ind w:firstLine="420" w:firstLineChars="200"/>
      </w:pPr>
      <w:r>
        <w:rPr>
          <w:rFonts w:hint="eastAsia"/>
        </w:rPr>
        <w:t>6、备用海缆在保管期间要至少每月检查一次（具体实施按招标方要求执行），并定期对备用海缆及其附件的技术性能进行有效性检查（具体实施按招标方要求执行），确保备用海缆随时可用。如发现有异常，投标方有义务第一时间向招标方提出并协助招标方处理；</w:t>
      </w:r>
    </w:p>
    <w:p w14:paraId="436113F3">
      <w:pPr>
        <w:adjustRightInd w:val="0"/>
        <w:snapToGrid w:val="0"/>
        <w:spacing w:line="360" w:lineRule="auto"/>
        <w:ind w:firstLine="420" w:firstLineChars="200"/>
      </w:pPr>
      <w:r>
        <w:rPr>
          <w:rFonts w:hint="eastAsia"/>
        </w:rPr>
        <w:t>7、备用海缆长度暂定为3</w:t>
      </w:r>
      <w:r>
        <w:t>00</w:t>
      </w:r>
      <w:r>
        <w:rPr>
          <w:rFonts w:hint="eastAsia"/>
        </w:rPr>
        <w:t xml:space="preserve">m，除备用海缆之外，本标的所提供海缆在敷设后留下的余缆仍由施工单位运回投标方存储仓库，与备用海缆一起储存。 </w:t>
      </w:r>
    </w:p>
    <w:p w14:paraId="7E47287E">
      <w:pPr>
        <w:pStyle w:val="286"/>
      </w:pPr>
      <w:bookmarkStart w:id="256" w:name="_Toc226123970"/>
      <w:bookmarkStart w:id="257" w:name="_Toc232443385"/>
      <w:r>
        <w:rPr>
          <w:rFonts w:hint="eastAsia"/>
        </w:rPr>
        <w:t>10</w:t>
      </w:r>
      <w:r>
        <w:t>.</w:t>
      </w:r>
      <w:r>
        <w:rPr>
          <w:rFonts w:hint="eastAsia"/>
        </w:rPr>
        <w:t>9</w:t>
      </w:r>
      <w:r>
        <w:t xml:space="preserve"> </w:t>
      </w:r>
      <w:r>
        <w:rPr>
          <w:rFonts w:hint="eastAsia"/>
        </w:rPr>
        <w:t>海缆抢修服务</w:t>
      </w:r>
      <w:bookmarkEnd w:id="256"/>
      <w:bookmarkEnd w:id="257"/>
    </w:p>
    <w:p w14:paraId="0AE9541A">
      <w:pPr>
        <w:adjustRightInd w:val="0"/>
        <w:snapToGrid w:val="0"/>
        <w:spacing w:line="360" w:lineRule="auto"/>
        <w:ind w:firstLine="420" w:firstLineChars="200"/>
      </w:pPr>
      <w:r>
        <w:rPr>
          <w:rFonts w:hint="eastAsia"/>
        </w:rPr>
        <w:t>1、投标方需在抢修方案要求的时限内将相关抢修备品运抵现场，相关费用由责任方承担。</w:t>
      </w:r>
    </w:p>
    <w:p w14:paraId="344C1355">
      <w:pPr>
        <w:adjustRightInd w:val="0"/>
        <w:snapToGrid w:val="0"/>
        <w:spacing w:line="360" w:lineRule="auto"/>
        <w:ind w:firstLine="420" w:firstLineChars="200"/>
      </w:pPr>
      <w:r>
        <w:t>2</w:t>
      </w:r>
      <w:r>
        <w:rPr>
          <w:rFonts w:hint="eastAsia"/>
        </w:rPr>
        <w:t>、投标方应在投标时提供海缆抢修方案（包括施工阶段与运行阶段，含海缆覆盖物清理与海缆打捞等），并对海缆抢修服务进行参考报价（但不纳入投标总价）</w:t>
      </w:r>
      <w:r>
        <w:t>，</w:t>
      </w:r>
      <w:r>
        <w:rPr>
          <w:rFonts w:hint="eastAsia"/>
        </w:rPr>
        <w:t>供评标打分并作为后续由外力破坏与不可抗力导致的抢修服务的价格参考。</w:t>
      </w:r>
    </w:p>
    <w:p w14:paraId="658E6BF5">
      <w:pPr>
        <w:adjustRightInd w:val="0"/>
        <w:snapToGrid w:val="0"/>
        <w:spacing w:line="360" w:lineRule="auto"/>
        <w:ind w:firstLine="420" w:firstLineChars="200"/>
      </w:pPr>
      <w:r>
        <w:t>3</w:t>
      </w:r>
      <w:r>
        <w:rPr>
          <w:rFonts w:hint="eastAsia"/>
        </w:rPr>
        <w:t>、抢修所必需的备品备件由投标方在抢修时提供，需包含但不限于以下抢修备品备件。</w:t>
      </w:r>
    </w:p>
    <w:p w14:paraId="23D08C2B">
      <w:pPr>
        <w:pStyle w:val="152"/>
        <w:adjustRightInd w:val="0"/>
        <w:snapToGrid w:val="0"/>
        <w:spacing w:line="360" w:lineRule="auto"/>
        <w:jc w:val="center"/>
        <w:rPr>
          <w:rFonts w:eastAsia="宋体" w:cs="Times New Roman"/>
          <w:szCs w:val="21"/>
        </w:rPr>
      </w:pPr>
      <w:r>
        <w:rPr>
          <w:szCs w:val="21"/>
        </w:rPr>
        <w:t>表</w:t>
      </w:r>
      <w:r>
        <w:rPr>
          <w:rFonts w:hint="eastAsia"/>
          <w:szCs w:val="21"/>
        </w:rPr>
        <w:t>10</w:t>
      </w:r>
      <w:r>
        <w:rPr>
          <w:szCs w:val="21"/>
        </w:rPr>
        <w:t xml:space="preserve">.4-1   </w:t>
      </w:r>
      <w:r>
        <w:rPr>
          <w:rFonts w:hint="eastAsia"/>
          <w:szCs w:val="21"/>
        </w:rPr>
        <w:t>海缆抢修主要备品备件</w:t>
      </w:r>
      <w:r>
        <w:rPr>
          <w:szCs w:val="21"/>
        </w:rPr>
        <w:t>技术规格一览表</w:t>
      </w:r>
    </w:p>
    <w:tbl>
      <w:tblPr>
        <w:tblStyle w:val="85"/>
        <w:tblW w:w="83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87"/>
        <w:gridCol w:w="2325"/>
        <w:gridCol w:w="1822"/>
        <w:gridCol w:w="572"/>
        <w:gridCol w:w="713"/>
        <w:gridCol w:w="2268"/>
      </w:tblGrid>
      <w:tr w14:paraId="75B25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7" w:hRule="atLeast"/>
          <w:tblHeader/>
          <w:jc w:val="center"/>
        </w:trPr>
        <w:tc>
          <w:tcPr>
            <w:tcW w:w="687" w:type="dxa"/>
            <w:tcBorders>
              <w:top w:val="single" w:color="auto" w:sz="6" w:space="0"/>
              <w:left w:val="single" w:color="auto" w:sz="6" w:space="0"/>
              <w:bottom w:val="single" w:color="auto" w:sz="6" w:space="0"/>
              <w:right w:val="single" w:color="auto" w:sz="6" w:space="0"/>
            </w:tcBorders>
            <w:vAlign w:val="center"/>
          </w:tcPr>
          <w:p w14:paraId="129E1242">
            <w:pPr>
              <w:jc w:val="center"/>
              <w:rPr>
                <w:rFonts w:ascii="宋体" w:hAnsi="宋体"/>
                <w:b/>
                <w:szCs w:val="21"/>
              </w:rPr>
            </w:pPr>
            <w:r>
              <w:rPr>
                <w:rFonts w:ascii="宋体" w:hAnsi="宋体"/>
                <w:b/>
                <w:szCs w:val="21"/>
              </w:rPr>
              <w:t>序号</w:t>
            </w:r>
          </w:p>
        </w:tc>
        <w:tc>
          <w:tcPr>
            <w:tcW w:w="2325" w:type="dxa"/>
            <w:tcBorders>
              <w:top w:val="single" w:color="auto" w:sz="6" w:space="0"/>
              <w:left w:val="single" w:color="auto" w:sz="6" w:space="0"/>
              <w:bottom w:val="single" w:color="auto" w:sz="6" w:space="0"/>
              <w:right w:val="single" w:color="auto" w:sz="6" w:space="0"/>
            </w:tcBorders>
            <w:vAlign w:val="center"/>
          </w:tcPr>
          <w:p w14:paraId="552F3023">
            <w:pPr>
              <w:jc w:val="center"/>
              <w:rPr>
                <w:rFonts w:ascii="宋体" w:hAnsi="宋体"/>
                <w:b/>
                <w:szCs w:val="21"/>
              </w:rPr>
            </w:pPr>
            <w:r>
              <w:rPr>
                <w:rFonts w:ascii="宋体" w:hAnsi="宋体"/>
                <w:b/>
                <w:szCs w:val="21"/>
              </w:rPr>
              <w:t>商品名称</w:t>
            </w:r>
          </w:p>
        </w:tc>
        <w:tc>
          <w:tcPr>
            <w:tcW w:w="1822" w:type="dxa"/>
            <w:tcBorders>
              <w:top w:val="single" w:color="auto" w:sz="6" w:space="0"/>
              <w:left w:val="single" w:color="auto" w:sz="6" w:space="0"/>
              <w:bottom w:val="single" w:color="auto" w:sz="6" w:space="0"/>
              <w:right w:val="single" w:color="auto" w:sz="6" w:space="0"/>
            </w:tcBorders>
            <w:vAlign w:val="center"/>
          </w:tcPr>
          <w:p w14:paraId="0E569778">
            <w:pPr>
              <w:jc w:val="center"/>
              <w:rPr>
                <w:rFonts w:ascii="宋体" w:hAnsi="宋体"/>
                <w:b/>
                <w:szCs w:val="21"/>
              </w:rPr>
            </w:pPr>
            <w:r>
              <w:rPr>
                <w:rFonts w:ascii="宋体" w:hAnsi="宋体"/>
                <w:b/>
                <w:szCs w:val="21"/>
              </w:rPr>
              <w:t>规 格</w:t>
            </w:r>
          </w:p>
        </w:tc>
        <w:tc>
          <w:tcPr>
            <w:tcW w:w="572" w:type="dxa"/>
            <w:tcBorders>
              <w:top w:val="single" w:color="auto" w:sz="6" w:space="0"/>
              <w:left w:val="single" w:color="auto" w:sz="6" w:space="0"/>
              <w:bottom w:val="single" w:color="auto" w:sz="6" w:space="0"/>
              <w:right w:val="single" w:color="auto" w:sz="6" w:space="0"/>
            </w:tcBorders>
            <w:vAlign w:val="center"/>
          </w:tcPr>
          <w:p w14:paraId="2AFD8786">
            <w:pPr>
              <w:jc w:val="center"/>
              <w:rPr>
                <w:rFonts w:ascii="宋体" w:hAnsi="宋体"/>
                <w:b/>
                <w:szCs w:val="21"/>
              </w:rPr>
            </w:pPr>
            <w:r>
              <w:rPr>
                <w:rFonts w:ascii="宋体" w:hAnsi="宋体"/>
                <w:b/>
                <w:szCs w:val="21"/>
              </w:rPr>
              <w:t>单位</w:t>
            </w:r>
          </w:p>
        </w:tc>
        <w:tc>
          <w:tcPr>
            <w:tcW w:w="713" w:type="dxa"/>
            <w:tcBorders>
              <w:top w:val="single" w:color="auto" w:sz="6" w:space="0"/>
              <w:left w:val="single" w:color="auto" w:sz="6" w:space="0"/>
              <w:bottom w:val="single" w:color="auto" w:sz="6" w:space="0"/>
              <w:right w:val="single" w:color="auto" w:sz="6" w:space="0"/>
            </w:tcBorders>
            <w:vAlign w:val="center"/>
          </w:tcPr>
          <w:p w14:paraId="5B44EA9B">
            <w:pPr>
              <w:jc w:val="center"/>
              <w:rPr>
                <w:rFonts w:ascii="宋体" w:hAnsi="宋体"/>
                <w:b/>
                <w:szCs w:val="21"/>
              </w:rPr>
            </w:pPr>
            <w:r>
              <w:rPr>
                <w:rFonts w:ascii="宋体" w:hAnsi="宋体"/>
                <w:b/>
                <w:szCs w:val="21"/>
              </w:rPr>
              <w:t>数量</w:t>
            </w:r>
          </w:p>
        </w:tc>
        <w:tc>
          <w:tcPr>
            <w:tcW w:w="2268" w:type="dxa"/>
            <w:tcBorders>
              <w:top w:val="single" w:color="auto" w:sz="6" w:space="0"/>
              <w:left w:val="single" w:color="auto" w:sz="6" w:space="0"/>
              <w:bottom w:val="single" w:color="auto" w:sz="6" w:space="0"/>
              <w:right w:val="single" w:color="auto" w:sz="6" w:space="0"/>
            </w:tcBorders>
            <w:vAlign w:val="center"/>
          </w:tcPr>
          <w:p w14:paraId="7DE92EB8">
            <w:pPr>
              <w:jc w:val="center"/>
              <w:rPr>
                <w:rFonts w:ascii="宋体" w:hAnsi="宋体"/>
                <w:b/>
                <w:szCs w:val="21"/>
              </w:rPr>
            </w:pPr>
            <w:r>
              <w:rPr>
                <w:rFonts w:ascii="宋体" w:hAnsi="宋体"/>
                <w:b/>
                <w:szCs w:val="21"/>
              </w:rPr>
              <w:t>备注</w:t>
            </w:r>
          </w:p>
        </w:tc>
      </w:tr>
      <w:tr w14:paraId="79645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7" w:hRule="atLeast"/>
          <w:tblHeader/>
          <w:jc w:val="center"/>
        </w:trPr>
        <w:tc>
          <w:tcPr>
            <w:tcW w:w="687" w:type="dxa"/>
            <w:tcBorders>
              <w:top w:val="single" w:color="auto" w:sz="6" w:space="0"/>
              <w:left w:val="single" w:color="auto" w:sz="6" w:space="0"/>
              <w:bottom w:val="single" w:color="auto" w:sz="6" w:space="0"/>
              <w:right w:val="single" w:color="auto" w:sz="6" w:space="0"/>
            </w:tcBorders>
            <w:vAlign w:val="center"/>
          </w:tcPr>
          <w:p w14:paraId="55C2AAFF">
            <w:pPr>
              <w:jc w:val="center"/>
              <w:rPr>
                <w:rFonts w:ascii="宋体" w:hAnsi="宋体"/>
                <w:b/>
                <w:szCs w:val="21"/>
              </w:rPr>
            </w:pPr>
            <w:r>
              <w:rPr>
                <w:rFonts w:ascii="宋体" w:hAnsi="宋体"/>
                <w:szCs w:val="21"/>
              </w:rPr>
              <w:t>1</w:t>
            </w:r>
          </w:p>
        </w:tc>
        <w:tc>
          <w:tcPr>
            <w:tcW w:w="2325" w:type="dxa"/>
            <w:tcBorders>
              <w:top w:val="single" w:color="auto" w:sz="6" w:space="0"/>
              <w:left w:val="single" w:color="auto" w:sz="6" w:space="0"/>
              <w:bottom w:val="single" w:color="auto" w:sz="6" w:space="0"/>
              <w:right w:val="single" w:color="auto" w:sz="6" w:space="0"/>
            </w:tcBorders>
            <w:vAlign w:val="center"/>
          </w:tcPr>
          <w:p w14:paraId="2826DCAB">
            <w:pPr>
              <w:jc w:val="center"/>
              <w:rPr>
                <w:rFonts w:ascii="宋体" w:hAnsi="宋体"/>
                <w:szCs w:val="21"/>
              </w:rPr>
            </w:pPr>
            <w:r>
              <w:rPr>
                <w:rFonts w:hint="eastAsia" w:ascii="宋体" w:hAnsi="宋体"/>
                <w:szCs w:val="21"/>
              </w:rPr>
              <w:t>500kV海缆抢修接头</w:t>
            </w:r>
          </w:p>
        </w:tc>
        <w:tc>
          <w:tcPr>
            <w:tcW w:w="1822" w:type="dxa"/>
            <w:tcBorders>
              <w:top w:val="single" w:color="auto" w:sz="6" w:space="0"/>
              <w:left w:val="single" w:color="auto" w:sz="6" w:space="0"/>
              <w:bottom w:val="single" w:color="auto" w:sz="6" w:space="0"/>
              <w:right w:val="single" w:color="auto" w:sz="6" w:space="0"/>
            </w:tcBorders>
            <w:vAlign w:val="center"/>
          </w:tcPr>
          <w:p w14:paraId="75EC5267">
            <w:pPr>
              <w:jc w:val="center"/>
              <w:rPr>
                <w:rFonts w:ascii="宋体" w:hAnsi="宋体"/>
                <w:szCs w:val="21"/>
              </w:rPr>
            </w:pPr>
            <w:r>
              <w:rPr>
                <w:rFonts w:hint="eastAsia" w:ascii="宋体" w:hAnsi="宋体"/>
                <w:szCs w:val="21"/>
              </w:rPr>
              <w:t>三相，匹配1000截面</w:t>
            </w:r>
          </w:p>
        </w:tc>
        <w:tc>
          <w:tcPr>
            <w:tcW w:w="572" w:type="dxa"/>
            <w:tcBorders>
              <w:top w:val="single" w:color="auto" w:sz="6" w:space="0"/>
              <w:left w:val="single" w:color="auto" w:sz="6" w:space="0"/>
              <w:bottom w:val="single" w:color="auto" w:sz="6" w:space="0"/>
              <w:right w:val="single" w:color="auto" w:sz="6" w:space="0"/>
            </w:tcBorders>
            <w:vAlign w:val="center"/>
          </w:tcPr>
          <w:p w14:paraId="062221CC">
            <w:pPr>
              <w:jc w:val="center"/>
              <w:rPr>
                <w:rFonts w:ascii="宋体" w:hAnsi="宋体"/>
                <w:szCs w:val="21"/>
              </w:rPr>
            </w:pPr>
            <w:r>
              <w:rPr>
                <w:rFonts w:hint="eastAsia" w:ascii="宋体" w:hAnsi="宋体"/>
                <w:szCs w:val="21"/>
              </w:rPr>
              <w:t>套</w:t>
            </w:r>
          </w:p>
        </w:tc>
        <w:tc>
          <w:tcPr>
            <w:tcW w:w="713" w:type="dxa"/>
            <w:tcBorders>
              <w:top w:val="single" w:color="auto" w:sz="6" w:space="0"/>
              <w:left w:val="single" w:color="auto" w:sz="6" w:space="0"/>
              <w:bottom w:val="single" w:color="auto" w:sz="6" w:space="0"/>
              <w:right w:val="single" w:color="auto" w:sz="6" w:space="0"/>
            </w:tcBorders>
            <w:vAlign w:val="center"/>
          </w:tcPr>
          <w:p w14:paraId="667743A2">
            <w:pPr>
              <w:jc w:val="center"/>
              <w:rPr>
                <w:rFonts w:ascii="宋体" w:hAnsi="宋体"/>
                <w:szCs w:val="21"/>
              </w:rPr>
            </w:pPr>
            <w:r>
              <w:rPr>
                <w:rFonts w:hint="eastAsia" w:ascii="宋体" w:hAnsi="宋体"/>
                <w:szCs w:val="21"/>
              </w:rPr>
              <w:t>2</w:t>
            </w:r>
          </w:p>
        </w:tc>
        <w:tc>
          <w:tcPr>
            <w:tcW w:w="2268" w:type="dxa"/>
            <w:tcBorders>
              <w:top w:val="single" w:color="auto" w:sz="6" w:space="0"/>
              <w:left w:val="single" w:color="auto" w:sz="6" w:space="0"/>
              <w:bottom w:val="single" w:color="auto" w:sz="6" w:space="0"/>
              <w:right w:val="single" w:color="auto" w:sz="6" w:space="0"/>
            </w:tcBorders>
            <w:vAlign w:val="center"/>
          </w:tcPr>
          <w:p w14:paraId="086A845B">
            <w:pPr>
              <w:jc w:val="center"/>
              <w:rPr>
                <w:rFonts w:ascii="宋体" w:hAnsi="宋体"/>
                <w:szCs w:val="21"/>
              </w:rPr>
            </w:pPr>
          </w:p>
        </w:tc>
      </w:tr>
      <w:tr w14:paraId="3FA69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687" w:type="dxa"/>
            <w:tcBorders>
              <w:top w:val="single" w:color="auto" w:sz="6" w:space="0"/>
              <w:left w:val="single" w:color="auto" w:sz="6" w:space="0"/>
              <w:bottom w:val="single" w:color="auto" w:sz="6" w:space="0"/>
              <w:right w:val="single" w:color="auto" w:sz="6" w:space="0"/>
            </w:tcBorders>
            <w:vAlign w:val="center"/>
          </w:tcPr>
          <w:p w14:paraId="1A551B5F">
            <w:pPr>
              <w:jc w:val="center"/>
              <w:rPr>
                <w:rFonts w:ascii="宋体" w:hAnsi="宋体"/>
                <w:szCs w:val="21"/>
              </w:rPr>
            </w:pPr>
            <w:r>
              <w:rPr>
                <w:rFonts w:hint="eastAsia" w:ascii="宋体" w:hAnsi="宋体"/>
                <w:szCs w:val="21"/>
              </w:rPr>
              <w:t>2</w:t>
            </w:r>
          </w:p>
        </w:tc>
        <w:tc>
          <w:tcPr>
            <w:tcW w:w="2325" w:type="dxa"/>
            <w:tcBorders>
              <w:top w:val="single" w:color="auto" w:sz="6" w:space="0"/>
              <w:left w:val="single" w:color="auto" w:sz="6" w:space="0"/>
              <w:bottom w:val="single" w:color="auto" w:sz="6" w:space="0"/>
              <w:right w:val="single" w:color="auto" w:sz="6" w:space="0"/>
            </w:tcBorders>
            <w:vAlign w:val="center"/>
          </w:tcPr>
          <w:p w14:paraId="4E07CC79">
            <w:pPr>
              <w:jc w:val="center"/>
              <w:rPr>
                <w:rFonts w:ascii="宋体" w:hAnsi="宋体" w:cs="宋体"/>
                <w:szCs w:val="21"/>
              </w:rPr>
            </w:pPr>
            <w:r>
              <w:rPr>
                <w:rFonts w:ascii="宋体" w:hAnsi="宋体"/>
                <w:szCs w:val="21"/>
              </w:rPr>
              <w:t>海缆弯曲限制器</w:t>
            </w:r>
          </w:p>
        </w:tc>
        <w:tc>
          <w:tcPr>
            <w:tcW w:w="1822" w:type="dxa"/>
            <w:tcBorders>
              <w:top w:val="single" w:color="auto" w:sz="6" w:space="0"/>
              <w:left w:val="single" w:color="auto" w:sz="6" w:space="0"/>
              <w:bottom w:val="single" w:color="auto" w:sz="6" w:space="0"/>
              <w:right w:val="single" w:color="auto" w:sz="6" w:space="0"/>
            </w:tcBorders>
            <w:vAlign w:val="center"/>
          </w:tcPr>
          <w:p w14:paraId="1C3C2A4E">
            <w:pPr>
              <w:jc w:val="center"/>
              <w:rPr>
                <w:rFonts w:ascii="宋体" w:hAnsi="宋体" w:cs="宋体"/>
                <w:szCs w:val="21"/>
              </w:rPr>
            </w:pPr>
            <w:r>
              <w:rPr>
                <w:rFonts w:ascii="宋体" w:hAnsi="宋体"/>
                <w:szCs w:val="21"/>
              </w:rPr>
              <w:t>20m/套</w:t>
            </w:r>
          </w:p>
        </w:tc>
        <w:tc>
          <w:tcPr>
            <w:tcW w:w="572" w:type="dxa"/>
            <w:tcBorders>
              <w:top w:val="single" w:color="auto" w:sz="6" w:space="0"/>
              <w:left w:val="single" w:color="auto" w:sz="6" w:space="0"/>
              <w:bottom w:val="single" w:color="auto" w:sz="6" w:space="0"/>
              <w:right w:val="single" w:color="auto" w:sz="6" w:space="0"/>
            </w:tcBorders>
            <w:vAlign w:val="center"/>
          </w:tcPr>
          <w:p w14:paraId="4B2FBED6">
            <w:pPr>
              <w:jc w:val="center"/>
              <w:rPr>
                <w:rFonts w:ascii="宋体" w:hAnsi="宋体" w:cs="宋体"/>
                <w:szCs w:val="21"/>
              </w:rPr>
            </w:pPr>
            <w:r>
              <w:rPr>
                <w:rFonts w:ascii="宋体" w:hAnsi="宋体"/>
                <w:szCs w:val="21"/>
              </w:rPr>
              <w:t>套</w:t>
            </w:r>
          </w:p>
        </w:tc>
        <w:tc>
          <w:tcPr>
            <w:tcW w:w="713" w:type="dxa"/>
            <w:tcBorders>
              <w:top w:val="single" w:color="auto" w:sz="6" w:space="0"/>
              <w:left w:val="single" w:color="auto" w:sz="6" w:space="0"/>
              <w:bottom w:val="single" w:color="auto" w:sz="6" w:space="0"/>
              <w:right w:val="single" w:color="auto" w:sz="6" w:space="0"/>
            </w:tcBorders>
            <w:vAlign w:val="center"/>
          </w:tcPr>
          <w:p w14:paraId="01B9030B">
            <w:pPr>
              <w:snapToGrid w:val="0"/>
              <w:jc w:val="center"/>
              <w:rPr>
                <w:rFonts w:ascii="宋体" w:hAnsi="宋体"/>
                <w:color w:val="000000"/>
                <w:szCs w:val="21"/>
              </w:rPr>
            </w:pPr>
            <w:r>
              <w:rPr>
                <w:rFonts w:hint="eastAsia" w:ascii="宋体" w:hAnsi="宋体"/>
                <w:color w:val="000000"/>
                <w:szCs w:val="21"/>
              </w:rPr>
              <w:t>4</w:t>
            </w:r>
          </w:p>
        </w:tc>
        <w:tc>
          <w:tcPr>
            <w:tcW w:w="2268" w:type="dxa"/>
            <w:tcBorders>
              <w:top w:val="single" w:color="auto" w:sz="6" w:space="0"/>
              <w:left w:val="single" w:color="auto" w:sz="6" w:space="0"/>
              <w:bottom w:val="single" w:color="auto" w:sz="6" w:space="0"/>
              <w:right w:val="single" w:color="auto" w:sz="6" w:space="0"/>
            </w:tcBorders>
            <w:vAlign w:val="center"/>
          </w:tcPr>
          <w:p w14:paraId="31B674AB">
            <w:pPr>
              <w:rPr>
                <w:rFonts w:ascii="宋体" w:hAnsi="宋体"/>
                <w:bCs/>
                <w:szCs w:val="21"/>
              </w:rPr>
            </w:pPr>
          </w:p>
        </w:tc>
      </w:tr>
      <w:tr w14:paraId="4826D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687" w:type="dxa"/>
            <w:tcBorders>
              <w:top w:val="single" w:color="auto" w:sz="6" w:space="0"/>
              <w:left w:val="single" w:color="auto" w:sz="6" w:space="0"/>
              <w:bottom w:val="single" w:color="auto" w:sz="6" w:space="0"/>
              <w:right w:val="single" w:color="auto" w:sz="6" w:space="0"/>
            </w:tcBorders>
            <w:vAlign w:val="center"/>
          </w:tcPr>
          <w:p w14:paraId="75CA71C1">
            <w:pPr>
              <w:jc w:val="center"/>
              <w:rPr>
                <w:rFonts w:ascii="宋体" w:hAnsi="宋体"/>
                <w:szCs w:val="21"/>
              </w:rPr>
            </w:pPr>
            <w:r>
              <w:rPr>
                <w:rFonts w:hint="eastAsia" w:ascii="宋体" w:hAnsi="宋体"/>
                <w:szCs w:val="21"/>
              </w:rPr>
              <w:t>3</w:t>
            </w:r>
          </w:p>
        </w:tc>
        <w:tc>
          <w:tcPr>
            <w:tcW w:w="2325" w:type="dxa"/>
            <w:tcBorders>
              <w:top w:val="single" w:color="auto" w:sz="6" w:space="0"/>
              <w:left w:val="single" w:color="auto" w:sz="6" w:space="0"/>
              <w:bottom w:val="single" w:color="auto" w:sz="6" w:space="0"/>
              <w:right w:val="single" w:color="auto" w:sz="6" w:space="0"/>
            </w:tcBorders>
            <w:vAlign w:val="center"/>
          </w:tcPr>
          <w:p w14:paraId="727AF99D">
            <w:pPr>
              <w:jc w:val="center"/>
              <w:rPr>
                <w:rFonts w:ascii="宋体" w:hAnsi="宋体" w:cs="宋体"/>
                <w:szCs w:val="21"/>
              </w:rPr>
            </w:pPr>
            <w:r>
              <w:rPr>
                <w:rFonts w:hint="eastAsia" w:ascii="宋体" w:hAnsi="宋体"/>
                <w:szCs w:val="21"/>
              </w:rPr>
              <w:t>光缆接头盒</w:t>
            </w:r>
          </w:p>
        </w:tc>
        <w:tc>
          <w:tcPr>
            <w:tcW w:w="1822" w:type="dxa"/>
            <w:tcBorders>
              <w:top w:val="single" w:color="auto" w:sz="6" w:space="0"/>
              <w:left w:val="single" w:color="auto" w:sz="6" w:space="0"/>
              <w:bottom w:val="single" w:color="auto" w:sz="6" w:space="0"/>
              <w:right w:val="single" w:color="auto" w:sz="6" w:space="0"/>
            </w:tcBorders>
            <w:vAlign w:val="center"/>
          </w:tcPr>
          <w:p w14:paraId="72C6E9A7">
            <w:pPr>
              <w:jc w:val="center"/>
              <w:rPr>
                <w:rFonts w:ascii="宋体" w:hAnsi="宋体" w:cs="宋体"/>
                <w:szCs w:val="21"/>
              </w:rPr>
            </w:pPr>
            <w:r>
              <w:rPr>
                <w:rFonts w:hint="eastAsia" w:ascii="宋体" w:hAnsi="宋体" w:cs="宋体"/>
                <w:szCs w:val="21"/>
              </w:rPr>
              <w:t>96芯</w:t>
            </w:r>
          </w:p>
        </w:tc>
        <w:tc>
          <w:tcPr>
            <w:tcW w:w="572" w:type="dxa"/>
            <w:tcBorders>
              <w:top w:val="single" w:color="auto" w:sz="6" w:space="0"/>
              <w:left w:val="single" w:color="auto" w:sz="6" w:space="0"/>
              <w:bottom w:val="single" w:color="auto" w:sz="6" w:space="0"/>
              <w:right w:val="single" w:color="auto" w:sz="6" w:space="0"/>
            </w:tcBorders>
            <w:vAlign w:val="center"/>
          </w:tcPr>
          <w:p w14:paraId="53FEA1FB">
            <w:pPr>
              <w:jc w:val="center"/>
              <w:rPr>
                <w:rFonts w:ascii="宋体" w:hAnsi="宋体" w:cs="宋体"/>
                <w:szCs w:val="21"/>
              </w:rPr>
            </w:pPr>
            <w:r>
              <w:rPr>
                <w:rFonts w:ascii="宋体" w:hAnsi="宋体"/>
                <w:szCs w:val="21"/>
              </w:rPr>
              <w:t>套</w:t>
            </w:r>
          </w:p>
        </w:tc>
        <w:tc>
          <w:tcPr>
            <w:tcW w:w="713" w:type="dxa"/>
            <w:tcBorders>
              <w:top w:val="single" w:color="auto" w:sz="6" w:space="0"/>
              <w:left w:val="single" w:color="auto" w:sz="6" w:space="0"/>
              <w:bottom w:val="single" w:color="auto" w:sz="6" w:space="0"/>
              <w:right w:val="single" w:color="auto" w:sz="6" w:space="0"/>
            </w:tcBorders>
            <w:vAlign w:val="center"/>
          </w:tcPr>
          <w:p w14:paraId="6A98ECD4">
            <w:pPr>
              <w:snapToGrid w:val="0"/>
              <w:jc w:val="center"/>
              <w:rPr>
                <w:rFonts w:ascii="宋体" w:hAnsi="宋体"/>
                <w:color w:val="000000"/>
                <w:szCs w:val="21"/>
              </w:rPr>
            </w:pPr>
            <w:r>
              <w:rPr>
                <w:rFonts w:hint="eastAsia" w:ascii="宋体" w:hAnsi="宋体"/>
                <w:color w:val="000000"/>
                <w:szCs w:val="21"/>
              </w:rPr>
              <w:t>6</w:t>
            </w:r>
          </w:p>
        </w:tc>
        <w:tc>
          <w:tcPr>
            <w:tcW w:w="2268" w:type="dxa"/>
            <w:tcBorders>
              <w:top w:val="single" w:color="auto" w:sz="6" w:space="0"/>
              <w:left w:val="single" w:color="auto" w:sz="6" w:space="0"/>
              <w:bottom w:val="single" w:color="auto" w:sz="6" w:space="0"/>
              <w:right w:val="single" w:color="auto" w:sz="6" w:space="0"/>
            </w:tcBorders>
            <w:vAlign w:val="center"/>
          </w:tcPr>
          <w:p w14:paraId="07C26845">
            <w:pPr>
              <w:rPr>
                <w:rFonts w:ascii="宋体" w:hAnsi="宋体"/>
                <w:bCs/>
                <w:szCs w:val="21"/>
              </w:rPr>
            </w:pPr>
          </w:p>
        </w:tc>
      </w:tr>
    </w:tbl>
    <w:p w14:paraId="16229C41">
      <w:pPr>
        <w:pStyle w:val="284"/>
      </w:pPr>
      <w:bookmarkStart w:id="258" w:name="_Toc385582829"/>
      <w:bookmarkStart w:id="259" w:name="_Toc387613599"/>
      <w:bookmarkStart w:id="260" w:name="_Toc232443386"/>
      <w:bookmarkStart w:id="261" w:name="_Toc383444147"/>
      <w:bookmarkStart w:id="262" w:name="_Toc226123971"/>
      <w:bookmarkStart w:id="263" w:name="_Toc22302732"/>
      <w:r>
        <w:rPr>
          <w:rFonts w:hint="eastAsia"/>
        </w:rPr>
        <w:t>11</w:t>
      </w:r>
      <w:r>
        <w:t xml:space="preserve"> </w:t>
      </w:r>
      <w:r>
        <w:rPr>
          <w:rFonts w:hint="eastAsia"/>
        </w:rPr>
        <w:t>与其他专业接口要求</w:t>
      </w:r>
      <w:bookmarkEnd w:id="258"/>
      <w:bookmarkEnd w:id="259"/>
      <w:bookmarkEnd w:id="260"/>
      <w:bookmarkEnd w:id="261"/>
      <w:bookmarkEnd w:id="262"/>
      <w:bookmarkEnd w:id="263"/>
    </w:p>
    <w:p w14:paraId="48D12E2C">
      <w:pPr>
        <w:pStyle w:val="286"/>
      </w:pPr>
      <w:bookmarkStart w:id="264" w:name="_Toc226123972"/>
      <w:bookmarkStart w:id="265" w:name="_Toc387613601"/>
      <w:bookmarkStart w:id="266" w:name="_Toc383439656"/>
      <w:bookmarkStart w:id="267" w:name="_Toc385582831"/>
      <w:bookmarkStart w:id="268" w:name="_Toc22302734"/>
      <w:bookmarkStart w:id="269" w:name="_Toc383444149"/>
      <w:bookmarkStart w:id="270" w:name="_Toc232443387"/>
      <w:bookmarkStart w:id="271" w:name="_Toc385582005"/>
      <w:r>
        <w:t>1</w:t>
      </w:r>
      <w:r>
        <w:rPr>
          <w:rFonts w:hint="eastAsia"/>
        </w:rPr>
        <w:t>1.</w:t>
      </w:r>
      <w:r>
        <w:t>1</w:t>
      </w:r>
      <w:r>
        <w:rPr>
          <w:rFonts w:hint="eastAsia"/>
        </w:rPr>
        <w:t xml:space="preserve"> 变电专业接口</w:t>
      </w:r>
      <w:bookmarkEnd w:id="264"/>
      <w:bookmarkEnd w:id="265"/>
      <w:bookmarkEnd w:id="266"/>
      <w:bookmarkEnd w:id="267"/>
      <w:bookmarkEnd w:id="268"/>
      <w:bookmarkEnd w:id="269"/>
      <w:bookmarkEnd w:id="270"/>
      <w:bookmarkEnd w:id="271"/>
    </w:p>
    <w:p w14:paraId="1BE52F8B">
      <w:pPr>
        <w:pStyle w:val="288"/>
      </w:pPr>
      <w:r>
        <w:rPr>
          <w:rFonts w:hint="eastAsia"/>
        </w:rPr>
        <w:t>本工程海缆线路与变电专业分界面在海缆G</w:t>
      </w:r>
      <w:r>
        <w:t>IS</w:t>
      </w:r>
      <w:r>
        <w:rPr>
          <w:rFonts w:hint="eastAsia"/>
        </w:rPr>
        <w:t>终端处。海缆</w:t>
      </w:r>
      <w:r>
        <w:t>GIS</w:t>
      </w:r>
      <w:r>
        <w:rPr>
          <w:rFonts w:hint="eastAsia"/>
        </w:rPr>
        <w:t>终端头、终端站围墙内海缆本体与终端站围墙内其他海缆本体涉及的附件（如海缆抱箍等）由投标方配置。其他站内G</w:t>
      </w:r>
      <w:r>
        <w:t>IS</w:t>
      </w:r>
      <w:r>
        <w:rPr>
          <w:rFonts w:hint="eastAsia"/>
        </w:rPr>
        <w:t>设备，如G</w:t>
      </w:r>
      <w:r>
        <w:t>IS</w:t>
      </w:r>
      <w:r>
        <w:rPr>
          <w:rFonts w:hint="eastAsia"/>
        </w:rPr>
        <w:t>套筒，G</w:t>
      </w:r>
      <w:r>
        <w:t>IS</w:t>
      </w:r>
      <w:r>
        <w:rPr>
          <w:rFonts w:hint="eastAsia"/>
        </w:rPr>
        <w:t>分支母线等，由变电专业负责。</w:t>
      </w:r>
    </w:p>
    <w:p w14:paraId="425DAE01">
      <w:pPr>
        <w:pStyle w:val="286"/>
      </w:pPr>
      <w:bookmarkStart w:id="272" w:name="_Toc232443388"/>
      <w:bookmarkStart w:id="273" w:name="_Toc385582006"/>
      <w:bookmarkStart w:id="274" w:name="_Toc383444150"/>
      <w:bookmarkStart w:id="275" w:name="_Toc22302735"/>
      <w:bookmarkStart w:id="276" w:name="_Toc387613602"/>
      <w:bookmarkStart w:id="277" w:name="_Toc226123973"/>
      <w:bookmarkStart w:id="278" w:name="_Toc385582832"/>
      <w:bookmarkStart w:id="279" w:name="_Toc383439657"/>
      <w:r>
        <w:t>1</w:t>
      </w:r>
      <w:r>
        <w:rPr>
          <w:rFonts w:hint="eastAsia"/>
        </w:rPr>
        <w:t>1.</w:t>
      </w:r>
      <w:r>
        <w:t>2</w:t>
      </w:r>
      <w:r>
        <w:rPr>
          <w:rFonts w:hint="eastAsia"/>
        </w:rPr>
        <w:t xml:space="preserve"> 陆上土建接口</w:t>
      </w:r>
      <w:bookmarkEnd w:id="272"/>
      <w:bookmarkEnd w:id="273"/>
      <w:bookmarkEnd w:id="274"/>
      <w:bookmarkEnd w:id="275"/>
      <w:bookmarkEnd w:id="276"/>
      <w:bookmarkEnd w:id="277"/>
      <w:bookmarkEnd w:id="278"/>
      <w:bookmarkEnd w:id="279"/>
    </w:p>
    <w:bookmarkEnd w:id="224"/>
    <w:bookmarkEnd w:id="225"/>
    <w:bookmarkEnd w:id="226"/>
    <w:bookmarkEnd w:id="227"/>
    <w:bookmarkEnd w:id="228"/>
    <w:bookmarkEnd w:id="229"/>
    <w:bookmarkEnd w:id="230"/>
    <w:bookmarkEnd w:id="231"/>
    <w:bookmarkEnd w:id="232"/>
    <w:bookmarkEnd w:id="233"/>
    <w:bookmarkEnd w:id="234"/>
    <w:p w14:paraId="1EE93348">
      <w:pPr>
        <w:pStyle w:val="288"/>
      </w:pPr>
      <w:r>
        <w:rPr>
          <w:rFonts w:hint="eastAsia"/>
        </w:rPr>
        <w:t>本工程海缆线路与陆上土建专业分界面在海缆登陆点处。海缆登陆后，陆上锚固井、单仓电缆沟与双仓电缆沟等设施建筑，均由陆上土建专业负责。但针对海缆本体施工，如海缆锚固井内接地施工、海缆抱箍安装与海缆电缆沟回填土等工作，由海缆线路专业负责。</w:t>
      </w:r>
    </w:p>
    <w:p w14:paraId="73611F9A">
      <w:pPr>
        <w:pStyle w:val="286"/>
      </w:pPr>
      <w:bookmarkStart w:id="280" w:name="_Toc232443389"/>
      <w:bookmarkStart w:id="281" w:name="_Toc226123974"/>
      <w:r>
        <w:rPr>
          <w:rFonts w:hint="eastAsia"/>
        </w:rPr>
        <w:t>11.3</w:t>
      </w:r>
      <w:r>
        <w:t xml:space="preserve"> </w:t>
      </w:r>
      <w:r>
        <w:rPr>
          <w:rFonts w:hint="eastAsia"/>
        </w:rPr>
        <w:t>海缆设备厂家与海缆施工厂家接口</w:t>
      </w:r>
      <w:bookmarkEnd w:id="280"/>
      <w:bookmarkEnd w:id="281"/>
    </w:p>
    <w:p w14:paraId="70065DF7">
      <w:pPr>
        <w:pStyle w:val="288"/>
      </w:pPr>
      <w:r>
        <w:rPr>
          <w:rFonts w:hint="eastAsia"/>
        </w:rPr>
        <w:t>本工程的海缆设备与海缆施工分界面设置如下表所示。</w:t>
      </w:r>
    </w:p>
    <w:tbl>
      <w:tblPr>
        <w:tblStyle w:val="85"/>
        <w:tblW w:w="9060" w:type="dxa"/>
        <w:tblInd w:w="0" w:type="dxa"/>
        <w:tblLayout w:type="autofit"/>
        <w:tblCellMar>
          <w:top w:w="15" w:type="dxa"/>
          <w:left w:w="15" w:type="dxa"/>
          <w:bottom w:w="15" w:type="dxa"/>
          <w:right w:w="15" w:type="dxa"/>
        </w:tblCellMar>
      </w:tblPr>
      <w:tblGrid>
        <w:gridCol w:w="1361"/>
        <w:gridCol w:w="4977"/>
        <w:gridCol w:w="1361"/>
        <w:gridCol w:w="1361"/>
      </w:tblGrid>
      <w:tr w14:paraId="7A5D57BE">
        <w:tblPrEx>
          <w:tblCellMar>
            <w:top w:w="15" w:type="dxa"/>
            <w:left w:w="15" w:type="dxa"/>
            <w:bottom w:w="15" w:type="dxa"/>
            <w:right w:w="15" w:type="dxa"/>
          </w:tblCellMar>
        </w:tblPrEx>
        <w:trPr>
          <w:trHeight w:val="360" w:hRule="atLeast"/>
        </w:trPr>
        <w:tc>
          <w:tcPr>
            <w:tcW w:w="1361" w:type="dxa"/>
            <w:vMerge w:val="restart"/>
            <w:tcBorders>
              <w:top w:val="single" w:color="000000" w:sz="4" w:space="0"/>
              <w:left w:val="single" w:color="000000" w:sz="4" w:space="0"/>
              <w:bottom w:val="single" w:color="000000" w:sz="4" w:space="0"/>
              <w:right w:val="single" w:color="000000" w:sz="4" w:space="0"/>
            </w:tcBorders>
            <w:noWrap/>
            <w:vAlign w:val="center"/>
          </w:tcPr>
          <w:p w14:paraId="3F4FB2DC">
            <w:pPr>
              <w:widowControl/>
              <w:jc w:val="center"/>
              <w:rPr>
                <w:rFonts w:ascii="宋体" w:hAnsi="宋体" w:cs="宋体"/>
                <w:color w:val="000000"/>
                <w:kern w:val="0"/>
                <w:sz w:val="20"/>
                <w:szCs w:val="20"/>
              </w:rPr>
            </w:pPr>
            <w:r>
              <w:rPr>
                <w:rFonts w:hint="eastAsia" w:ascii="宋体" w:hAnsi="宋体" w:cs="宋体"/>
                <w:color w:val="000000"/>
                <w:kern w:val="0"/>
                <w:sz w:val="20"/>
                <w:szCs w:val="20"/>
              </w:rPr>
              <w:t>序号</w:t>
            </w:r>
          </w:p>
        </w:tc>
        <w:tc>
          <w:tcPr>
            <w:tcW w:w="4977" w:type="dxa"/>
            <w:vMerge w:val="restart"/>
            <w:tcBorders>
              <w:top w:val="single" w:color="000000" w:sz="4" w:space="0"/>
              <w:left w:val="single" w:color="000000" w:sz="4" w:space="0"/>
              <w:bottom w:val="single" w:color="000000" w:sz="4" w:space="0"/>
              <w:right w:val="single" w:color="000000" w:sz="4" w:space="0"/>
            </w:tcBorders>
            <w:noWrap/>
            <w:vAlign w:val="center"/>
          </w:tcPr>
          <w:p w14:paraId="6F8D6B93">
            <w:pPr>
              <w:widowControl/>
              <w:jc w:val="left"/>
              <w:rPr>
                <w:rFonts w:ascii="宋体" w:hAnsi="宋体" w:cs="宋体"/>
                <w:color w:val="000000"/>
                <w:kern w:val="0"/>
                <w:sz w:val="20"/>
                <w:szCs w:val="20"/>
              </w:rPr>
            </w:pPr>
            <w:r>
              <w:rPr>
                <w:rFonts w:hint="eastAsia" w:ascii="宋体" w:hAnsi="宋体" w:cs="宋体"/>
                <w:color w:val="000000"/>
                <w:kern w:val="0"/>
                <w:sz w:val="20"/>
                <w:szCs w:val="20"/>
              </w:rPr>
              <w:t>工作内容</w:t>
            </w:r>
          </w:p>
        </w:tc>
        <w:tc>
          <w:tcPr>
            <w:tcW w:w="2722" w:type="dxa"/>
            <w:gridSpan w:val="2"/>
            <w:tcBorders>
              <w:top w:val="single" w:color="000000" w:sz="4" w:space="0"/>
              <w:left w:val="single" w:color="000000" w:sz="4" w:space="0"/>
              <w:bottom w:val="single" w:color="000000" w:sz="4" w:space="0"/>
              <w:right w:val="single" w:color="000000" w:sz="4" w:space="0"/>
            </w:tcBorders>
            <w:noWrap/>
            <w:vAlign w:val="center"/>
          </w:tcPr>
          <w:p w14:paraId="1F64D573">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工作完成责任方</w:t>
            </w:r>
          </w:p>
        </w:tc>
      </w:tr>
      <w:tr w14:paraId="0867C03C">
        <w:tblPrEx>
          <w:tblCellMar>
            <w:top w:w="15" w:type="dxa"/>
            <w:left w:w="15" w:type="dxa"/>
            <w:bottom w:w="15" w:type="dxa"/>
            <w:right w:w="15"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9FC125A">
            <w:pPr>
              <w:widowControl/>
              <w:jc w:val="left"/>
              <w:rPr>
                <w:rFonts w:ascii="宋体" w:hAnsi="宋体" w:cs="宋体"/>
                <w:color w:val="000000"/>
                <w:kern w:val="0"/>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658EA21">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1C1AA8E4">
            <w:pPr>
              <w:widowControl/>
              <w:jc w:val="center"/>
              <w:rPr>
                <w:rFonts w:ascii="宋体" w:hAnsi="宋体" w:cs="宋体"/>
                <w:color w:val="000000"/>
                <w:kern w:val="0"/>
                <w:sz w:val="20"/>
                <w:szCs w:val="20"/>
              </w:rPr>
            </w:pPr>
            <w:r>
              <w:rPr>
                <w:rFonts w:hint="eastAsia" w:ascii="宋体" w:hAnsi="宋体" w:cs="宋体"/>
                <w:color w:val="000000"/>
                <w:kern w:val="0"/>
                <w:sz w:val="20"/>
                <w:szCs w:val="20"/>
              </w:rPr>
              <w:t>海缆施工</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5CDEF72">
            <w:pPr>
              <w:widowControl/>
              <w:jc w:val="center"/>
              <w:rPr>
                <w:rFonts w:ascii="宋体" w:hAnsi="宋体" w:cs="宋体"/>
                <w:color w:val="000000"/>
                <w:kern w:val="0"/>
                <w:sz w:val="20"/>
                <w:szCs w:val="20"/>
              </w:rPr>
            </w:pPr>
            <w:r>
              <w:rPr>
                <w:rFonts w:hint="eastAsia" w:ascii="宋体" w:hAnsi="宋体" w:cs="宋体"/>
                <w:color w:val="000000"/>
                <w:kern w:val="0"/>
                <w:sz w:val="20"/>
                <w:szCs w:val="20"/>
              </w:rPr>
              <w:t>海缆生产</w:t>
            </w:r>
          </w:p>
        </w:tc>
      </w:tr>
      <w:tr w14:paraId="1BC7E3DD">
        <w:tblPrEx>
          <w:tblCellMar>
            <w:top w:w="15" w:type="dxa"/>
            <w:left w:w="15" w:type="dxa"/>
            <w:bottom w:w="15" w:type="dxa"/>
            <w:right w:w="15" w:type="dxa"/>
          </w:tblCellMar>
        </w:tblPrEx>
        <w:trPr>
          <w:trHeight w:val="360" w:hRule="atLeast"/>
        </w:trPr>
        <w:tc>
          <w:tcPr>
            <w:tcW w:w="9060" w:type="dxa"/>
            <w:gridSpan w:val="4"/>
            <w:tcBorders>
              <w:top w:val="single" w:color="000000" w:sz="4" w:space="0"/>
              <w:left w:val="single" w:color="000000" w:sz="4" w:space="0"/>
              <w:right w:val="single" w:color="000000" w:sz="4" w:space="0"/>
            </w:tcBorders>
            <w:noWrap/>
            <w:vAlign w:val="center"/>
          </w:tcPr>
          <w:p w14:paraId="0F466CC8">
            <w:pPr>
              <w:widowControl/>
              <w:jc w:val="center"/>
              <w:rPr>
                <w:rFonts w:ascii="宋体" w:hAnsi="宋体" w:cs="宋体"/>
                <w:color w:val="000000"/>
                <w:kern w:val="0"/>
                <w:sz w:val="20"/>
                <w:szCs w:val="20"/>
              </w:rPr>
            </w:pPr>
            <w:r>
              <w:rPr>
                <w:rFonts w:hint="eastAsia" w:ascii="宋体" w:hAnsi="宋体" w:cs="宋体"/>
                <w:color w:val="000000"/>
                <w:kern w:val="0"/>
                <w:sz w:val="20"/>
                <w:szCs w:val="20"/>
              </w:rPr>
              <w:t>提供设备物资</w:t>
            </w:r>
          </w:p>
        </w:tc>
      </w:tr>
      <w:tr w14:paraId="2E3DEED1">
        <w:tblPrEx>
          <w:tblCellMar>
            <w:top w:w="15" w:type="dxa"/>
            <w:left w:w="15" w:type="dxa"/>
            <w:bottom w:w="15" w:type="dxa"/>
            <w:right w:w="15" w:type="dxa"/>
          </w:tblCellMar>
        </w:tblPrEx>
        <w:trPr>
          <w:trHeight w:val="60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5E7D5965">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vAlign w:val="center"/>
          </w:tcPr>
          <w:p w14:paraId="09DB55CE">
            <w:pPr>
              <w:widowControl/>
              <w:jc w:val="left"/>
              <w:rPr>
                <w:rFonts w:ascii="宋体" w:hAnsi="宋体" w:cs="宋体"/>
                <w:color w:val="000000"/>
                <w:kern w:val="0"/>
                <w:sz w:val="20"/>
                <w:szCs w:val="20"/>
              </w:rPr>
            </w:pPr>
            <w:r>
              <w:rPr>
                <w:rFonts w:hint="eastAsia" w:ascii="宋体" w:hAnsi="宋体" w:cs="宋体"/>
                <w:color w:val="000000"/>
                <w:kern w:val="0"/>
                <w:sz w:val="20"/>
                <w:szCs w:val="20"/>
              </w:rPr>
              <w:t>提供海缆、海缆终端、中心夹具和弯曲限制器、海缆锚固装置、光缆接续盒、接地箱、接地电缆等设备物资</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E7778B5">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085E8C6D">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1E7B3595">
        <w:tblPrEx>
          <w:tblCellMar>
            <w:top w:w="15" w:type="dxa"/>
            <w:left w:w="15" w:type="dxa"/>
            <w:bottom w:w="15" w:type="dxa"/>
            <w:right w:w="15" w:type="dxa"/>
          </w:tblCellMar>
        </w:tblPrEx>
        <w:trPr>
          <w:trHeight w:val="360" w:hRule="atLeast"/>
        </w:trPr>
        <w:tc>
          <w:tcPr>
            <w:tcW w:w="9060" w:type="dxa"/>
            <w:gridSpan w:val="4"/>
            <w:tcBorders>
              <w:left w:val="single" w:color="000000" w:sz="4" w:space="0"/>
              <w:bottom w:val="single" w:color="000000" w:sz="4" w:space="0"/>
              <w:right w:val="single" w:color="000000" w:sz="4" w:space="0"/>
            </w:tcBorders>
            <w:noWrap/>
            <w:vAlign w:val="center"/>
          </w:tcPr>
          <w:p w14:paraId="18FF8AC4">
            <w:pPr>
              <w:widowControl/>
              <w:jc w:val="center"/>
              <w:rPr>
                <w:rFonts w:ascii="宋体" w:hAnsi="宋体" w:cs="宋体"/>
                <w:color w:val="000000"/>
                <w:kern w:val="0"/>
                <w:sz w:val="20"/>
                <w:szCs w:val="20"/>
              </w:rPr>
            </w:pPr>
            <w:r>
              <w:rPr>
                <w:rFonts w:hint="eastAsia" w:ascii="宋体" w:hAnsi="宋体" w:cs="宋体"/>
                <w:color w:val="000000"/>
                <w:kern w:val="0"/>
                <w:sz w:val="20"/>
                <w:szCs w:val="20"/>
              </w:rPr>
              <w:t>施工方案</w:t>
            </w:r>
          </w:p>
        </w:tc>
      </w:tr>
      <w:tr w14:paraId="5F710EDB">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77C34754">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vAlign w:val="center"/>
          </w:tcPr>
          <w:p w14:paraId="1994562F">
            <w:pPr>
              <w:widowControl/>
              <w:jc w:val="left"/>
              <w:rPr>
                <w:rFonts w:ascii="宋体" w:hAnsi="宋体" w:cs="宋体"/>
                <w:color w:val="000000"/>
                <w:kern w:val="0"/>
                <w:sz w:val="20"/>
                <w:szCs w:val="20"/>
              </w:rPr>
            </w:pPr>
            <w:r>
              <w:rPr>
                <w:rFonts w:hint="eastAsia" w:ascii="宋体" w:hAnsi="宋体" w:cs="宋体"/>
                <w:color w:val="000000"/>
                <w:kern w:val="0"/>
                <w:sz w:val="20"/>
                <w:szCs w:val="20"/>
              </w:rPr>
              <w:t>编制施工方案，内容包括但不限于施工总进度计划、施工方法及措施、施工范围、施工器具及相关计算书、施工图纸</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ABAF581">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1694B0E">
            <w:pPr>
              <w:widowControl/>
              <w:jc w:val="center"/>
              <w:rPr>
                <w:rFonts w:ascii="宋体" w:hAnsi="宋体" w:cs="宋体"/>
                <w:color w:val="000000"/>
                <w:kern w:val="0"/>
                <w:sz w:val="20"/>
                <w:szCs w:val="20"/>
              </w:rPr>
            </w:pPr>
          </w:p>
        </w:tc>
      </w:tr>
      <w:tr w14:paraId="1AF4E934">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3DF4C">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2421">
            <w:pPr>
              <w:widowControl/>
              <w:jc w:val="left"/>
              <w:rPr>
                <w:rFonts w:ascii="宋体" w:hAnsi="宋体" w:cs="宋体"/>
                <w:color w:val="000000"/>
                <w:kern w:val="0"/>
                <w:sz w:val="20"/>
                <w:szCs w:val="20"/>
              </w:rPr>
            </w:pPr>
            <w:r>
              <w:rPr>
                <w:rFonts w:hint="eastAsia" w:ascii="宋体" w:hAnsi="宋体" w:cs="宋体"/>
                <w:color w:val="000000"/>
                <w:kern w:val="0"/>
                <w:sz w:val="20"/>
                <w:szCs w:val="20"/>
              </w:rPr>
              <w:t>配合开展施工方案评审，内容包括但不限于施工总进度计划、施工方法及措施、施工范围、施工器具及相关计算书、施工图纸</w:t>
            </w:r>
          </w:p>
        </w:tc>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8BE55">
            <w:pPr>
              <w:widowControl/>
              <w:jc w:val="center"/>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AB37F">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4F7948D6">
        <w:tblPrEx>
          <w:tblCellMar>
            <w:top w:w="15" w:type="dxa"/>
            <w:left w:w="15" w:type="dxa"/>
            <w:bottom w:w="15" w:type="dxa"/>
            <w:right w:w="15" w:type="dxa"/>
          </w:tblCellMar>
        </w:tblPrEx>
        <w:trPr>
          <w:trHeight w:val="360" w:hRule="atLeast"/>
        </w:trPr>
        <w:tc>
          <w:tcPr>
            <w:tcW w:w="9060" w:type="dxa"/>
            <w:gridSpan w:val="4"/>
            <w:tcBorders>
              <w:top w:val="single" w:color="000000" w:sz="4" w:space="0"/>
              <w:left w:val="single" w:color="000000" w:sz="4" w:space="0"/>
              <w:bottom w:val="single" w:color="000000" w:sz="4" w:space="0"/>
              <w:right w:val="single" w:color="000000" w:sz="4" w:space="0"/>
            </w:tcBorders>
            <w:noWrap/>
            <w:vAlign w:val="center"/>
          </w:tcPr>
          <w:p w14:paraId="40A3301B">
            <w:pPr>
              <w:widowControl/>
              <w:jc w:val="center"/>
              <w:rPr>
                <w:rFonts w:ascii="宋体" w:hAnsi="宋体" w:cs="宋体"/>
                <w:color w:val="000000"/>
                <w:kern w:val="0"/>
                <w:sz w:val="20"/>
                <w:szCs w:val="20"/>
              </w:rPr>
            </w:pPr>
            <w:r>
              <w:rPr>
                <w:rFonts w:hint="eastAsia" w:ascii="宋体" w:hAnsi="宋体" w:cs="宋体"/>
                <w:color w:val="000000"/>
                <w:kern w:val="0"/>
                <w:sz w:val="20"/>
                <w:szCs w:val="20"/>
              </w:rPr>
              <w:t>前期手续</w:t>
            </w:r>
          </w:p>
        </w:tc>
      </w:tr>
      <w:tr w14:paraId="68A84A76">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7AEC0917">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4C259EE8">
            <w:pPr>
              <w:widowControl/>
              <w:jc w:val="left"/>
              <w:rPr>
                <w:rFonts w:ascii="宋体" w:hAnsi="宋体" w:cs="宋体"/>
                <w:color w:val="000000"/>
                <w:kern w:val="0"/>
                <w:sz w:val="20"/>
                <w:szCs w:val="20"/>
              </w:rPr>
            </w:pPr>
            <w:r>
              <w:rPr>
                <w:rFonts w:hint="eastAsia" w:ascii="宋体" w:hAnsi="宋体" w:cs="宋体"/>
                <w:color w:val="000000"/>
                <w:kern w:val="0"/>
                <w:sz w:val="20"/>
                <w:szCs w:val="20"/>
              </w:rPr>
              <w:t>提供办理手续清单及必须资料</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A4E0551">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7E2EE8DC">
            <w:pPr>
              <w:widowControl/>
              <w:jc w:val="center"/>
              <w:rPr>
                <w:rFonts w:ascii="宋体" w:hAnsi="宋体" w:cs="宋体"/>
                <w:color w:val="000000"/>
                <w:kern w:val="0"/>
                <w:sz w:val="20"/>
                <w:szCs w:val="20"/>
              </w:rPr>
            </w:pPr>
          </w:p>
        </w:tc>
      </w:tr>
      <w:tr w14:paraId="13B7BB17">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1B3D8B87">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231E7AC8">
            <w:pPr>
              <w:widowControl/>
              <w:jc w:val="left"/>
              <w:rPr>
                <w:rFonts w:ascii="宋体" w:hAnsi="宋体" w:cs="宋体"/>
                <w:color w:val="000000"/>
                <w:kern w:val="0"/>
                <w:sz w:val="20"/>
                <w:szCs w:val="20"/>
              </w:rPr>
            </w:pPr>
            <w:r>
              <w:rPr>
                <w:rFonts w:hint="eastAsia" w:ascii="宋体" w:hAnsi="宋体" w:cs="宋体"/>
                <w:color w:val="000000"/>
                <w:kern w:val="0"/>
                <w:sz w:val="20"/>
                <w:szCs w:val="20"/>
              </w:rPr>
              <w:t>施工批准手续</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3592219">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D7DF1F2">
            <w:pPr>
              <w:widowControl/>
              <w:jc w:val="center"/>
              <w:rPr>
                <w:rFonts w:ascii="宋体" w:hAnsi="宋体" w:cs="宋体"/>
                <w:color w:val="000000"/>
                <w:kern w:val="0"/>
                <w:sz w:val="20"/>
                <w:szCs w:val="20"/>
              </w:rPr>
            </w:pPr>
          </w:p>
        </w:tc>
      </w:tr>
      <w:tr w14:paraId="3DB17686">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A9123AC">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7D122771">
            <w:pPr>
              <w:widowControl/>
              <w:jc w:val="left"/>
              <w:rPr>
                <w:rFonts w:ascii="宋体" w:hAnsi="宋体" w:cs="宋体"/>
                <w:color w:val="000000"/>
                <w:kern w:val="0"/>
                <w:sz w:val="20"/>
                <w:szCs w:val="20"/>
              </w:rPr>
            </w:pPr>
            <w:r>
              <w:rPr>
                <w:rFonts w:hint="eastAsia" w:ascii="宋体" w:hAnsi="宋体" w:cs="宋体"/>
                <w:color w:val="000000"/>
                <w:kern w:val="0"/>
                <w:sz w:val="20"/>
                <w:szCs w:val="20"/>
              </w:rPr>
              <w:t>施工过程中可能涉及的青赔工作</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C800F77">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17DE13FC">
            <w:pPr>
              <w:widowControl/>
              <w:jc w:val="center"/>
              <w:rPr>
                <w:rFonts w:ascii="宋体" w:hAnsi="宋体" w:cs="宋体"/>
                <w:color w:val="000000"/>
                <w:kern w:val="0"/>
                <w:sz w:val="20"/>
                <w:szCs w:val="20"/>
              </w:rPr>
            </w:pPr>
          </w:p>
        </w:tc>
      </w:tr>
      <w:tr w14:paraId="58ED0FD5">
        <w:tblPrEx>
          <w:tblCellMar>
            <w:top w:w="15" w:type="dxa"/>
            <w:left w:w="15" w:type="dxa"/>
            <w:bottom w:w="15" w:type="dxa"/>
            <w:right w:w="15" w:type="dxa"/>
          </w:tblCellMar>
        </w:tblPrEx>
        <w:trPr>
          <w:trHeight w:val="360" w:hRule="atLeast"/>
        </w:trPr>
        <w:tc>
          <w:tcPr>
            <w:tcW w:w="9060" w:type="dxa"/>
            <w:gridSpan w:val="4"/>
            <w:tcBorders>
              <w:top w:val="single" w:color="000000" w:sz="4" w:space="0"/>
              <w:left w:val="single" w:color="000000" w:sz="4" w:space="0"/>
              <w:bottom w:val="single" w:color="000000" w:sz="4" w:space="0"/>
              <w:right w:val="single" w:color="000000" w:sz="4" w:space="0"/>
            </w:tcBorders>
            <w:noWrap/>
            <w:vAlign w:val="center"/>
          </w:tcPr>
          <w:p w14:paraId="5C1CD390">
            <w:pPr>
              <w:widowControl/>
              <w:jc w:val="center"/>
              <w:rPr>
                <w:rFonts w:ascii="宋体" w:hAnsi="宋体" w:cs="宋体"/>
                <w:color w:val="000000"/>
                <w:kern w:val="0"/>
                <w:sz w:val="20"/>
                <w:szCs w:val="20"/>
              </w:rPr>
            </w:pPr>
            <w:r>
              <w:rPr>
                <w:rFonts w:hint="eastAsia" w:ascii="宋体" w:hAnsi="宋体" w:cs="宋体"/>
                <w:color w:val="000000"/>
                <w:kern w:val="0"/>
                <w:sz w:val="20"/>
                <w:szCs w:val="20"/>
              </w:rPr>
              <w:t>海缆倒缆及运输</w:t>
            </w:r>
          </w:p>
        </w:tc>
      </w:tr>
      <w:tr w14:paraId="7F869FC0">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19853406">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26299542">
            <w:pPr>
              <w:widowControl/>
              <w:jc w:val="left"/>
              <w:rPr>
                <w:rFonts w:ascii="宋体" w:hAnsi="宋体" w:cs="宋体"/>
                <w:color w:val="000000"/>
                <w:kern w:val="0"/>
                <w:sz w:val="20"/>
                <w:szCs w:val="20"/>
              </w:rPr>
            </w:pPr>
            <w:r>
              <w:rPr>
                <w:rFonts w:hint="eastAsia" w:ascii="宋体" w:hAnsi="宋体" w:cs="宋体"/>
                <w:color w:val="000000"/>
                <w:kern w:val="0"/>
                <w:sz w:val="20"/>
                <w:szCs w:val="20"/>
              </w:rPr>
              <w:t>提供靠船码头与各类装船、起重机械</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44FDEF8">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7298957">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7877EDCD">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6AAB7E16">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5010FD37">
            <w:pPr>
              <w:widowControl/>
              <w:jc w:val="left"/>
              <w:rPr>
                <w:rFonts w:ascii="宋体" w:hAnsi="宋体" w:cs="宋体"/>
                <w:color w:val="000000"/>
                <w:kern w:val="0"/>
                <w:sz w:val="20"/>
                <w:szCs w:val="20"/>
              </w:rPr>
            </w:pPr>
            <w:r>
              <w:rPr>
                <w:rFonts w:hint="eastAsia" w:ascii="宋体" w:hAnsi="宋体" w:cs="宋体"/>
                <w:color w:val="000000"/>
                <w:kern w:val="0"/>
                <w:sz w:val="20"/>
                <w:szCs w:val="20"/>
              </w:rPr>
              <w:t>完成海缆装船工艺，码头工作面上的操作</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6CEFE0C">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DF4EEBF">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6F345EAE">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2BEAB833">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66A95790">
            <w:pPr>
              <w:widowControl/>
              <w:jc w:val="left"/>
              <w:rPr>
                <w:rFonts w:ascii="宋体" w:hAnsi="宋体" w:cs="宋体"/>
                <w:color w:val="000000"/>
                <w:kern w:val="0"/>
                <w:sz w:val="20"/>
                <w:szCs w:val="20"/>
              </w:rPr>
            </w:pPr>
            <w:r>
              <w:rPr>
                <w:rFonts w:hint="eastAsia" w:ascii="宋体" w:hAnsi="宋体" w:cs="宋体"/>
                <w:color w:val="000000"/>
                <w:kern w:val="0"/>
                <w:sz w:val="20"/>
                <w:szCs w:val="20"/>
              </w:rPr>
              <w:t>海缆装船前的测试</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099123C1">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01560EE">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51321282">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47211958">
            <w:pPr>
              <w:widowControl/>
              <w:jc w:val="center"/>
              <w:rPr>
                <w:rFonts w:ascii="宋体" w:hAnsi="宋体" w:cs="宋体"/>
                <w:color w:val="000000"/>
                <w:kern w:val="0"/>
                <w:sz w:val="20"/>
                <w:szCs w:val="20"/>
              </w:rPr>
            </w:pPr>
            <w:r>
              <w:rPr>
                <w:rFonts w:ascii="宋体" w:hAnsi="宋体" w:cs="宋体"/>
                <w:color w:val="000000"/>
                <w:kern w:val="0"/>
                <w:sz w:val="20"/>
                <w:szCs w:val="20"/>
              </w:rPr>
              <w:t>4</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5BD6209B">
            <w:pPr>
              <w:widowControl/>
              <w:jc w:val="left"/>
              <w:rPr>
                <w:rFonts w:ascii="宋体" w:hAnsi="宋体" w:cs="宋体"/>
                <w:color w:val="000000"/>
                <w:kern w:val="0"/>
                <w:sz w:val="20"/>
                <w:szCs w:val="20"/>
              </w:rPr>
            </w:pPr>
            <w:r>
              <w:rPr>
                <w:rFonts w:hint="eastAsia" w:ascii="宋体" w:hAnsi="宋体" w:cs="宋体"/>
                <w:color w:val="000000"/>
                <w:kern w:val="0"/>
                <w:sz w:val="20"/>
                <w:szCs w:val="20"/>
              </w:rPr>
              <w:t>海缆装船完成后的交接试验</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0ADB9C4">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3BC7DC6">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695F57C1">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CEF8E">
            <w:pPr>
              <w:widowControl/>
              <w:jc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4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C465">
            <w:pPr>
              <w:widowControl/>
              <w:jc w:val="left"/>
              <w:rPr>
                <w:rFonts w:ascii="宋体" w:hAnsi="宋体" w:cs="宋体"/>
                <w:color w:val="000000"/>
                <w:kern w:val="0"/>
                <w:sz w:val="20"/>
                <w:szCs w:val="20"/>
              </w:rPr>
            </w:pPr>
            <w:r>
              <w:rPr>
                <w:rFonts w:hint="eastAsia" w:ascii="宋体" w:hAnsi="宋体" w:cs="宋体"/>
                <w:color w:val="000000"/>
                <w:kern w:val="0"/>
                <w:sz w:val="20"/>
                <w:szCs w:val="20"/>
              </w:rPr>
              <w:t>负责接缆期间码头上的现场安全</w:t>
            </w:r>
          </w:p>
        </w:tc>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13E2B">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ACB8B">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32681091">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9B6732A">
            <w:pPr>
              <w:widowControl/>
              <w:jc w:val="center"/>
              <w:rPr>
                <w:rFonts w:ascii="宋体" w:hAnsi="宋体" w:cs="宋体"/>
                <w:color w:val="000000"/>
                <w:kern w:val="0"/>
                <w:sz w:val="20"/>
                <w:szCs w:val="20"/>
              </w:rPr>
            </w:pPr>
            <w:r>
              <w:rPr>
                <w:rFonts w:hint="eastAsia" w:ascii="宋体" w:hAnsi="宋体" w:cs="宋体"/>
                <w:color w:val="000000"/>
                <w:kern w:val="0"/>
                <w:sz w:val="20"/>
                <w:szCs w:val="20"/>
              </w:rPr>
              <w:t>6</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376CC2E3">
            <w:pPr>
              <w:widowControl/>
              <w:jc w:val="left"/>
              <w:rPr>
                <w:rFonts w:ascii="宋体" w:hAnsi="宋体" w:cs="宋体"/>
                <w:color w:val="000000"/>
                <w:kern w:val="0"/>
                <w:sz w:val="20"/>
                <w:szCs w:val="20"/>
              </w:rPr>
            </w:pPr>
            <w:r>
              <w:rPr>
                <w:rFonts w:hint="eastAsia" w:ascii="宋体" w:hAnsi="宋体" w:cs="宋体"/>
                <w:color w:val="000000"/>
                <w:kern w:val="0"/>
                <w:sz w:val="20"/>
                <w:szCs w:val="20"/>
              </w:rPr>
              <w:t>将合适的船只按要求调遣至接货码头</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27D53E2">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7D07E1A2">
            <w:pPr>
              <w:widowControl/>
              <w:jc w:val="center"/>
              <w:rPr>
                <w:rFonts w:ascii="宋体" w:hAnsi="宋体" w:cs="宋体"/>
                <w:color w:val="000000"/>
                <w:kern w:val="0"/>
                <w:sz w:val="20"/>
                <w:szCs w:val="20"/>
              </w:rPr>
            </w:pPr>
          </w:p>
        </w:tc>
      </w:tr>
      <w:tr w14:paraId="022031F4">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5D50694F">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70E4E558">
            <w:pPr>
              <w:widowControl/>
              <w:jc w:val="left"/>
              <w:rPr>
                <w:rFonts w:ascii="宋体" w:hAnsi="宋体" w:cs="宋体"/>
                <w:color w:val="000000"/>
                <w:kern w:val="0"/>
                <w:sz w:val="20"/>
                <w:szCs w:val="20"/>
              </w:rPr>
            </w:pPr>
            <w:r>
              <w:rPr>
                <w:rFonts w:hint="eastAsia" w:ascii="宋体" w:hAnsi="宋体" w:cs="宋体"/>
                <w:color w:val="000000"/>
                <w:kern w:val="0"/>
                <w:sz w:val="20"/>
                <w:szCs w:val="20"/>
              </w:rPr>
              <w:t>配合完成接缆期间的现场安全</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183F6585">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3265F3B">
            <w:pPr>
              <w:widowControl/>
              <w:jc w:val="center"/>
              <w:rPr>
                <w:rFonts w:ascii="宋体" w:hAnsi="宋体" w:cs="宋体"/>
                <w:color w:val="000000"/>
                <w:kern w:val="0"/>
                <w:sz w:val="20"/>
                <w:szCs w:val="20"/>
              </w:rPr>
            </w:pPr>
          </w:p>
        </w:tc>
      </w:tr>
      <w:tr w14:paraId="4332A425">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2829171D">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4B68733A">
            <w:pPr>
              <w:widowControl/>
              <w:jc w:val="left"/>
              <w:rPr>
                <w:rFonts w:ascii="宋体" w:hAnsi="宋体" w:cs="宋体"/>
                <w:color w:val="000000"/>
                <w:kern w:val="0"/>
                <w:sz w:val="20"/>
                <w:szCs w:val="20"/>
              </w:rPr>
            </w:pPr>
            <w:r>
              <w:rPr>
                <w:rFonts w:hint="eastAsia" w:ascii="宋体" w:hAnsi="宋体" w:cs="宋体"/>
                <w:color w:val="000000"/>
                <w:kern w:val="0"/>
                <w:sz w:val="20"/>
                <w:szCs w:val="20"/>
              </w:rPr>
              <w:t>海缆装船工艺，船只工作面上的操作</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011951B0">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35F89B4">
            <w:pPr>
              <w:widowControl/>
              <w:jc w:val="center"/>
              <w:rPr>
                <w:rFonts w:ascii="宋体" w:hAnsi="宋体" w:cs="宋体"/>
                <w:color w:val="000000"/>
                <w:kern w:val="0"/>
                <w:sz w:val="20"/>
                <w:szCs w:val="20"/>
              </w:rPr>
            </w:pPr>
          </w:p>
        </w:tc>
      </w:tr>
      <w:tr w14:paraId="1BBC7D35">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8CFF803">
            <w:pPr>
              <w:widowControl/>
              <w:jc w:val="center"/>
              <w:rPr>
                <w:rFonts w:ascii="宋体" w:hAnsi="宋体" w:cs="宋体"/>
                <w:color w:val="000000"/>
                <w:kern w:val="0"/>
                <w:sz w:val="20"/>
                <w:szCs w:val="20"/>
              </w:rPr>
            </w:pPr>
            <w:r>
              <w:rPr>
                <w:rFonts w:hint="eastAsia" w:ascii="宋体" w:hAnsi="宋体" w:cs="宋体"/>
                <w:color w:val="000000"/>
                <w:kern w:val="0"/>
                <w:sz w:val="20"/>
                <w:szCs w:val="20"/>
              </w:rPr>
              <w:t>9</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2D6A3307">
            <w:pPr>
              <w:widowControl/>
              <w:jc w:val="left"/>
              <w:rPr>
                <w:rFonts w:ascii="宋体" w:hAnsi="宋体" w:cs="宋体"/>
                <w:color w:val="000000"/>
                <w:kern w:val="0"/>
                <w:sz w:val="20"/>
                <w:szCs w:val="20"/>
              </w:rPr>
            </w:pPr>
            <w:r>
              <w:rPr>
                <w:rFonts w:hint="eastAsia" w:ascii="宋体" w:hAnsi="宋体" w:cs="宋体"/>
                <w:color w:val="000000"/>
                <w:kern w:val="0"/>
                <w:sz w:val="20"/>
                <w:szCs w:val="20"/>
              </w:rPr>
              <w:t>负责接缆期间船上的现场安全</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E346643">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1B440690">
            <w:pPr>
              <w:widowControl/>
              <w:jc w:val="center"/>
              <w:rPr>
                <w:rFonts w:ascii="宋体" w:hAnsi="宋体" w:cs="宋体"/>
                <w:color w:val="000000"/>
                <w:kern w:val="0"/>
                <w:sz w:val="20"/>
                <w:szCs w:val="20"/>
              </w:rPr>
            </w:pPr>
          </w:p>
        </w:tc>
      </w:tr>
      <w:tr w14:paraId="38B41DA7">
        <w:tblPrEx>
          <w:tblCellMar>
            <w:top w:w="15" w:type="dxa"/>
            <w:left w:w="15" w:type="dxa"/>
            <w:bottom w:w="15" w:type="dxa"/>
            <w:right w:w="15" w:type="dxa"/>
          </w:tblCellMar>
        </w:tblPrEx>
        <w:trPr>
          <w:trHeight w:val="360" w:hRule="atLeast"/>
        </w:trPr>
        <w:tc>
          <w:tcPr>
            <w:tcW w:w="9060" w:type="dxa"/>
            <w:gridSpan w:val="4"/>
            <w:tcBorders>
              <w:top w:val="single" w:color="000000" w:sz="4" w:space="0"/>
              <w:left w:val="single" w:color="000000" w:sz="4" w:space="0"/>
              <w:bottom w:val="single" w:color="000000" w:sz="4" w:space="0"/>
              <w:right w:val="single" w:color="000000" w:sz="4" w:space="0"/>
            </w:tcBorders>
            <w:noWrap/>
            <w:vAlign w:val="center"/>
          </w:tcPr>
          <w:p w14:paraId="291C2B41">
            <w:pPr>
              <w:widowControl/>
              <w:jc w:val="center"/>
              <w:rPr>
                <w:rFonts w:ascii="宋体" w:hAnsi="宋体" w:cs="宋体"/>
                <w:color w:val="000000"/>
                <w:kern w:val="0"/>
                <w:sz w:val="20"/>
                <w:szCs w:val="20"/>
              </w:rPr>
            </w:pPr>
            <w:r>
              <w:rPr>
                <w:rFonts w:hint="eastAsia" w:ascii="宋体" w:hAnsi="宋体" w:cs="宋体"/>
                <w:color w:val="000000"/>
                <w:kern w:val="0"/>
                <w:sz w:val="20"/>
                <w:szCs w:val="20"/>
              </w:rPr>
              <w:t>敷设前测量、扫海</w:t>
            </w:r>
          </w:p>
        </w:tc>
      </w:tr>
      <w:tr w14:paraId="6B5BE024">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70E25C9E">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37080825">
            <w:pPr>
              <w:widowControl/>
              <w:jc w:val="left"/>
              <w:rPr>
                <w:rFonts w:ascii="宋体" w:hAnsi="宋体" w:cs="宋体"/>
                <w:color w:val="000000"/>
                <w:kern w:val="0"/>
                <w:sz w:val="20"/>
                <w:szCs w:val="20"/>
              </w:rPr>
            </w:pPr>
            <w:r>
              <w:rPr>
                <w:rFonts w:hint="eastAsia" w:ascii="宋体" w:hAnsi="宋体" w:cs="宋体"/>
                <w:color w:val="000000"/>
                <w:kern w:val="0"/>
                <w:sz w:val="20"/>
                <w:szCs w:val="20"/>
              </w:rPr>
              <w:t>开展含声呐探测及视频拍摄的测量工作</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A2D38E6">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3ECB801">
            <w:pPr>
              <w:widowControl/>
              <w:jc w:val="center"/>
              <w:rPr>
                <w:rFonts w:ascii="宋体" w:hAnsi="宋体" w:cs="宋体"/>
                <w:color w:val="000000"/>
                <w:kern w:val="0"/>
                <w:sz w:val="20"/>
                <w:szCs w:val="20"/>
              </w:rPr>
            </w:pPr>
          </w:p>
        </w:tc>
      </w:tr>
      <w:tr w14:paraId="55DEC0F8">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3EB2C6DB">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6B838A1C">
            <w:pPr>
              <w:widowControl/>
              <w:jc w:val="left"/>
              <w:rPr>
                <w:rFonts w:ascii="宋体" w:hAnsi="宋体" w:cs="宋体"/>
                <w:color w:val="000000"/>
                <w:kern w:val="0"/>
                <w:sz w:val="20"/>
                <w:szCs w:val="20"/>
              </w:rPr>
            </w:pPr>
            <w:r>
              <w:rPr>
                <w:rFonts w:hint="eastAsia" w:ascii="宋体" w:hAnsi="宋体" w:cs="宋体"/>
                <w:color w:val="000000"/>
                <w:kern w:val="0"/>
                <w:sz w:val="20"/>
                <w:szCs w:val="20"/>
              </w:rPr>
              <w:t>扫海清障</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0564A1C">
            <w:pPr>
              <w:widowControl/>
              <w:jc w:val="center"/>
              <w:rPr>
                <w:rFonts w:ascii="宋体" w:hAnsi="宋体" w:cs="宋体"/>
                <w:color w:val="000000"/>
                <w:kern w:val="0"/>
                <w:sz w:val="20"/>
                <w:szCs w:val="20"/>
              </w:rPr>
            </w:pPr>
            <w:bookmarkStart w:id="282" w:name="OLE_LINK3"/>
            <w:r>
              <w:rPr>
                <w:rFonts w:hint="eastAsia" w:ascii="宋体" w:hAnsi="宋体" w:cs="宋体"/>
                <w:color w:val="000000"/>
                <w:kern w:val="0"/>
                <w:sz w:val="20"/>
                <w:szCs w:val="20"/>
              </w:rPr>
              <w:t>√</w:t>
            </w:r>
            <w:bookmarkEnd w:id="282"/>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7965EA69">
            <w:pPr>
              <w:widowControl/>
              <w:jc w:val="center"/>
              <w:rPr>
                <w:rFonts w:ascii="宋体" w:hAnsi="宋体" w:cs="宋体"/>
                <w:color w:val="000000"/>
                <w:kern w:val="0"/>
                <w:sz w:val="20"/>
                <w:szCs w:val="20"/>
              </w:rPr>
            </w:pPr>
          </w:p>
        </w:tc>
      </w:tr>
      <w:tr w14:paraId="5D165DDC">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5D9DC9A0">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094CEFAC">
            <w:pPr>
              <w:widowControl/>
              <w:jc w:val="left"/>
              <w:rPr>
                <w:rFonts w:ascii="宋体" w:hAnsi="宋体" w:cs="宋体"/>
                <w:color w:val="000000"/>
                <w:kern w:val="0"/>
                <w:sz w:val="20"/>
                <w:szCs w:val="20"/>
              </w:rPr>
            </w:pPr>
            <w:r>
              <w:rPr>
                <w:rFonts w:hint="eastAsia" w:ascii="宋体" w:hAnsi="宋体" w:cs="宋体"/>
                <w:color w:val="000000"/>
                <w:kern w:val="0"/>
                <w:sz w:val="20"/>
                <w:szCs w:val="20"/>
              </w:rPr>
              <w:t>敷设前测量、扫海报告</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7934637">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17F996AE">
            <w:pPr>
              <w:widowControl/>
              <w:jc w:val="center"/>
              <w:rPr>
                <w:rFonts w:eastAsia="Times New Roman"/>
                <w:kern w:val="0"/>
                <w:sz w:val="20"/>
                <w:szCs w:val="20"/>
              </w:rPr>
            </w:pPr>
          </w:p>
        </w:tc>
      </w:tr>
      <w:tr w14:paraId="48C16653">
        <w:tblPrEx>
          <w:tblCellMar>
            <w:top w:w="15" w:type="dxa"/>
            <w:left w:w="15" w:type="dxa"/>
            <w:bottom w:w="15" w:type="dxa"/>
            <w:right w:w="15" w:type="dxa"/>
          </w:tblCellMar>
        </w:tblPrEx>
        <w:trPr>
          <w:trHeight w:val="360" w:hRule="atLeast"/>
        </w:trPr>
        <w:tc>
          <w:tcPr>
            <w:tcW w:w="9060" w:type="dxa"/>
            <w:gridSpan w:val="4"/>
            <w:tcBorders>
              <w:top w:val="single" w:color="000000" w:sz="4" w:space="0"/>
              <w:left w:val="single" w:color="000000" w:sz="4" w:space="0"/>
              <w:bottom w:val="single" w:color="000000" w:sz="4" w:space="0"/>
              <w:right w:val="single" w:color="000000" w:sz="4" w:space="0"/>
            </w:tcBorders>
            <w:noWrap/>
            <w:vAlign w:val="center"/>
          </w:tcPr>
          <w:p w14:paraId="3E1BBA28">
            <w:pPr>
              <w:widowControl/>
              <w:jc w:val="center"/>
              <w:rPr>
                <w:rFonts w:ascii="宋体" w:hAnsi="宋体" w:cs="宋体"/>
                <w:color w:val="000000"/>
                <w:kern w:val="0"/>
                <w:sz w:val="20"/>
                <w:szCs w:val="20"/>
              </w:rPr>
            </w:pPr>
            <w:r>
              <w:rPr>
                <w:rFonts w:hint="eastAsia" w:ascii="宋体" w:hAnsi="宋体" w:cs="宋体"/>
                <w:color w:val="000000"/>
                <w:kern w:val="0"/>
                <w:sz w:val="20"/>
                <w:szCs w:val="20"/>
              </w:rPr>
              <w:t>交越保护</w:t>
            </w:r>
          </w:p>
        </w:tc>
      </w:tr>
      <w:tr w14:paraId="68891601">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3E7F572B">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363FDE5E">
            <w:pPr>
              <w:widowControl/>
              <w:jc w:val="left"/>
              <w:rPr>
                <w:rFonts w:ascii="宋体" w:hAnsi="宋体" w:cs="宋体"/>
                <w:color w:val="000000"/>
                <w:kern w:val="0"/>
                <w:sz w:val="20"/>
                <w:szCs w:val="20"/>
              </w:rPr>
            </w:pPr>
            <w:r>
              <w:rPr>
                <w:rFonts w:hint="eastAsia" w:ascii="宋体" w:hAnsi="宋体" w:cs="宋体"/>
                <w:color w:val="000000"/>
                <w:kern w:val="0"/>
                <w:sz w:val="20"/>
                <w:szCs w:val="20"/>
              </w:rPr>
              <w:t>交越管线手续办理</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B429C81">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57AF154">
            <w:pPr>
              <w:widowControl/>
              <w:jc w:val="center"/>
              <w:rPr>
                <w:rFonts w:ascii="宋体" w:hAnsi="宋体" w:cs="宋体"/>
                <w:color w:val="000000"/>
                <w:kern w:val="0"/>
                <w:sz w:val="20"/>
                <w:szCs w:val="20"/>
              </w:rPr>
            </w:pPr>
          </w:p>
        </w:tc>
      </w:tr>
      <w:tr w14:paraId="75102640">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6E1E132E">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12D2BE5B">
            <w:pPr>
              <w:widowControl/>
              <w:jc w:val="left"/>
              <w:rPr>
                <w:rFonts w:ascii="宋体" w:hAnsi="宋体" w:cs="宋体"/>
                <w:color w:val="000000"/>
                <w:kern w:val="0"/>
                <w:sz w:val="20"/>
                <w:szCs w:val="20"/>
              </w:rPr>
            </w:pPr>
            <w:r>
              <w:rPr>
                <w:rFonts w:hint="eastAsia" w:ascii="宋体" w:hAnsi="宋体" w:cs="宋体"/>
                <w:color w:val="000000"/>
                <w:kern w:val="0"/>
                <w:sz w:val="20"/>
                <w:szCs w:val="20"/>
              </w:rPr>
              <w:t>交越保护装置安装</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9DD593D">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7BB54B21">
            <w:pPr>
              <w:widowControl/>
              <w:jc w:val="center"/>
              <w:rPr>
                <w:rFonts w:ascii="宋体" w:hAnsi="宋体" w:cs="宋体"/>
                <w:color w:val="000000"/>
                <w:kern w:val="0"/>
                <w:sz w:val="20"/>
                <w:szCs w:val="20"/>
              </w:rPr>
            </w:pPr>
          </w:p>
        </w:tc>
      </w:tr>
      <w:tr w14:paraId="41627A99">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798496F">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7845D541">
            <w:pPr>
              <w:widowControl/>
              <w:jc w:val="left"/>
              <w:rPr>
                <w:rFonts w:ascii="宋体" w:hAnsi="宋体" w:cs="宋体"/>
                <w:color w:val="000000"/>
                <w:kern w:val="0"/>
                <w:sz w:val="20"/>
                <w:szCs w:val="20"/>
              </w:rPr>
            </w:pPr>
            <w:r>
              <w:rPr>
                <w:rFonts w:hint="eastAsia" w:ascii="宋体" w:hAnsi="宋体" w:cs="宋体"/>
                <w:color w:val="000000"/>
                <w:kern w:val="0"/>
                <w:sz w:val="20"/>
                <w:szCs w:val="20"/>
              </w:rPr>
              <w:t>施工期间被交越管线的保护</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A1305B7">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6CF14EC">
            <w:pPr>
              <w:widowControl/>
              <w:jc w:val="center"/>
              <w:rPr>
                <w:rFonts w:ascii="宋体" w:hAnsi="宋体" w:cs="宋体"/>
                <w:color w:val="000000"/>
                <w:kern w:val="0"/>
                <w:sz w:val="20"/>
                <w:szCs w:val="20"/>
              </w:rPr>
            </w:pPr>
          </w:p>
        </w:tc>
      </w:tr>
      <w:tr w14:paraId="597CB9B6">
        <w:tblPrEx>
          <w:tblCellMar>
            <w:top w:w="15" w:type="dxa"/>
            <w:left w:w="15" w:type="dxa"/>
            <w:bottom w:w="15" w:type="dxa"/>
            <w:right w:w="15" w:type="dxa"/>
          </w:tblCellMar>
        </w:tblPrEx>
        <w:trPr>
          <w:trHeight w:val="360" w:hRule="atLeast"/>
        </w:trPr>
        <w:tc>
          <w:tcPr>
            <w:tcW w:w="9060" w:type="dxa"/>
            <w:gridSpan w:val="4"/>
            <w:tcBorders>
              <w:top w:val="single" w:color="000000" w:sz="4" w:space="0"/>
              <w:left w:val="single" w:color="000000" w:sz="4" w:space="0"/>
              <w:bottom w:val="single" w:color="000000" w:sz="4" w:space="0"/>
              <w:right w:val="single" w:color="000000" w:sz="4" w:space="0"/>
            </w:tcBorders>
            <w:noWrap/>
            <w:vAlign w:val="center"/>
          </w:tcPr>
          <w:p w14:paraId="7A0629C1">
            <w:pPr>
              <w:widowControl/>
              <w:jc w:val="center"/>
              <w:rPr>
                <w:rFonts w:ascii="宋体" w:hAnsi="宋体" w:cs="宋体"/>
                <w:color w:val="000000"/>
                <w:kern w:val="0"/>
                <w:sz w:val="20"/>
                <w:szCs w:val="20"/>
              </w:rPr>
            </w:pPr>
            <w:r>
              <w:rPr>
                <w:rFonts w:hint="eastAsia" w:ascii="宋体" w:hAnsi="宋体" w:cs="宋体"/>
                <w:color w:val="000000"/>
                <w:kern w:val="0"/>
                <w:sz w:val="20"/>
                <w:szCs w:val="20"/>
              </w:rPr>
              <w:t>海缆敷设及海缆保护</w:t>
            </w:r>
          </w:p>
        </w:tc>
      </w:tr>
      <w:tr w14:paraId="1FDAE577">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20ED6AD6">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4F2866E9">
            <w:pPr>
              <w:widowControl/>
              <w:jc w:val="left"/>
              <w:rPr>
                <w:rFonts w:ascii="宋体" w:hAnsi="宋体" w:cs="宋体"/>
                <w:color w:val="000000"/>
                <w:kern w:val="0"/>
                <w:sz w:val="20"/>
                <w:szCs w:val="20"/>
              </w:rPr>
            </w:pPr>
            <w:r>
              <w:rPr>
                <w:rFonts w:hint="eastAsia" w:ascii="宋体" w:hAnsi="宋体" w:cs="宋体"/>
                <w:color w:val="000000"/>
                <w:kern w:val="0"/>
                <w:sz w:val="20"/>
                <w:szCs w:val="20"/>
              </w:rPr>
              <w:t>海缆首端、末端登陆</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C00EA4F">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A29C798">
            <w:pPr>
              <w:widowControl/>
              <w:jc w:val="center"/>
              <w:rPr>
                <w:rFonts w:ascii="宋体" w:hAnsi="宋体" w:cs="宋体"/>
                <w:color w:val="000000"/>
                <w:kern w:val="0"/>
                <w:sz w:val="20"/>
                <w:szCs w:val="20"/>
              </w:rPr>
            </w:pPr>
          </w:p>
        </w:tc>
      </w:tr>
      <w:tr w14:paraId="7E6E831F">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2BA1D881">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7AFB9145">
            <w:pPr>
              <w:widowControl/>
              <w:jc w:val="left"/>
              <w:rPr>
                <w:rFonts w:ascii="宋体" w:hAnsi="宋体" w:cs="宋体"/>
                <w:color w:val="000000"/>
                <w:kern w:val="0"/>
                <w:sz w:val="20"/>
                <w:szCs w:val="20"/>
              </w:rPr>
            </w:pPr>
            <w:r>
              <w:rPr>
                <w:rFonts w:hint="eastAsia" w:ascii="宋体" w:hAnsi="宋体" w:cs="宋体"/>
                <w:color w:val="000000"/>
                <w:kern w:val="0"/>
                <w:sz w:val="20"/>
                <w:szCs w:val="20"/>
              </w:rPr>
              <w:t>完成海缆敷设及海缆保护</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000FE0D">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11F0778">
            <w:pPr>
              <w:widowControl/>
              <w:jc w:val="center"/>
              <w:rPr>
                <w:rFonts w:ascii="宋体" w:hAnsi="宋体" w:cs="宋体"/>
                <w:color w:val="000000"/>
                <w:kern w:val="0"/>
                <w:sz w:val="20"/>
                <w:szCs w:val="20"/>
              </w:rPr>
            </w:pPr>
          </w:p>
        </w:tc>
      </w:tr>
      <w:tr w14:paraId="15547B8B">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70A9381E">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26DABA7B">
            <w:pPr>
              <w:widowControl/>
              <w:jc w:val="left"/>
              <w:rPr>
                <w:rFonts w:ascii="宋体" w:hAnsi="宋体" w:cs="宋体"/>
                <w:color w:val="000000"/>
                <w:kern w:val="0"/>
                <w:sz w:val="20"/>
                <w:szCs w:val="20"/>
              </w:rPr>
            </w:pPr>
            <w:r>
              <w:rPr>
                <w:rFonts w:hint="eastAsia" w:ascii="宋体" w:hAnsi="宋体" w:cs="宋体"/>
                <w:color w:val="000000"/>
                <w:kern w:val="0"/>
                <w:sz w:val="20"/>
                <w:szCs w:val="20"/>
              </w:rPr>
              <w:t>保证敷设期间电缆、交越管线、相关设备及临近管线安全</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030C399">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9CC7FED">
            <w:pPr>
              <w:widowControl/>
              <w:jc w:val="center"/>
              <w:rPr>
                <w:rFonts w:ascii="宋体" w:hAnsi="宋体" w:cs="宋体"/>
                <w:color w:val="000000"/>
                <w:kern w:val="0"/>
                <w:sz w:val="20"/>
                <w:szCs w:val="20"/>
              </w:rPr>
            </w:pPr>
          </w:p>
        </w:tc>
      </w:tr>
      <w:tr w14:paraId="61A4C1ED">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6514522B">
            <w:pPr>
              <w:widowControl/>
              <w:jc w:val="center"/>
              <w:rPr>
                <w:rFonts w:ascii="宋体" w:hAnsi="宋体" w:cs="宋体"/>
                <w:color w:val="000000"/>
                <w:kern w:val="0"/>
                <w:sz w:val="20"/>
                <w:szCs w:val="20"/>
              </w:rPr>
            </w:pPr>
            <w:r>
              <w:rPr>
                <w:rFonts w:ascii="宋体" w:hAnsi="宋体" w:cs="宋体"/>
                <w:color w:val="000000"/>
                <w:kern w:val="0"/>
                <w:sz w:val="20"/>
                <w:szCs w:val="20"/>
              </w:rPr>
              <w:t>4</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57A1312F">
            <w:pPr>
              <w:widowControl/>
              <w:jc w:val="left"/>
              <w:rPr>
                <w:rFonts w:ascii="宋体" w:hAnsi="宋体" w:cs="宋体"/>
                <w:color w:val="000000"/>
                <w:kern w:val="0"/>
                <w:sz w:val="20"/>
                <w:szCs w:val="20"/>
              </w:rPr>
            </w:pPr>
            <w:r>
              <w:rPr>
                <w:rFonts w:hint="eastAsia" w:ascii="宋体" w:hAnsi="宋体" w:cs="宋体"/>
                <w:color w:val="000000"/>
                <w:kern w:val="0"/>
                <w:sz w:val="20"/>
                <w:szCs w:val="20"/>
              </w:rPr>
              <w:t>移交前电缆的保护</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DE8B1B0">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2F59011">
            <w:pPr>
              <w:widowControl/>
              <w:jc w:val="center"/>
              <w:rPr>
                <w:rFonts w:ascii="宋体" w:hAnsi="宋体" w:cs="宋体"/>
                <w:color w:val="000000"/>
                <w:kern w:val="0"/>
                <w:sz w:val="20"/>
                <w:szCs w:val="20"/>
              </w:rPr>
            </w:pPr>
          </w:p>
        </w:tc>
      </w:tr>
      <w:tr w14:paraId="6AC1D4B3">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8B09491">
            <w:pPr>
              <w:widowControl/>
              <w:jc w:val="center"/>
              <w:rPr>
                <w:rFonts w:ascii="宋体" w:hAnsi="宋体" w:cs="宋体"/>
                <w:color w:val="000000"/>
                <w:kern w:val="0"/>
                <w:sz w:val="20"/>
                <w:szCs w:val="20"/>
              </w:rPr>
            </w:pPr>
            <w:r>
              <w:rPr>
                <w:rFonts w:ascii="宋体" w:hAnsi="宋体" w:cs="宋体"/>
                <w:color w:val="000000"/>
                <w:kern w:val="0"/>
                <w:sz w:val="20"/>
                <w:szCs w:val="20"/>
              </w:rPr>
              <w:t>5</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79402EA0">
            <w:pPr>
              <w:widowControl/>
              <w:jc w:val="left"/>
              <w:rPr>
                <w:rFonts w:ascii="宋体" w:hAnsi="宋体" w:cs="宋体"/>
                <w:color w:val="000000"/>
                <w:kern w:val="0"/>
                <w:sz w:val="20"/>
                <w:szCs w:val="20"/>
              </w:rPr>
            </w:pPr>
            <w:r>
              <w:rPr>
                <w:rFonts w:hint="eastAsia" w:ascii="宋体" w:hAnsi="宋体" w:cs="宋体"/>
                <w:color w:val="000000"/>
                <w:kern w:val="0"/>
                <w:sz w:val="20"/>
                <w:szCs w:val="20"/>
              </w:rPr>
              <w:t>海底电缆敷设过程中监控</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E49B9EB">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D6E47B5">
            <w:pPr>
              <w:widowControl/>
              <w:jc w:val="center"/>
              <w:rPr>
                <w:rFonts w:ascii="宋体" w:hAnsi="宋体" w:cs="宋体"/>
                <w:color w:val="000000"/>
                <w:kern w:val="0"/>
                <w:sz w:val="20"/>
                <w:szCs w:val="20"/>
              </w:rPr>
            </w:pPr>
          </w:p>
        </w:tc>
      </w:tr>
      <w:tr w14:paraId="0453A67C">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2909D116">
            <w:pPr>
              <w:widowControl/>
              <w:jc w:val="center"/>
              <w:rPr>
                <w:rFonts w:ascii="宋体" w:hAnsi="宋体" w:cs="宋体"/>
                <w:color w:val="000000"/>
                <w:kern w:val="0"/>
                <w:sz w:val="20"/>
                <w:szCs w:val="20"/>
              </w:rPr>
            </w:pPr>
            <w:r>
              <w:rPr>
                <w:rFonts w:ascii="宋体" w:hAnsi="宋体" w:cs="宋体"/>
                <w:color w:val="000000"/>
                <w:kern w:val="0"/>
                <w:sz w:val="20"/>
                <w:szCs w:val="20"/>
              </w:rPr>
              <w:t>6</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78A70EB5">
            <w:pPr>
              <w:widowControl/>
              <w:jc w:val="left"/>
              <w:rPr>
                <w:rFonts w:ascii="宋体" w:hAnsi="宋体" w:cs="宋体"/>
                <w:color w:val="000000"/>
                <w:kern w:val="0"/>
                <w:sz w:val="20"/>
                <w:szCs w:val="20"/>
              </w:rPr>
            </w:pPr>
            <w:r>
              <w:rPr>
                <w:rFonts w:hint="eastAsia" w:ascii="宋体" w:hAnsi="宋体" w:cs="宋体"/>
                <w:color w:val="000000"/>
                <w:kern w:val="0"/>
                <w:sz w:val="20"/>
                <w:szCs w:val="20"/>
              </w:rPr>
              <w:t>负责将敷设剩余的材料运输至招标方指定地点</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BEC2E2A">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EB3D733">
            <w:pPr>
              <w:widowControl/>
              <w:jc w:val="center"/>
              <w:rPr>
                <w:rFonts w:ascii="宋体" w:hAnsi="宋体" w:cs="宋体"/>
                <w:color w:val="000000"/>
                <w:kern w:val="0"/>
                <w:sz w:val="20"/>
                <w:szCs w:val="20"/>
              </w:rPr>
            </w:pPr>
          </w:p>
        </w:tc>
      </w:tr>
      <w:tr w14:paraId="6A6F6464">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18268657">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18FC804A">
            <w:pPr>
              <w:widowControl/>
              <w:jc w:val="left"/>
              <w:rPr>
                <w:rFonts w:ascii="宋体" w:hAnsi="宋体" w:cs="宋体"/>
                <w:color w:val="000000"/>
                <w:kern w:val="0"/>
                <w:sz w:val="20"/>
                <w:szCs w:val="20"/>
              </w:rPr>
            </w:pPr>
            <w:r>
              <w:rPr>
                <w:rFonts w:hint="eastAsia" w:ascii="宋体" w:hAnsi="宋体" w:cs="宋体"/>
                <w:color w:val="000000"/>
                <w:kern w:val="0"/>
                <w:sz w:val="20"/>
                <w:szCs w:val="20"/>
              </w:rPr>
              <w:t>负责</w:t>
            </w:r>
            <w:r>
              <w:rPr>
                <w:rFonts w:hint="eastAsia"/>
              </w:rPr>
              <w:t>进行光纤衰减测试；负责</w:t>
            </w:r>
            <w:r>
              <w:rPr>
                <w:rFonts w:hint="eastAsia" w:ascii="宋体" w:hAnsi="宋体" w:cs="宋体"/>
                <w:color w:val="000000"/>
                <w:kern w:val="0"/>
                <w:sz w:val="20"/>
                <w:szCs w:val="20"/>
              </w:rPr>
              <w:t>提供海缆应力监测设备，同时配合完成应力监测工作。</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9D251B4">
            <w:pPr>
              <w:widowControl/>
              <w:jc w:val="center"/>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0495306C">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5322DD6A">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4E6B4344">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040079F9">
            <w:pPr>
              <w:widowControl/>
              <w:jc w:val="left"/>
              <w:rPr>
                <w:rFonts w:ascii="宋体" w:hAnsi="宋体" w:cs="宋体"/>
                <w:color w:val="000000"/>
                <w:kern w:val="0"/>
                <w:sz w:val="20"/>
                <w:szCs w:val="20"/>
              </w:rPr>
            </w:pPr>
            <w:r>
              <w:rPr>
                <w:rFonts w:hint="eastAsia" w:ascii="宋体" w:hAnsi="宋体" w:cs="宋体"/>
                <w:color w:val="000000"/>
                <w:kern w:val="0"/>
                <w:sz w:val="20"/>
                <w:szCs w:val="20"/>
              </w:rPr>
              <w:t>配合开展海缆敷设、保护施工等工作，并进行施工现场指导及过程见证。</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153F903">
            <w:pPr>
              <w:widowControl/>
              <w:jc w:val="center"/>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2D849A5E">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230B8A31">
        <w:tblPrEx>
          <w:tblCellMar>
            <w:top w:w="15" w:type="dxa"/>
            <w:left w:w="15" w:type="dxa"/>
            <w:bottom w:w="15" w:type="dxa"/>
            <w:right w:w="15" w:type="dxa"/>
          </w:tblCellMar>
        </w:tblPrEx>
        <w:trPr>
          <w:trHeight w:val="360" w:hRule="atLeast"/>
        </w:trPr>
        <w:tc>
          <w:tcPr>
            <w:tcW w:w="9060" w:type="dxa"/>
            <w:gridSpan w:val="4"/>
            <w:tcBorders>
              <w:top w:val="single" w:color="000000" w:sz="4" w:space="0"/>
              <w:left w:val="single" w:color="000000" w:sz="4" w:space="0"/>
              <w:bottom w:val="single" w:color="000000" w:sz="4" w:space="0"/>
              <w:right w:val="single" w:color="000000" w:sz="4" w:space="0"/>
            </w:tcBorders>
            <w:noWrap/>
            <w:vAlign w:val="center"/>
          </w:tcPr>
          <w:p w14:paraId="7B952078">
            <w:pPr>
              <w:widowControl/>
              <w:jc w:val="center"/>
              <w:rPr>
                <w:rFonts w:ascii="宋体" w:hAnsi="宋体" w:cs="宋体"/>
                <w:color w:val="000000"/>
                <w:kern w:val="0"/>
                <w:sz w:val="20"/>
                <w:szCs w:val="20"/>
              </w:rPr>
            </w:pPr>
            <w:r>
              <w:rPr>
                <w:rFonts w:hint="eastAsia" w:ascii="宋体" w:hAnsi="宋体" w:cs="宋体"/>
                <w:color w:val="000000"/>
                <w:kern w:val="0"/>
                <w:sz w:val="20"/>
                <w:szCs w:val="20"/>
              </w:rPr>
              <w:t>海缆陆上相关工作</w:t>
            </w:r>
          </w:p>
        </w:tc>
      </w:tr>
      <w:tr w14:paraId="104D95DB">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CC1312D">
            <w:pPr>
              <w:widowControl/>
              <w:jc w:val="center"/>
              <w:rPr>
                <w:rFonts w:ascii="宋体" w:hAnsi="宋体" w:cs="宋体"/>
                <w:color w:val="000000"/>
                <w:kern w:val="0"/>
                <w:sz w:val="20"/>
                <w:szCs w:val="20"/>
              </w:rPr>
            </w:pP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6A8847BD">
            <w:pPr>
              <w:widowControl/>
              <w:jc w:val="left"/>
              <w:rPr>
                <w:rFonts w:ascii="宋体" w:hAnsi="宋体" w:cs="宋体"/>
                <w:color w:val="000000"/>
                <w:kern w:val="0"/>
                <w:sz w:val="20"/>
                <w:szCs w:val="20"/>
              </w:rPr>
            </w:pPr>
            <w:r>
              <w:rPr>
                <w:rFonts w:hint="eastAsia" w:ascii="宋体" w:hAnsi="宋体" w:cs="宋体"/>
                <w:color w:val="000000"/>
                <w:kern w:val="0"/>
                <w:sz w:val="20"/>
                <w:szCs w:val="20"/>
              </w:rPr>
              <w:t>海缆敷设、登陆段敷设及进站敷设</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093506F0">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257E088">
            <w:pPr>
              <w:widowControl/>
              <w:jc w:val="center"/>
              <w:rPr>
                <w:rFonts w:ascii="宋体" w:hAnsi="宋体" w:cs="宋体"/>
                <w:color w:val="000000"/>
                <w:kern w:val="0"/>
                <w:sz w:val="20"/>
                <w:szCs w:val="20"/>
              </w:rPr>
            </w:pPr>
          </w:p>
        </w:tc>
      </w:tr>
      <w:tr w14:paraId="1A462111">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B7A9AE0">
            <w:pPr>
              <w:widowControl/>
              <w:jc w:val="center"/>
              <w:rPr>
                <w:rFonts w:ascii="宋体" w:hAnsi="宋体" w:cs="宋体"/>
                <w:color w:val="000000"/>
                <w:kern w:val="0"/>
                <w:sz w:val="20"/>
                <w:szCs w:val="20"/>
              </w:rPr>
            </w:pP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79942C35">
            <w:pPr>
              <w:widowControl/>
              <w:jc w:val="left"/>
              <w:rPr>
                <w:rFonts w:ascii="宋体" w:hAnsi="宋体" w:cs="宋体"/>
                <w:color w:val="000000"/>
                <w:kern w:val="0"/>
                <w:sz w:val="20"/>
                <w:szCs w:val="20"/>
              </w:rPr>
            </w:pPr>
            <w:r>
              <w:rPr>
                <w:rFonts w:hint="eastAsia" w:ascii="宋体" w:hAnsi="宋体" w:cs="宋体"/>
                <w:color w:val="000000"/>
                <w:kern w:val="0"/>
                <w:sz w:val="20"/>
                <w:szCs w:val="20"/>
              </w:rPr>
              <w:t>海缆终端制作安装</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470ED3B">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B49D390">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66CBBC3B">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F6F5648">
            <w:pPr>
              <w:widowControl/>
              <w:jc w:val="center"/>
              <w:rPr>
                <w:rFonts w:ascii="宋体" w:hAnsi="宋体" w:cs="宋体"/>
                <w:color w:val="000000"/>
                <w:kern w:val="0"/>
                <w:sz w:val="20"/>
                <w:szCs w:val="20"/>
              </w:rPr>
            </w:pPr>
            <w:r>
              <w:rPr>
                <w:rFonts w:ascii="宋体" w:hAnsi="宋体" w:cs="宋体"/>
                <w:color w:val="000000"/>
                <w:kern w:val="0"/>
                <w:sz w:val="20"/>
                <w:szCs w:val="20"/>
              </w:rPr>
              <w:t>3</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3D4DB81C">
            <w:pPr>
              <w:widowControl/>
              <w:jc w:val="left"/>
              <w:rPr>
                <w:rFonts w:ascii="宋体" w:hAnsi="宋体" w:cs="宋体"/>
                <w:color w:val="000000"/>
                <w:kern w:val="0"/>
                <w:sz w:val="20"/>
                <w:szCs w:val="20"/>
              </w:rPr>
            </w:pPr>
            <w:r>
              <w:rPr>
                <w:rFonts w:hint="eastAsia" w:ascii="宋体" w:hAnsi="宋体" w:cs="宋体"/>
                <w:color w:val="000000"/>
                <w:kern w:val="0"/>
                <w:sz w:val="20"/>
                <w:szCs w:val="20"/>
              </w:rPr>
              <w:t>终端制作时的工装</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99CED99">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4540835">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728244CE">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3101219D">
            <w:pPr>
              <w:widowControl/>
              <w:jc w:val="center"/>
              <w:rPr>
                <w:rFonts w:ascii="宋体" w:hAnsi="宋体" w:cs="宋体"/>
                <w:color w:val="000000"/>
                <w:kern w:val="0"/>
                <w:sz w:val="20"/>
                <w:szCs w:val="20"/>
              </w:rPr>
            </w:pPr>
            <w:r>
              <w:rPr>
                <w:rFonts w:ascii="宋体" w:hAnsi="宋体" w:cs="宋体"/>
                <w:color w:val="000000"/>
                <w:kern w:val="0"/>
                <w:sz w:val="20"/>
                <w:szCs w:val="20"/>
              </w:rPr>
              <w:t>4</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13735962">
            <w:pPr>
              <w:widowControl/>
              <w:jc w:val="left"/>
              <w:rPr>
                <w:rFonts w:ascii="宋体" w:hAnsi="宋体" w:cs="宋体"/>
                <w:color w:val="000000"/>
                <w:kern w:val="0"/>
                <w:sz w:val="20"/>
                <w:szCs w:val="20"/>
              </w:rPr>
            </w:pPr>
            <w:r>
              <w:rPr>
                <w:rFonts w:hint="eastAsia" w:ascii="宋体" w:hAnsi="宋体" w:cs="宋体"/>
                <w:color w:val="000000"/>
                <w:kern w:val="0"/>
                <w:sz w:val="20"/>
                <w:szCs w:val="20"/>
              </w:rPr>
              <w:t>电缆接地箱与地网及接地箱与终端的安装连接、固定</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B38B3CE">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956D04F">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113442A3">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0A969870">
            <w:pPr>
              <w:widowControl/>
              <w:jc w:val="center"/>
              <w:rPr>
                <w:rFonts w:ascii="宋体" w:hAnsi="宋体" w:cs="宋体"/>
                <w:color w:val="000000"/>
                <w:kern w:val="0"/>
                <w:sz w:val="20"/>
                <w:szCs w:val="20"/>
              </w:rPr>
            </w:pPr>
            <w:r>
              <w:rPr>
                <w:rFonts w:ascii="宋体" w:hAnsi="宋体" w:cs="宋体"/>
                <w:color w:val="000000"/>
                <w:kern w:val="0"/>
                <w:sz w:val="20"/>
                <w:szCs w:val="20"/>
              </w:rPr>
              <w:t>5</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4E62AF11">
            <w:pPr>
              <w:widowControl/>
              <w:jc w:val="left"/>
              <w:rPr>
                <w:rFonts w:ascii="宋体" w:hAnsi="宋体" w:cs="宋体"/>
                <w:color w:val="000000"/>
                <w:kern w:val="0"/>
                <w:sz w:val="20"/>
                <w:szCs w:val="20"/>
              </w:rPr>
            </w:pPr>
            <w:r>
              <w:rPr>
                <w:rFonts w:hint="eastAsia" w:ascii="宋体" w:hAnsi="宋体" w:cs="宋体"/>
                <w:color w:val="000000"/>
                <w:kern w:val="0"/>
                <w:sz w:val="20"/>
                <w:szCs w:val="20"/>
              </w:rPr>
              <w:t>协助海缆在线监测系统调试、试验</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AE309B9">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2F8E349">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420E7896">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1CED15E6">
            <w:pPr>
              <w:widowControl/>
              <w:jc w:val="center"/>
              <w:rPr>
                <w:rFonts w:ascii="宋体" w:hAnsi="宋体" w:cs="宋体"/>
                <w:color w:val="000000"/>
                <w:kern w:val="0"/>
                <w:sz w:val="20"/>
                <w:szCs w:val="20"/>
              </w:rPr>
            </w:pPr>
            <w:r>
              <w:rPr>
                <w:rFonts w:ascii="宋体" w:hAnsi="宋体" w:cs="宋体"/>
                <w:color w:val="000000"/>
                <w:kern w:val="0"/>
                <w:sz w:val="20"/>
                <w:szCs w:val="20"/>
              </w:rPr>
              <w:t>6</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4E6DD240">
            <w:pPr>
              <w:widowControl/>
              <w:jc w:val="left"/>
              <w:rPr>
                <w:rFonts w:ascii="宋体" w:hAnsi="宋体" w:cs="宋体"/>
                <w:color w:val="000000"/>
                <w:kern w:val="0"/>
                <w:sz w:val="20"/>
                <w:szCs w:val="20"/>
              </w:rPr>
            </w:pPr>
            <w:r>
              <w:rPr>
                <w:rFonts w:hint="eastAsia" w:ascii="宋体" w:hAnsi="宋体" w:cs="宋体"/>
                <w:color w:val="000000"/>
                <w:kern w:val="0"/>
                <w:sz w:val="20"/>
                <w:szCs w:val="20"/>
              </w:rPr>
              <w:t>海缆竣工试验</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627B5D8">
            <w:pPr>
              <w:widowControl/>
              <w:jc w:val="left"/>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1C77FC15">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322556AD">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4034ECDB">
            <w:pPr>
              <w:widowControl/>
              <w:jc w:val="center"/>
              <w:rPr>
                <w:rFonts w:ascii="宋体" w:hAnsi="宋体" w:cs="宋体"/>
                <w:color w:val="000000"/>
                <w:kern w:val="0"/>
                <w:sz w:val="20"/>
                <w:szCs w:val="20"/>
              </w:rPr>
            </w:pPr>
            <w:r>
              <w:rPr>
                <w:rFonts w:ascii="宋体" w:hAnsi="宋体" w:cs="宋体"/>
                <w:color w:val="000000"/>
                <w:kern w:val="0"/>
                <w:sz w:val="20"/>
                <w:szCs w:val="20"/>
              </w:rPr>
              <w:t>7</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496F69A5">
            <w:pPr>
              <w:widowControl/>
              <w:jc w:val="left"/>
              <w:rPr>
                <w:rFonts w:ascii="宋体" w:hAnsi="宋体" w:cs="宋体"/>
                <w:color w:val="000000"/>
                <w:kern w:val="0"/>
                <w:sz w:val="20"/>
                <w:szCs w:val="20"/>
              </w:rPr>
            </w:pPr>
            <w:r>
              <w:rPr>
                <w:rFonts w:hint="eastAsia" w:ascii="宋体" w:hAnsi="宋体" w:cs="宋体"/>
                <w:color w:val="000000"/>
                <w:kern w:val="0"/>
                <w:sz w:val="20"/>
                <w:szCs w:val="20"/>
              </w:rPr>
              <w:t>配合现场海缆终端制作安装（含脚手架等搭设）。</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234C1D9">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CFD72AE">
            <w:pPr>
              <w:widowControl/>
              <w:jc w:val="center"/>
              <w:rPr>
                <w:rFonts w:ascii="宋体" w:hAnsi="宋体" w:cs="宋体"/>
                <w:color w:val="000000"/>
                <w:kern w:val="0"/>
                <w:sz w:val="20"/>
                <w:szCs w:val="20"/>
              </w:rPr>
            </w:pPr>
          </w:p>
        </w:tc>
      </w:tr>
      <w:tr w14:paraId="43B1C982">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5D7B000A">
            <w:pPr>
              <w:widowControl/>
              <w:jc w:val="center"/>
              <w:rPr>
                <w:rFonts w:ascii="宋体" w:hAnsi="宋体" w:cs="宋体"/>
                <w:color w:val="000000"/>
                <w:kern w:val="0"/>
                <w:sz w:val="20"/>
                <w:szCs w:val="20"/>
              </w:rPr>
            </w:pPr>
            <w:r>
              <w:rPr>
                <w:rFonts w:ascii="宋体" w:hAnsi="宋体" w:cs="宋体"/>
                <w:color w:val="000000"/>
                <w:kern w:val="0"/>
                <w:sz w:val="20"/>
                <w:szCs w:val="20"/>
              </w:rPr>
              <w:t>8</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52BD6DA0">
            <w:pPr>
              <w:widowControl/>
              <w:jc w:val="left"/>
              <w:rPr>
                <w:rFonts w:ascii="宋体" w:hAnsi="宋体" w:cs="宋体"/>
                <w:color w:val="000000"/>
                <w:kern w:val="0"/>
                <w:sz w:val="20"/>
                <w:szCs w:val="20"/>
              </w:rPr>
            </w:pPr>
            <w:r>
              <w:rPr>
                <w:rFonts w:hint="eastAsia" w:ascii="宋体" w:hAnsi="宋体" w:cs="宋体"/>
                <w:color w:val="000000"/>
                <w:kern w:val="0"/>
                <w:sz w:val="20"/>
                <w:szCs w:val="20"/>
              </w:rPr>
              <w:t>提供其余需在工程施工时使用的构件</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482385D7">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15D26678">
            <w:pPr>
              <w:widowControl/>
              <w:jc w:val="center"/>
              <w:rPr>
                <w:rFonts w:ascii="宋体" w:hAnsi="宋体" w:cs="宋体"/>
                <w:color w:val="000000"/>
                <w:kern w:val="0"/>
                <w:sz w:val="20"/>
                <w:szCs w:val="20"/>
              </w:rPr>
            </w:pPr>
          </w:p>
        </w:tc>
      </w:tr>
      <w:tr w14:paraId="164C9924">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168C57BF">
            <w:pPr>
              <w:widowControl/>
              <w:jc w:val="center"/>
              <w:rPr>
                <w:rFonts w:ascii="宋体" w:hAnsi="宋体" w:cs="宋体"/>
                <w:color w:val="000000"/>
                <w:kern w:val="0"/>
                <w:sz w:val="20"/>
                <w:szCs w:val="20"/>
              </w:rPr>
            </w:pPr>
            <w:r>
              <w:rPr>
                <w:rFonts w:ascii="宋体" w:hAnsi="宋体" w:cs="宋体"/>
                <w:color w:val="000000"/>
                <w:kern w:val="0"/>
                <w:sz w:val="20"/>
                <w:szCs w:val="20"/>
              </w:rPr>
              <w:t>9</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210EF3DC">
            <w:pPr>
              <w:widowControl/>
              <w:jc w:val="left"/>
              <w:rPr>
                <w:rFonts w:ascii="宋体" w:hAnsi="宋体" w:cs="宋体"/>
                <w:color w:val="000000"/>
                <w:kern w:val="0"/>
                <w:sz w:val="20"/>
                <w:szCs w:val="20"/>
              </w:rPr>
            </w:pPr>
            <w:r>
              <w:rPr>
                <w:rFonts w:hint="eastAsia" w:ascii="宋体" w:hAnsi="宋体" w:cs="宋体"/>
                <w:color w:val="000000"/>
                <w:kern w:val="0"/>
                <w:sz w:val="20"/>
                <w:szCs w:val="20"/>
              </w:rPr>
              <w:t>配合完成海缆竣工试验</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5ADFE9C">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0F0D8FA6">
            <w:pPr>
              <w:widowControl/>
              <w:jc w:val="center"/>
              <w:rPr>
                <w:rFonts w:ascii="宋体" w:hAnsi="宋体" w:cs="宋体"/>
                <w:color w:val="000000"/>
                <w:kern w:val="0"/>
                <w:sz w:val="20"/>
                <w:szCs w:val="20"/>
              </w:rPr>
            </w:pPr>
          </w:p>
        </w:tc>
      </w:tr>
      <w:tr w14:paraId="62FDA43D">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139BB8A5">
            <w:pPr>
              <w:widowControl/>
              <w:jc w:val="center"/>
              <w:rPr>
                <w:rFonts w:ascii="宋体" w:hAnsi="宋体" w:cs="宋体"/>
                <w:color w:val="000000"/>
                <w:kern w:val="0"/>
                <w:sz w:val="20"/>
                <w:szCs w:val="20"/>
              </w:rPr>
            </w:pPr>
            <w:r>
              <w:rPr>
                <w:rFonts w:ascii="宋体" w:hAnsi="宋体" w:cs="宋体"/>
                <w:color w:val="000000"/>
                <w:kern w:val="0"/>
                <w:sz w:val="20"/>
                <w:szCs w:val="20"/>
              </w:rPr>
              <w:t>10</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58075F1E">
            <w:pPr>
              <w:widowControl/>
              <w:jc w:val="left"/>
              <w:rPr>
                <w:rFonts w:ascii="宋体" w:hAnsi="宋体" w:cs="宋体"/>
                <w:color w:val="000000"/>
                <w:kern w:val="0"/>
                <w:sz w:val="20"/>
                <w:szCs w:val="20"/>
              </w:rPr>
            </w:pPr>
            <w:r>
              <w:rPr>
                <w:rFonts w:hint="eastAsia" w:ascii="宋体" w:hAnsi="宋体" w:cs="宋体"/>
                <w:color w:val="000000"/>
                <w:kern w:val="0"/>
                <w:sz w:val="20"/>
                <w:szCs w:val="20"/>
              </w:rPr>
              <w:t>海缆锚固设备的安装</w:t>
            </w:r>
          </w:p>
        </w:tc>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DF30">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73F6ED61">
            <w:pPr>
              <w:widowControl/>
              <w:jc w:val="center"/>
              <w:rPr>
                <w:rFonts w:ascii="宋体" w:hAnsi="宋体" w:cs="宋体"/>
                <w:color w:val="000000"/>
                <w:kern w:val="0"/>
                <w:sz w:val="20"/>
                <w:szCs w:val="20"/>
              </w:rPr>
            </w:pPr>
          </w:p>
        </w:tc>
      </w:tr>
      <w:tr w14:paraId="2F7B70BE">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379297B2">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1</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0DD251D9">
            <w:pPr>
              <w:widowControl/>
              <w:jc w:val="left"/>
              <w:rPr>
                <w:rFonts w:ascii="宋体" w:hAnsi="宋体" w:cs="宋体"/>
                <w:color w:val="000000"/>
                <w:kern w:val="0"/>
                <w:sz w:val="20"/>
                <w:szCs w:val="20"/>
              </w:rPr>
            </w:pPr>
            <w:r>
              <w:rPr>
                <w:rFonts w:hint="eastAsia" w:ascii="宋体" w:hAnsi="宋体" w:cs="宋体"/>
                <w:color w:val="000000"/>
                <w:kern w:val="0"/>
                <w:sz w:val="20"/>
                <w:szCs w:val="20"/>
              </w:rPr>
              <w:t>海缆锚固位置的海缆铠装接地</w:t>
            </w:r>
          </w:p>
        </w:tc>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A9E90">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3EC1E503">
            <w:pPr>
              <w:widowControl/>
              <w:jc w:val="center"/>
              <w:rPr>
                <w:rFonts w:ascii="宋体" w:hAnsi="宋体" w:cs="宋体"/>
                <w:color w:val="000000"/>
                <w:kern w:val="0"/>
                <w:sz w:val="20"/>
                <w:szCs w:val="20"/>
              </w:rPr>
            </w:pPr>
          </w:p>
        </w:tc>
      </w:tr>
      <w:tr w14:paraId="42A052E2">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2DA0FBE5">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2</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13EC55FD">
            <w:pPr>
              <w:widowControl/>
              <w:jc w:val="left"/>
              <w:rPr>
                <w:rFonts w:ascii="宋体" w:hAnsi="宋体" w:cs="宋体"/>
                <w:color w:val="000000"/>
                <w:kern w:val="0"/>
                <w:sz w:val="20"/>
                <w:szCs w:val="20"/>
              </w:rPr>
            </w:pPr>
            <w:r>
              <w:rPr>
                <w:rFonts w:hint="eastAsia" w:ascii="宋体" w:hAnsi="宋体" w:cs="宋体"/>
                <w:color w:val="000000"/>
                <w:kern w:val="0"/>
                <w:sz w:val="20"/>
                <w:szCs w:val="20"/>
              </w:rPr>
              <w:t>海缆铠装剥离</w:t>
            </w:r>
          </w:p>
        </w:tc>
        <w:tc>
          <w:tcPr>
            <w:tcW w:w="13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7D8F">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09FCCF10">
            <w:pPr>
              <w:widowControl/>
              <w:jc w:val="center"/>
              <w:rPr>
                <w:rFonts w:ascii="宋体" w:hAnsi="宋体" w:cs="宋体"/>
                <w:color w:val="000000"/>
                <w:kern w:val="0"/>
                <w:sz w:val="20"/>
                <w:szCs w:val="20"/>
              </w:rPr>
            </w:pPr>
          </w:p>
        </w:tc>
      </w:tr>
      <w:tr w14:paraId="4B3BED47">
        <w:tblPrEx>
          <w:tblCellMar>
            <w:top w:w="15" w:type="dxa"/>
            <w:left w:w="15" w:type="dxa"/>
            <w:bottom w:w="15" w:type="dxa"/>
            <w:right w:w="15" w:type="dxa"/>
          </w:tblCellMar>
        </w:tblPrEx>
        <w:trPr>
          <w:trHeight w:val="360" w:hRule="atLeast"/>
        </w:trPr>
        <w:tc>
          <w:tcPr>
            <w:tcW w:w="1361" w:type="dxa"/>
            <w:tcBorders>
              <w:top w:val="single" w:color="000000" w:sz="4" w:space="0"/>
              <w:left w:val="single" w:color="000000" w:sz="4" w:space="0"/>
              <w:bottom w:val="single" w:color="000000" w:sz="4" w:space="0"/>
              <w:right w:val="single" w:color="000000" w:sz="4" w:space="0"/>
            </w:tcBorders>
            <w:noWrap/>
            <w:vAlign w:val="center"/>
          </w:tcPr>
          <w:p w14:paraId="1B98792D">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3</w:t>
            </w:r>
          </w:p>
        </w:tc>
        <w:tc>
          <w:tcPr>
            <w:tcW w:w="4977" w:type="dxa"/>
            <w:tcBorders>
              <w:top w:val="single" w:color="000000" w:sz="4" w:space="0"/>
              <w:left w:val="single" w:color="000000" w:sz="4" w:space="0"/>
              <w:bottom w:val="single" w:color="000000" w:sz="4" w:space="0"/>
              <w:right w:val="single" w:color="000000" w:sz="4" w:space="0"/>
            </w:tcBorders>
            <w:noWrap/>
            <w:vAlign w:val="center"/>
          </w:tcPr>
          <w:p w14:paraId="436D7B5B">
            <w:pPr>
              <w:widowControl/>
              <w:jc w:val="left"/>
              <w:rPr>
                <w:rFonts w:ascii="宋体" w:hAnsi="宋体" w:cs="宋体"/>
                <w:color w:val="000000"/>
                <w:kern w:val="0"/>
                <w:sz w:val="20"/>
                <w:szCs w:val="20"/>
              </w:rPr>
            </w:pPr>
            <w:r>
              <w:rPr>
                <w:rFonts w:hint="eastAsia" w:ascii="宋体" w:hAnsi="宋体" w:cs="宋体"/>
                <w:color w:val="000000"/>
                <w:kern w:val="0"/>
                <w:sz w:val="20"/>
                <w:szCs w:val="20"/>
              </w:rPr>
              <w:t>配合海缆切换调试</w:t>
            </w: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5A221AE3">
            <w:pPr>
              <w:widowControl/>
              <w:jc w:val="center"/>
              <w:rPr>
                <w:rFonts w:ascii="宋体" w:hAnsi="宋体" w:cs="宋体"/>
                <w:color w:val="000000"/>
                <w:kern w:val="0"/>
                <w:sz w:val="20"/>
                <w:szCs w:val="20"/>
              </w:rPr>
            </w:pPr>
          </w:p>
        </w:tc>
        <w:tc>
          <w:tcPr>
            <w:tcW w:w="1361" w:type="dxa"/>
            <w:tcBorders>
              <w:top w:val="single" w:color="000000" w:sz="4" w:space="0"/>
              <w:left w:val="single" w:color="000000" w:sz="4" w:space="0"/>
              <w:bottom w:val="single" w:color="000000" w:sz="4" w:space="0"/>
              <w:right w:val="single" w:color="000000" w:sz="4" w:space="0"/>
            </w:tcBorders>
            <w:noWrap/>
            <w:vAlign w:val="center"/>
          </w:tcPr>
          <w:p w14:paraId="696E6595">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bl>
    <w:p w14:paraId="550AA910">
      <w:pPr>
        <w:pStyle w:val="288"/>
        <w:ind w:firstLine="0" w:firstLineChars="0"/>
      </w:pPr>
      <w:r>
        <w:rPr>
          <w:rFonts w:hint="eastAsia"/>
        </w:rPr>
        <w:t>注：“√”对应的项表示该项工作由对应的责任方完成</w:t>
      </w:r>
    </w:p>
    <w:p w14:paraId="1504B6B6">
      <w:pPr>
        <w:pStyle w:val="284"/>
      </w:pPr>
      <w:bookmarkStart w:id="283" w:name="_Toc226123975"/>
      <w:bookmarkStart w:id="284" w:name="_Toc232443390"/>
      <w:bookmarkStart w:id="285" w:name="_Toc14394"/>
      <w:bookmarkStart w:id="286" w:name="_Toc7757"/>
      <w:bookmarkStart w:id="287" w:name="_Toc52271822"/>
      <w:r>
        <w:rPr>
          <w:rFonts w:hint="eastAsia"/>
        </w:rPr>
        <w:t>12</w:t>
      </w:r>
      <w:r>
        <w:t xml:space="preserve"> 投标方技术偏差</w:t>
      </w:r>
      <w:bookmarkEnd w:id="283"/>
      <w:bookmarkEnd w:id="284"/>
      <w:bookmarkEnd w:id="285"/>
      <w:bookmarkEnd w:id="286"/>
      <w:bookmarkEnd w:id="287"/>
    </w:p>
    <w:p w14:paraId="70E22D2B">
      <w:pPr>
        <w:pStyle w:val="4"/>
        <w:spacing w:line="360" w:lineRule="auto"/>
        <w:ind w:left="0"/>
      </w:pPr>
      <w:bookmarkStart w:id="288" w:name="_Toc226123976"/>
      <w:bookmarkStart w:id="289" w:name="_Toc12980"/>
      <w:bookmarkStart w:id="290" w:name="_Toc52271823"/>
      <w:bookmarkStart w:id="291" w:name="_Toc2194"/>
      <w:bookmarkStart w:id="292" w:name="_Toc232443391"/>
      <w:r>
        <w:t>1</w:t>
      </w:r>
      <w:r>
        <w:rPr>
          <w:rFonts w:hint="eastAsia"/>
        </w:rPr>
        <w:t>2</w:t>
      </w:r>
      <w:r>
        <w:t>.1 投标方技术偏差</w:t>
      </w:r>
      <w:bookmarkEnd w:id="288"/>
      <w:bookmarkEnd w:id="289"/>
      <w:bookmarkEnd w:id="290"/>
      <w:bookmarkEnd w:id="291"/>
      <w:bookmarkEnd w:id="292"/>
    </w:p>
    <w:p w14:paraId="2FEBCEA5">
      <w:pPr>
        <w:adjustRightInd w:val="0"/>
        <w:snapToGrid w:val="0"/>
        <w:spacing w:line="360" w:lineRule="auto"/>
        <w:ind w:firstLine="420" w:firstLineChars="200"/>
        <w:rPr>
          <w:szCs w:val="21"/>
        </w:rPr>
      </w:pPr>
      <w:r>
        <w:rPr>
          <w:szCs w:val="21"/>
        </w:rPr>
        <w:t>投标方应将所供设备与本规范书技术文件有差异之处，无论优于或劣于本规范书要求，均汇集成此表。</w:t>
      </w:r>
    </w:p>
    <w:p w14:paraId="04636BE2">
      <w:pPr>
        <w:pStyle w:val="162"/>
        <w:spacing w:line="360" w:lineRule="auto"/>
        <w:ind w:firstLine="199" w:firstLineChars="95"/>
        <w:jc w:val="center"/>
        <w:rPr>
          <w:rFonts w:ascii="Times New Roman"/>
          <w:szCs w:val="21"/>
        </w:rPr>
      </w:pPr>
      <w:r>
        <w:rPr>
          <w:rFonts w:ascii="Times New Roman"/>
          <w:szCs w:val="21"/>
        </w:rPr>
        <w:t>表3.1 投标单位技术差异表</w:t>
      </w:r>
    </w:p>
    <w:tbl>
      <w:tblPr>
        <w:tblStyle w:val="85"/>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1924"/>
      </w:tblGrid>
      <w:tr w14:paraId="0F86C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Align w:val="center"/>
          </w:tcPr>
          <w:p w14:paraId="752E6BB4">
            <w:pPr>
              <w:widowControl/>
              <w:autoSpaceDE w:val="0"/>
              <w:autoSpaceDN w:val="0"/>
              <w:spacing w:before="40"/>
              <w:jc w:val="center"/>
              <w:textAlignment w:val="bottom"/>
              <w:rPr>
                <w:szCs w:val="21"/>
              </w:rPr>
            </w:pPr>
            <w:r>
              <w:rPr>
                <w:szCs w:val="21"/>
              </w:rPr>
              <w:t>序</w:t>
            </w:r>
          </w:p>
          <w:p w14:paraId="10E6D7D9">
            <w:pPr>
              <w:autoSpaceDE w:val="0"/>
              <w:autoSpaceDN w:val="0"/>
              <w:spacing w:before="40"/>
              <w:jc w:val="center"/>
              <w:textAlignment w:val="bottom"/>
              <w:rPr>
                <w:szCs w:val="21"/>
              </w:rPr>
            </w:pPr>
            <w:r>
              <w:rPr>
                <w:szCs w:val="21"/>
              </w:rPr>
              <w:t>号</w:t>
            </w:r>
          </w:p>
        </w:tc>
        <w:tc>
          <w:tcPr>
            <w:tcW w:w="1287" w:type="dxa"/>
            <w:vAlign w:val="center"/>
          </w:tcPr>
          <w:p w14:paraId="02F35243">
            <w:pPr>
              <w:widowControl/>
              <w:autoSpaceDE w:val="0"/>
              <w:autoSpaceDN w:val="0"/>
              <w:spacing w:before="40"/>
              <w:jc w:val="center"/>
              <w:textAlignment w:val="bottom"/>
              <w:rPr>
                <w:szCs w:val="21"/>
              </w:rPr>
            </w:pPr>
            <w:r>
              <w:rPr>
                <w:szCs w:val="21"/>
              </w:rPr>
              <w:t>招标文件条目</w:t>
            </w:r>
          </w:p>
        </w:tc>
        <w:tc>
          <w:tcPr>
            <w:tcW w:w="3003" w:type="dxa"/>
            <w:vAlign w:val="center"/>
          </w:tcPr>
          <w:p w14:paraId="4BA7912E">
            <w:pPr>
              <w:widowControl/>
              <w:autoSpaceDE w:val="0"/>
              <w:autoSpaceDN w:val="0"/>
              <w:spacing w:before="40"/>
              <w:jc w:val="center"/>
              <w:textAlignment w:val="bottom"/>
              <w:rPr>
                <w:szCs w:val="21"/>
              </w:rPr>
            </w:pPr>
            <w:r>
              <w:rPr>
                <w:szCs w:val="21"/>
              </w:rPr>
              <w:t>招标文件简要内容</w:t>
            </w:r>
          </w:p>
        </w:tc>
        <w:tc>
          <w:tcPr>
            <w:tcW w:w="1393" w:type="dxa"/>
            <w:vAlign w:val="center"/>
          </w:tcPr>
          <w:p w14:paraId="76797E6E">
            <w:pPr>
              <w:widowControl/>
              <w:autoSpaceDE w:val="0"/>
              <w:autoSpaceDN w:val="0"/>
              <w:spacing w:before="40"/>
              <w:jc w:val="center"/>
              <w:textAlignment w:val="bottom"/>
              <w:rPr>
                <w:szCs w:val="21"/>
              </w:rPr>
            </w:pPr>
            <w:r>
              <w:rPr>
                <w:szCs w:val="21"/>
              </w:rPr>
              <w:t>投标文件条目</w:t>
            </w:r>
          </w:p>
        </w:tc>
        <w:tc>
          <w:tcPr>
            <w:tcW w:w="1924" w:type="dxa"/>
            <w:vAlign w:val="center"/>
          </w:tcPr>
          <w:p w14:paraId="2DF4484F">
            <w:pPr>
              <w:widowControl/>
              <w:autoSpaceDE w:val="0"/>
              <w:autoSpaceDN w:val="0"/>
              <w:spacing w:before="40"/>
              <w:jc w:val="center"/>
              <w:textAlignment w:val="bottom"/>
              <w:rPr>
                <w:szCs w:val="21"/>
              </w:rPr>
            </w:pPr>
            <w:r>
              <w:rPr>
                <w:szCs w:val="21"/>
              </w:rPr>
              <w:t>投标文件简要内容</w:t>
            </w:r>
          </w:p>
        </w:tc>
      </w:tr>
      <w:tr w14:paraId="547E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415C4CC1">
            <w:pPr>
              <w:widowControl/>
              <w:autoSpaceDE w:val="0"/>
              <w:autoSpaceDN w:val="0"/>
              <w:jc w:val="center"/>
              <w:textAlignment w:val="bottom"/>
              <w:rPr>
                <w:szCs w:val="21"/>
              </w:rPr>
            </w:pPr>
            <w:r>
              <w:rPr>
                <w:szCs w:val="21"/>
              </w:rPr>
              <w:t>1</w:t>
            </w:r>
          </w:p>
        </w:tc>
        <w:tc>
          <w:tcPr>
            <w:tcW w:w="1287" w:type="dxa"/>
            <w:vAlign w:val="center"/>
          </w:tcPr>
          <w:p w14:paraId="0CF970F1">
            <w:pPr>
              <w:widowControl/>
              <w:autoSpaceDE w:val="0"/>
              <w:autoSpaceDN w:val="0"/>
              <w:jc w:val="center"/>
              <w:textAlignment w:val="bottom"/>
              <w:rPr>
                <w:szCs w:val="21"/>
              </w:rPr>
            </w:pPr>
          </w:p>
        </w:tc>
        <w:tc>
          <w:tcPr>
            <w:tcW w:w="3003" w:type="dxa"/>
            <w:vAlign w:val="center"/>
          </w:tcPr>
          <w:p w14:paraId="586E8572">
            <w:pPr>
              <w:widowControl/>
              <w:autoSpaceDE w:val="0"/>
              <w:autoSpaceDN w:val="0"/>
              <w:jc w:val="center"/>
              <w:textAlignment w:val="bottom"/>
              <w:rPr>
                <w:szCs w:val="21"/>
              </w:rPr>
            </w:pPr>
          </w:p>
        </w:tc>
        <w:tc>
          <w:tcPr>
            <w:tcW w:w="1393" w:type="dxa"/>
            <w:vAlign w:val="center"/>
          </w:tcPr>
          <w:p w14:paraId="23025396">
            <w:pPr>
              <w:widowControl/>
              <w:autoSpaceDE w:val="0"/>
              <w:autoSpaceDN w:val="0"/>
              <w:jc w:val="center"/>
              <w:textAlignment w:val="bottom"/>
              <w:rPr>
                <w:szCs w:val="21"/>
              </w:rPr>
            </w:pPr>
          </w:p>
        </w:tc>
        <w:tc>
          <w:tcPr>
            <w:tcW w:w="1924" w:type="dxa"/>
            <w:vAlign w:val="center"/>
          </w:tcPr>
          <w:p w14:paraId="2B4D6DEC">
            <w:pPr>
              <w:widowControl/>
              <w:autoSpaceDE w:val="0"/>
              <w:autoSpaceDN w:val="0"/>
              <w:jc w:val="center"/>
              <w:textAlignment w:val="bottom"/>
              <w:rPr>
                <w:szCs w:val="21"/>
              </w:rPr>
            </w:pPr>
          </w:p>
        </w:tc>
      </w:tr>
      <w:tr w14:paraId="1BE4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1BE71930">
            <w:pPr>
              <w:widowControl/>
              <w:autoSpaceDE w:val="0"/>
              <w:autoSpaceDN w:val="0"/>
              <w:jc w:val="center"/>
              <w:textAlignment w:val="bottom"/>
              <w:rPr>
                <w:szCs w:val="21"/>
              </w:rPr>
            </w:pPr>
            <w:r>
              <w:rPr>
                <w:szCs w:val="21"/>
              </w:rPr>
              <w:t>2</w:t>
            </w:r>
          </w:p>
        </w:tc>
        <w:tc>
          <w:tcPr>
            <w:tcW w:w="1287" w:type="dxa"/>
            <w:vAlign w:val="center"/>
          </w:tcPr>
          <w:p w14:paraId="0BBDF7F8">
            <w:pPr>
              <w:widowControl/>
              <w:autoSpaceDE w:val="0"/>
              <w:autoSpaceDN w:val="0"/>
              <w:jc w:val="center"/>
              <w:textAlignment w:val="bottom"/>
              <w:rPr>
                <w:szCs w:val="21"/>
              </w:rPr>
            </w:pPr>
          </w:p>
        </w:tc>
        <w:tc>
          <w:tcPr>
            <w:tcW w:w="3003" w:type="dxa"/>
            <w:vAlign w:val="center"/>
          </w:tcPr>
          <w:p w14:paraId="11DE9B0C">
            <w:pPr>
              <w:widowControl/>
              <w:autoSpaceDE w:val="0"/>
              <w:autoSpaceDN w:val="0"/>
              <w:jc w:val="center"/>
              <w:textAlignment w:val="bottom"/>
              <w:rPr>
                <w:szCs w:val="21"/>
              </w:rPr>
            </w:pPr>
          </w:p>
        </w:tc>
        <w:tc>
          <w:tcPr>
            <w:tcW w:w="1393" w:type="dxa"/>
            <w:vAlign w:val="center"/>
          </w:tcPr>
          <w:p w14:paraId="23EEC672">
            <w:pPr>
              <w:widowControl/>
              <w:autoSpaceDE w:val="0"/>
              <w:autoSpaceDN w:val="0"/>
              <w:jc w:val="center"/>
              <w:textAlignment w:val="bottom"/>
              <w:rPr>
                <w:szCs w:val="21"/>
              </w:rPr>
            </w:pPr>
          </w:p>
        </w:tc>
        <w:tc>
          <w:tcPr>
            <w:tcW w:w="1924" w:type="dxa"/>
            <w:vAlign w:val="center"/>
          </w:tcPr>
          <w:p w14:paraId="1A3FC7E7">
            <w:pPr>
              <w:widowControl/>
              <w:autoSpaceDE w:val="0"/>
              <w:autoSpaceDN w:val="0"/>
              <w:jc w:val="center"/>
              <w:textAlignment w:val="bottom"/>
              <w:rPr>
                <w:szCs w:val="21"/>
              </w:rPr>
            </w:pPr>
          </w:p>
        </w:tc>
      </w:tr>
      <w:tr w14:paraId="0C0D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2C6D5F12">
            <w:pPr>
              <w:widowControl/>
              <w:autoSpaceDE w:val="0"/>
              <w:autoSpaceDN w:val="0"/>
              <w:jc w:val="center"/>
              <w:textAlignment w:val="bottom"/>
              <w:rPr>
                <w:szCs w:val="21"/>
              </w:rPr>
            </w:pPr>
            <w:r>
              <w:rPr>
                <w:szCs w:val="21"/>
              </w:rPr>
              <w:t>3</w:t>
            </w:r>
          </w:p>
        </w:tc>
        <w:tc>
          <w:tcPr>
            <w:tcW w:w="1287" w:type="dxa"/>
            <w:vAlign w:val="center"/>
          </w:tcPr>
          <w:p w14:paraId="7AE50C14">
            <w:pPr>
              <w:widowControl/>
              <w:autoSpaceDE w:val="0"/>
              <w:autoSpaceDN w:val="0"/>
              <w:jc w:val="center"/>
              <w:textAlignment w:val="bottom"/>
              <w:rPr>
                <w:szCs w:val="21"/>
              </w:rPr>
            </w:pPr>
          </w:p>
        </w:tc>
        <w:tc>
          <w:tcPr>
            <w:tcW w:w="3003" w:type="dxa"/>
            <w:vAlign w:val="center"/>
          </w:tcPr>
          <w:p w14:paraId="400D539A">
            <w:pPr>
              <w:widowControl/>
              <w:autoSpaceDE w:val="0"/>
              <w:autoSpaceDN w:val="0"/>
              <w:jc w:val="center"/>
              <w:textAlignment w:val="bottom"/>
              <w:rPr>
                <w:szCs w:val="21"/>
              </w:rPr>
            </w:pPr>
          </w:p>
        </w:tc>
        <w:tc>
          <w:tcPr>
            <w:tcW w:w="1393" w:type="dxa"/>
            <w:vAlign w:val="center"/>
          </w:tcPr>
          <w:p w14:paraId="5A4D09FE">
            <w:pPr>
              <w:widowControl/>
              <w:autoSpaceDE w:val="0"/>
              <w:autoSpaceDN w:val="0"/>
              <w:jc w:val="center"/>
              <w:textAlignment w:val="bottom"/>
              <w:rPr>
                <w:szCs w:val="21"/>
              </w:rPr>
            </w:pPr>
          </w:p>
        </w:tc>
        <w:tc>
          <w:tcPr>
            <w:tcW w:w="1924" w:type="dxa"/>
            <w:vAlign w:val="center"/>
          </w:tcPr>
          <w:p w14:paraId="58854750">
            <w:pPr>
              <w:widowControl/>
              <w:autoSpaceDE w:val="0"/>
              <w:autoSpaceDN w:val="0"/>
              <w:jc w:val="center"/>
              <w:textAlignment w:val="bottom"/>
              <w:rPr>
                <w:szCs w:val="21"/>
              </w:rPr>
            </w:pPr>
          </w:p>
        </w:tc>
      </w:tr>
      <w:tr w14:paraId="7B3B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04A98E55">
            <w:pPr>
              <w:widowControl/>
              <w:autoSpaceDE w:val="0"/>
              <w:autoSpaceDN w:val="0"/>
              <w:jc w:val="center"/>
              <w:textAlignment w:val="bottom"/>
              <w:rPr>
                <w:szCs w:val="21"/>
              </w:rPr>
            </w:pPr>
            <w:r>
              <w:rPr>
                <w:szCs w:val="21"/>
              </w:rPr>
              <w:t>4</w:t>
            </w:r>
          </w:p>
        </w:tc>
        <w:tc>
          <w:tcPr>
            <w:tcW w:w="1287" w:type="dxa"/>
            <w:vAlign w:val="center"/>
          </w:tcPr>
          <w:p w14:paraId="77C600A8">
            <w:pPr>
              <w:widowControl/>
              <w:autoSpaceDE w:val="0"/>
              <w:autoSpaceDN w:val="0"/>
              <w:jc w:val="center"/>
              <w:textAlignment w:val="bottom"/>
              <w:rPr>
                <w:szCs w:val="21"/>
              </w:rPr>
            </w:pPr>
          </w:p>
        </w:tc>
        <w:tc>
          <w:tcPr>
            <w:tcW w:w="3003" w:type="dxa"/>
            <w:vAlign w:val="center"/>
          </w:tcPr>
          <w:p w14:paraId="02142C90">
            <w:pPr>
              <w:widowControl/>
              <w:autoSpaceDE w:val="0"/>
              <w:autoSpaceDN w:val="0"/>
              <w:jc w:val="center"/>
              <w:textAlignment w:val="bottom"/>
              <w:rPr>
                <w:szCs w:val="21"/>
              </w:rPr>
            </w:pPr>
          </w:p>
        </w:tc>
        <w:tc>
          <w:tcPr>
            <w:tcW w:w="1393" w:type="dxa"/>
            <w:vAlign w:val="center"/>
          </w:tcPr>
          <w:p w14:paraId="5AFE49C8">
            <w:pPr>
              <w:widowControl/>
              <w:autoSpaceDE w:val="0"/>
              <w:autoSpaceDN w:val="0"/>
              <w:jc w:val="center"/>
              <w:textAlignment w:val="bottom"/>
              <w:rPr>
                <w:szCs w:val="21"/>
              </w:rPr>
            </w:pPr>
          </w:p>
        </w:tc>
        <w:tc>
          <w:tcPr>
            <w:tcW w:w="1924" w:type="dxa"/>
            <w:vAlign w:val="center"/>
          </w:tcPr>
          <w:p w14:paraId="686163B5">
            <w:pPr>
              <w:widowControl/>
              <w:autoSpaceDE w:val="0"/>
              <w:autoSpaceDN w:val="0"/>
              <w:jc w:val="center"/>
              <w:textAlignment w:val="bottom"/>
              <w:rPr>
                <w:szCs w:val="21"/>
              </w:rPr>
            </w:pPr>
          </w:p>
        </w:tc>
      </w:tr>
      <w:tr w14:paraId="75E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24E3E711">
            <w:pPr>
              <w:widowControl/>
              <w:autoSpaceDE w:val="0"/>
              <w:autoSpaceDN w:val="0"/>
              <w:jc w:val="center"/>
              <w:textAlignment w:val="bottom"/>
              <w:rPr>
                <w:szCs w:val="21"/>
              </w:rPr>
            </w:pPr>
            <w:r>
              <w:rPr>
                <w:szCs w:val="21"/>
              </w:rPr>
              <w:t>5</w:t>
            </w:r>
          </w:p>
        </w:tc>
        <w:tc>
          <w:tcPr>
            <w:tcW w:w="1287" w:type="dxa"/>
            <w:vAlign w:val="center"/>
          </w:tcPr>
          <w:p w14:paraId="562436A4">
            <w:pPr>
              <w:widowControl/>
              <w:autoSpaceDE w:val="0"/>
              <w:autoSpaceDN w:val="0"/>
              <w:jc w:val="center"/>
              <w:textAlignment w:val="bottom"/>
              <w:rPr>
                <w:szCs w:val="21"/>
              </w:rPr>
            </w:pPr>
          </w:p>
        </w:tc>
        <w:tc>
          <w:tcPr>
            <w:tcW w:w="3003" w:type="dxa"/>
            <w:vAlign w:val="center"/>
          </w:tcPr>
          <w:p w14:paraId="465105A6">
            <w:pPr>
              <w:widowControl/>
              <w:autoSpaceDE w:val="0"/>
              <w:autoSpaceDN w:val="0"/>
              <w:jc w:val="center"/>
              <w:textAlignment w:val="bottom"/>
              <w:rPr>
                <w:szCs w:val="21"/>
              </w:rPr>
            </w:pPr>
          </w:p>
        </w:tc>
        <w:tc>
          <w:tcPr>
            <w:tcW w:w="1393" w:type="dxa"/>
            <w:vAlign w:val="center"/>
          </w:tcPr>
          <w:p w14:paraId="2D528381">
            <w:pPr>
              <w:widowControl/>
              <w:autoSpaceDE w:val="0"/>
              <w:autoSpaceDN w:val="0"/>
              <w:jc w:val="center"/>
              <w:textAlignment w:val="bottom"/>
              <w:rPr>
                <w:szCs w:val="21"/>
              </w:rPr>
            </w:pPr>
          </w:p>
        </w:tc>
        <w:tc>
          <w:tcPr>
            <w:tcW w:w="1924" w:type="dxa"/>
            <w:vAlign w:val="center"/>
          </w:tcPr>
          <w:p w14:paraId="518BA94E">
            <w:pPr>
              <w:widowControl/>
              <w:autoSpaceDE w:val="0"/>
              <w:autoSpaceDN w:val="0"/>
              <w:jc w:val="center"/>
              <w:textAlignment w:val="bottom"/>
              <w:rPr>
                <w:szCs w:val="21"/>
              </w:rPr>
            </w:pPr>
          </w:p>
        </w:tc>
      </w:tr>
      <w:tr w14:paraId="4776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14:paraId="5095E6A4">
            <w:pPr>
              <w:widowControl/>
              <w:autoSpaceDE w:val="0"/>
              <w:autoSpaceDN w:val="0"/>
              <w:jc w:val="center"/>
              <w:textAlignment w:val="bottom"/>
              <w:rPr>
                <w:szCs w:val="21"/>
              </w:rPr>
            </w:pPr>
            <w:r>
              <w:rPr>
                <w:szCs w:val="21"/>
              </w:rPr>
              <w:t>6</w:t>
            </w:r>
          </w:p>
        </w:tc>
        <w:tc>
          <w:tcPr>
            <w:tcW w:w="1287" w:type="dxa"/>
            <w:vAlign w:val="center"/>
          </w:tcPr>
          <w:p w14:paraId="21BDFB6B">
            <w:pPr>
              <w:widowControl/>
              <w:autoSpaceDE w:val="0"/>
              <w:autoSpaceDN w:val="0"/>
              <w:jc w:val="center"/>
              <w:textAlignment w:val="bottom"/>
              <w:rPr>
                <w:szCs w:val="21"/>
              </w:rPr>
            </w:pPr>
          </w:p>
        </w:tc>
        <w:tc>
          <w:tcPr>
            <w:tcW w:w="3003" w:type="dxa"/>
            <w:vAlign w:val="center"/>
          </w:tcPr>
          <w:p w14:paraId="1063098C">
            <w:pPr>
              <w:widowControl/>
              <w:autoSpaceDE w:val="0"/>
              <w:autoSpaceDN w:val="0"/>
              <w:jc w:val="center"/>
              <w:textAlignment w:val="bottom"/>
              <w:rPr>
                <w:szCs w:val="21"/>
              </w:rPr>
            </w:pPr>
          </w:p>
        </w:tc>
        <w:tc>
          <w:tcPr>
            <w:tcW w:w="1393" w:type="dxa"/>
            <w:vAlign w:val="center"/>
          </w:tcPr>
          <w:p w14:paraId="4271F2E3">
            <w:pPr>
              <w:widowControl/>
              <w:autoSpaceDE w:val="0"/>
              <w:autoSpaceDN w:val="0"/>
              <w:jc w:val="center"/>
              <w:textAlignment w:val="bottom"/>
              <w:rPr>
                <w:szCs w:val="21"/>
              </w:rPr>
            </w:pPr>
          </w:p>
        </w:tc>
        <w:tc>
          <w:tcPr>
            <w:tcW w:w="1924" w:type="dxa"/>
            <w:vAlign w:val="center"/>
          </w:tcPr>
          <w:p w14:paraId="287FBCB1">
            <w:pPr>
              <w:widowControl/>
              <w:autoSpaceDE w:val="0"/>
              <w:autoSpaceDN w:val="0"/>
              <w:jc w:val="center"/>
              <w:textAlignment w:val="bottom"/>
              <w:rPr>
                <w:szCs w:val="21"/>
              </w:rPr>
            </w:pPr>
          </w:p>
        </w:tc>
      </w:tr>
    </w:tbl>
    <w:p w14:paraId="2C9A4B11">
      <w:pPr>
        <w:rPr>
          <w:szCs w:val="21"/>
        </w:rPr>
      </w:pPr>
    </w:p>
    <w:p w14:paraId="363E85B2">
      <w:pPr>
        <w:pStyle w:val="43"/>
        <w:adjustRightInd w:val="0"/>
        <w:snapToGrid w:val="0"/>
        <w:spacing w:before="156" w:beforeLines="50" w:line="360" w:lineRule="auto"/>
        <w:rPr>
          <w:rFonts w:ascii="Times New Roman" w:hAnsi="Times New Roman"/>
        </w:rPr>
      </w:pPr>
      <w:r>
        <w:rPr>
          <w:rFonts w:ascii="Times New Roman" w:hAnsi="Times New Roman"/>
        </w:rPr>
        <w:t>投标方：</w:t>
      </w:r>
      <w:r>
        <w:rPr>
          <w:rFonts w:ascii="Times New Roman" w:hAnsi="Times New Roman"/>
          <w:u w:val="single"/>
        </w:rPr>
        <w:t xml:space="preserve">             </w:t>
      </w:r>
      <w:r>
        <w:rPr>
          <w:rFonts w:ascii="Times New Roman" w:hAnsi="Times New Roman"/>
        </w:rPr>
        <w:t xml:space="preserve">   盖章：</w:t>
      </w:r>
    </w:p>
    <w:p w14:paraId="179BD230">
      <w:pPr>
        <w:rPr>
          <w:szCs w:val="21"/>
        </w:rPr>
      </w:pPr>
    </w:p>
    <w:p w14:paraId="4FDB2AB7">
      <w:pPr>
        <w:pStyle w:val="4"/>
        <w:spacing w:line="360" w:lineRule="auto"/>
        <w:ind w:left="0"/>
      </w:pPr>
      <w:bookmarkStart w:id="293" w:name="_Toc52271824"/>
      <w:bookmarkStart w:id="294" w:name="_Toc232443392"/>
      <w:bookmarkStart w:id="295" w:name="_Toc226123977"/>
      <w:bookmarkStart w:id="296" w:name="_Toc23633"/>
      <w:bookmarkStart w:id="297" w:name="_Toc6506"/>
      <w:r>
        <w:t>1</w:t>
      </w:r>
      <w:r>
        <w:rPr>
          <w:rFonts w:hint="eastAsia"/>
        </w:rPr>
        <w:t>2</w:t>
      </w:r>
      <w:r>
        <w:t>.2 投标方需说明的其他问题</w:t>
      </w:r>
      <w:bookmarkEnd w:id="293"/>
      <w:bookmarkEnd w:id="294"/>
      <w:bookmarkEnd w:id="295"/>
      <w:bookmarkEnd w:id="296"/>
      <w:bookmarkEnd w:id="297"/>
    </w:p>
    <w:p w14:paraId="26029FEC">
      <w:pPr>
        <w:adjustRightInd w:val="0"/>
        <w:snapToGrid w:val="0"/>
        <w:spacing w:line="360" w:lineRule="auto"/>
        <w:ind w:firstLine="420" w:firstLineChars="200"/>
        <w:rPr>
          <w:szCs w:val="21"/>
        </w:rPr>
      </w:pPr>
      <w:r>
        <w:rPr>
          <w:szCs w:val="21"/>
        </w:rPr>
        <w:t>如有需说明的其他问题，投标方应通过书面形式提交，并加盖公章。</w:t>
      </w:r>
    </w:p>
    <w:p w14:paraId="4DBDFAB9">
      <w:pPr>
        <w:pStyle w:val="284"/>
      </w:pPr>
      <w:bookmarkStart w:id="298" w:name="_Toc226123978"/>
      <w:bookmarkStart w:id="299" w:name="_Toc232443393"/>
      <w:r>
        <w:rPr>
          <w:rFonts w:hint="eastAsia"/>
        </w:rPr>
        <w:t>附件一 广东侧海缆定向钻登陆纵断面</w:t>
      </w:r>
      <w:bookmarkEnd w:id="298"/>
      <w:bookmarkEnd w:id="299"/>
    </w:p>
    <w:p w14:paraId="0C486AD2">
      <w:pPr>
        <w:pStyle w:val="284"/>
      </w:pPr>
      <w:bookmarkStart w:id="300" w:name="_Toc226123979"/>
      <w:bookmarkStart w:id="301" w:name="_Toc232443394"/>
      <w:r>
        <w:rPr>
          <w:rFonts w:hint="eastAsia"/>
        </w:rPr>
        <w:t>附件二 海南侧海缆定向钻登陆纵断面</w:t>
      </w:r>
      <w:bookmarkEnd w:id="300"/>
      <w:bookmarkEnd w:id="301"/>
    </w:p>
    <w:p w14:paraId="5136A513">
      <w:pPr>
        <w:widowControl/>
        <w:jc w:val="left"/>
        <w:rPr>
          <w:szCs w:val="21"/>
        </w:rPr>
      </w:pPr>
      <w:r>
        <w:rPr>
          <w:szCs w:val="21"/>
        </w:rPr>
        <w:br w:type="page"/>
      </w:r>
    </w:p>
    <w:p w14:paraId="386798E1">
      <w:pPr>
        <w:snapToGrid w:val="0"/>
        <w:spacing w:line="360" w:lineRule="auto"/>
        <w:jc w:val="center"/>
        <w:outlineLvl w:val="0"/>
        <w:rPr>
          <w:rFonts w:cstheme="minorBidi"/>
          <w:sz w:val="28"/>
          <w:szCs w:val="28"/>
        </w:rPr>
      </w:pPr>
      <w:bookmarkStart w:id="302" w:name="_Toc232443395"/>
      <w:bookmarkStart w:id="303" w:name="_Toc226123980"/>
      <w:bookmarkStart w:id="304" w:name="_Toc187165564"/>
      <w:r>
        <w:rPr>
          <w:rFonts w:hint="eastAsia" w:cstheme="minorBidi"/>
          <w:sz w:val="28"/>
          <w:szCs w:val="28"/>
        </w:rPr>
        <w:t>附录一  设计联络会</w:t>
      </w:r>
      <w:bookmarkEnd w:id="302"/>
      <w:bookmarkEnd w:id="303"/>
      <w:bookmarkEnd w:id="304"/>
    </w:p>
    <w:p w14:paraId="7960B472">
      <w:pPr>
        <w:snapToGrid w:val="0"/>
        <w:spacing w:line="360" w:lineRule="auto"/>
        <w:ind w:firstLine="420" w:firstLineChars="200"/>
        <w:rPr>
          <w:rFonts w:cstheme="minorBidi"/>
          <w:szCs w:val="21"/>
        </w:rPr>
      </w:pPr>
      <w:r>
        <w:rPr>
          <w:rFonts w:hint="eastAsia" w:cstheme="minorBidi"/>
          <w:szCs w:val="21"/>
        </w:rPr>
        <w:t>1.  为协调设计及其他方面的工作，根据需要，招标方与投标方应至少召开两次设计联络会议（可根据实际情况增加设计联络会次数，但需满足本附录</w:t>
      </w:r>
      <w:r>
        <w:rPr>
          <w:rFonts w:cstheme="minorBidi"/>
          <w:szCs w:val="21"/>
        </w:rPr>
        <w:t>4</w:t>
      </w:r>
      <w:r>
        <w:rPr>
          <w:rFonts w:hint="eastAsia" w:cstheme="minorBidi"/>
          <w:szCs w:val="21"/>
        </w:rPr>
        <w:t>-</w:t>
      </w:r>
      <w:r>
        <w:rPr>
          <w:rFonts w:cstheme="minorBidi"/>
          <w:szCs w:val="21"/>
        </w:rPr>
        <w:t>7</w:t>
      </w:r>
      <w:r>
        <w:rPr>
          <w:rFonts w:hint="eastAsia" w:cstheme="minorBidi"/>
          <w:szCs w:val="21"/>
        </w:rPr>
        <w:t>条要求）。投标方应制定详细的设计联络会日程。签约后，投标方应向招标方建议第一次设计联络会方案。在设计联络会上招标方有权对电缆及其附属设备提出改进意见，投标方应高度重视这些意见并作出改进。</w:t>
      </w:r>
    </w:p>
    <w:p w14:paraId="0DF768E9">
      <w:pPr>
        <w:snapToGrid w:val="0"/>
        <w:spacing w:line="360" w:lineRule="auto"/>
        <w:ind w:firstLine="420" w:firstLineChars="200"/>
        <w:rPr>
          <w:rFonts w:cstheme="minorBidi"/>
          <w:szCs w:val="21"/>
        </w:rPr>
      </w:pPr>
      <w:r>
        <w:rPr>
          <w:rFonts w:hint="eastAsia" w:cstheme="minorBidi"/>
          <w:szCs w:val="21"/>
        </w:rPr>
        <w:t xml:space="preserve">2.  </w:t>
      </w:r>
      <w:r>
        <w:rPr>
          <w:rFonts w:hint="eastAsia"/>
        </w:rPr>
        <w:t>第一次设计联络会</w:t>
      </w:r>
    </w:p>
    <w:p w14:paraId="678070E8">
      <w:pPr>
        <w:snapToGrid w:val="0"/>
        <w:spacing w:line="360" w:lineRule="auto"/>
        <w:ind w:firstLine="420" w:firstLineChars="200"/>
        <w:rPr>
          <w:rFonts w:cstheme="minorBidi"/>
          <w:szCs w:val="21"/>
        </w:rPr>
      </w:pPr>
      <w:r>
        <w:rPr>
          <w:rFonts w:hint="eastAsia" w:cstheme="minorBidi"/>
          <w:szCs w:val="21"/>
        </w:rPr>
        <w:t>2.1  审查和确认联络会前双方提供的图纸和文件。</w:t>
      </w:r>
    </w:p>
    <w:p w14:paraId="45787250">
      <w:pPr>
        <w:snapToGrid w:val="0"/>
        <w:spacing w:line="360" w:lineRule="auto"/>
        <w:ind w:firstLine="420" w:firstLineChars="200"/>
        <w:rPr>
          <w:rFonts w:cstheme="minorBidi"/>
          <w:szCs w:val="21"/>
        </w:rPr>
      </w:pPr>
      <w:r>
        <w:rPr>
          <w:rFonts w:hint="eastAsia" w:cstheme="minorBidi"/>
          <w:szCs w:val="21"/>
        </w:rPr>
        <w:t>2.2  审查和确认海缆及附属设备的技术、结构设计、使用原材料的材质选择和外构件的技术报告以及安装的初步方案。</w:t>
      </w:r>
    </w:p>
    <w:p w14:paraId="38C62E78">
      <w:pPr>
        <w:snapToGrid w:val="0"/>
        <w:spacing w:line="360" w:lineRule="auto"/>
        <w:ind w:firstLine="420" w:firstLineChars="200"/>
        <w:rPr>
          <w:rFonts w:cstheme="minorBidi"/>
          <w:szCs w:val="21"/>
        </w:rPr>
      </w:pPr>
      <w:r>
        <w:rPr>
          <w:rFonts w:hint="eastAsia" w:cstheme="minorBidi"/>
          <w:szCs w:val="21"/>
        </w:rPr>
        <w:t>2.3  审查和确认海缆及附属设备的技术要求。</w:t>
      </w:r>
    </w:p>
    <w:p w14:paraId="25F18F68">
      <w:pPr>
        <w:snapToGrid w:val="0"/>
        <w:spacing w:line="360" w:lineRule="auto"/>
        <w:ind w:firstLine="420" w:firstLineChars="200"/>
        <w:rPr>
          <w:rFonts w:cstheme="minorBidi"/>
          <w:szCs w:val="21"/>
        </w:rPr>
      </w:pPr>
      <w:r>
        <w:rPr>
          <w:rFonts w:hint="eastAsia" w:cstheme="minorBidi"/>
          <w:szCs w:val="21"/>
        </w:rPr>
        <w:t>2.4  审查和确认海缆及附属设备的生产程序、工厂例行试验、特殊试验、型式试验、海缆线路的长期老化试验、海缆线路的安装后试验的内容和进度时间表。</w:t>
      </w:r>
    </w:p>
    <w:p w14:paraId="3F174C24">
      <w:pPr>
        <w:snapToGrid w:val="0"/>
        <w:spacing w:line="360" w:lineRule="auto"/>
        <w:ind w:firstLine="420" w:firstLineChars="200"/>
        <w:rPr>
          <w:rFonts w:cstheme="minorBidi"/>
          <w:szCs w:val="21"/>
        </w:rPr>
      </w:pPr>
      <w:r>
        <w:rPr>
          <w:rFonts w:hint="eastAsia" w:cstheme="minorBidi"/>
          <w:szCs w:val="21"/>
        </w:rPr>
        <w:t>2.</w:t>
      </w:r>
      <w:r>
        <w:rPr>
          <w:rFonts w:cstheme="minorBidi"/>
          <w:szCs w:val="21"/>
        </w:rPr>
        <w:t>5</w:t>
      </w:r>
      <w:r>
        <w:rPr>
          <w:rFonts w:hint="eastAsia" w:cstheme="minorBidi"/>
          <w:szCs w:val="21"/>
        </w:rPr>
        <w:t xml:space="preserve">  讨论交货程序。</w:t>
      </w:r>
    </w:p>
    <w:p w14:paraId="7BD0E63A">
      <w:pPr>
        <w:snapToGrid w:val="0"/>
        <w:spacing w:line="360" w:lineRule="auto"/>
        <w:ind w:firstLine="420" w:firstLineChars="200"/>
        <w:rPr>
          <w:rFonts w:cstheme="minorBidi"/>
          <w:szCs w:val="21"/>
        </w:rPr>
      </w:pPr>
      <w:r>
        <w:rPr>
          <w:rFonts w:hint="eastAsia" w:cstheme="minorBidi"/>
          <w:szCs w:val="21"/>
        </w:rPr>
        <w:t>2.</w:t>
      </w:r>
      <w:r>
        <w:rPr>
          <w:rFonts w:cstheme="minorBidi"/>
          <w:szCs w:val="21"/>
        </w:rPr>
        <w:t>6</w:t>
      </w:r>
      <w:r>
        <w:rPr>
          <w:rFonts w:hint="eastAsia" w:cstheme="minorBidi"/>
          <w:szCs w:val="21"/>
        </w:rPr>
        <w:t xml:space="preserve">  讨论工厂试验及检验监制问题。</w:t>
      </w:r>
    </w:p>
    <w:p w14:paraId="181D4784">
      <w:pPr>
        <w:snapToGrid w:val="0"/>
        <w:spacing w:line="360" w:lineRule="auto"/>
        <w:ind w:firstLine="420" w:firstLineChars="200"/>
        <w:rPr>
          <w:rFonts w:cstheme="minorBidi"/>
          <w:szCs w:val="21"/>
        </w:rPr>
      </w:pPr>
      <w:r>
        <w:rPr>
          <w:rFonts w:hint="eastAsia" w:cstheme="minorBidi"/>
          <w:szCs w:val="21"/>
        </w:rPr>
        <w:t>2.</w:t>
      </w:r>
      <w:r>
        <w:rPr>
          <w:rFonts w:cstheme="minorBidi"/>
          <w:szCs w:val="21"/>
        </w:rPr>
        <w:t>7</w:t>
      </w:r>
      <w:r>
        <w:rPr>
          <w:rFonts w:hint="eastAsia" w:cstheme="minorBidi"/>
          <w:szCs w:val="21"/>
        </w:rPr>
        <w:t xml:space="preserve">  讨论运输、交接、安装、调试及现场试验。</w:t>
      </w:r>
    </w:p>
    <w:p w14:paraId="364D63F4">
      <w:pPr>
        <w:snapToGrid w:val="0"/>
        <w:spacing w:line="360" w:lineRule="auto"/>
        <w:ind w:firstLine="420" w:firstLineChars="200"/>
        <w:rPr>
          <w:rFonts w:cstheme="minorBidi"/>
          <w:szCs w:val="21"/>
        </w:rPr>
      </w:pPr>
      <w:r>
        <w:rPr>
          <w:rFonts w:hint="eastAsia" w:cstheme="minorBidi"/>
          <w:szCs w:val="21"/>
        </w:rPr>
        <w:t>2.</w:t>
      </w:r>
      <w:r>
        <w:rPr>
          <w:rFonts w:cstheme="minorBidi"/>
          <w:szCs w:val="21"/>
        </w:rPr>
        <w:t>8</w:t>
      </w:r>
      <w:r>
        <w:rPr>
          <w:rFonts w:hint="eastAsia" w:cstheme="minorBidi"/>
          <w:szCs w:val="21"/>
        </w:rPr>
        <w:t xml:space="preserve">  审查和确认各段电缆的实际长度、海缆制造日程安排。 </w:t>
      </w:r>
    </w:p>
    <w:p w14:paraId="520048AD">
      <w:pPr>
        <w:snapToGrid w:val="0"/>
        <w:spacing w:line="360" w:lineRule="auto"/>
        <w:ind w:firstLine="420" w:firstLineChars="200"/>
        <w:rPr>
          <w:rFonts w:cstheme="minorBidi"/>
          <w:szCs w:val="21"/>
        </w:rPr>
      </w:pPr>
      <w:r>
        <w:rPr>
          <w:rFonts w:hint="eastAsia" w:cstheme="minorBidi"/>
          <w:szCs w:val="21"/>
        </w:rPr>
        <w:t>2.</w:t>
      </w:r>
      <w:r>
        <w:rPr>
          <w:rFonts w:cstheme="minorBidi"/>
          <w:szCs w:val="21"/>
        </w:rPr>
        <w:t>9</w:t>
      </w:r>
      <w:r>
        <w:rPr>
          <w:rFonts w:hint="eastAsia" w:cstheme="minorBidi"/>
          <w:szCs w:val="21"/>
        </w:rPr>
        <w:t xml:space="preserve">  终端头安装的现场实施方案。</w:t>
      </w:r>
    </w:p>
    <w:p w14:paraId="6FF10829">
      <w:pPr>
        <w:snapToGrid w:val="0"/>
        <w:spacing w:line="360" w:lineRule="auto"/>
        <w:ind w:firstLine="420" w:firstLineChars="200"/>
        <w:rPr>
          <w:rFonts w:cstheme="minorBidi"/>
          <w:szCs w:val="21"/>
        </w:rPr>
      </w:pPr>
      <w:r>
        <w:rPr>
          <w:rFonts w:hint="eastAsia" w:cstheme="minorBidi"/>
          <w:szCs w:val="21"/>
        </w:rPr>
        <w:t>2.</w:t>
      </w:r>
      <w:r>
        <w:rPr>
          <w:rFonts w:cstheme="minorBidi"/>
          <w:szCs w:val="21"/>
        </w:rPr>
        <w:t>10</w:t>
      </w:r>
      <w:r>
        <w:rPr>
          <w:rFonts w:hint="eastAsia" w:cstheme="minorBidi"/>
          <w:szCs w:val="21"/>
        </w:rPr>
        <w:t xml:space="preserve">  审查和确认海缆系统及附属设备安装后的现场试验方案、试验装备、标准等实施细节。</w:t>
      </w:r>
    </w:p>
    <w:p w14:paraId="0CD2FBA4">
      <w:pPr>
        <w:snapToGrid w:val="0"/>
        <w:spacing w:line="360" w:lineRule="auto"/>
        <w:ind w:firstLine="420" w:firstLineChars="200"/>
        <w:rPr>
          <w:rFonts w:cstheme="minorBidi"/>
          <w:szCs w:val="21"/>
        </w:rPr>
      </w:pPr>
      <w:r>
        <w:rPr>
          <w:rFonts w:hint="eastAsia" w:cstheme="minorBidi"/>
          <w:szCs w:val="21"/>
        </w:rPr>
        <w:t>2.</w:t>
      </w:r>
      <w:r>
        <w:rPr>
          <w:rFonts w:cstheme="minorBidi"/>
          <w:szCs w:val="21"/>
        </w:rPr>
        <w:t xml:space="preserve">11  </w:t>
      </w:r>
      <w:r>
        <w:rPr>
          <w:rFonts w:hint="eastAsia" w:cstheme="minorBidi"/>
          <w:szCs w:val="21"/>
        </w:rPr>
        <w:t>其他要求讨论的项目。</w:t>
      </w:r>
    </w:p>
    <w:p w14:paraId="150C880A">
      <w:pPr>
        <w:snapToGrid w:val="0"/>
        <w:spacing w:line="360" w:lineRule="auto"/>
        <w:ind w:firstLine="420" w:firstLineChars="200"/>
        <w:rPr>
          <w:rFonts w:cstheme="minorBidi"/>
          <w:szCs w:val="21"/>
        </w:rPr>
      </w:pPr>
      <w:r>
        <w:rPr>
          <w:rFonts w:hint="eastAsia" w:cstheme="minorBidi"/>
          <w:szCs w:val="21"/>
        </w:rPr>
        <w:t>地点：协商确定。</w:t>
      </w:r>
    </w:p>
    <w:p w14:paraId="1CCBA9B9">
      <w:pPr>
        <w:snapToGrid w:val="0"/>
        <w:spacing w:line="360" w:lineRule="auto"/>
        <w:ind w:firstLine="420" w:firstLineChars="200"/>
        <w:rPr>
          <w:rFonts w:cstheme="minorBidi"/>
          <w:szCs w:val="21"/>
        </w:rPr>
      </w:pPr>
      <w:r>
        <w:rPr>
          <w:rFonts w:hint="eastAsia" w:cstheme="minorBidi"/>
          <w:szCs w:val="21"/>
        </w:rPr>
        <w:t>日期：大约在合同生效后一个月内。</w:t>
      </w:r>
    </w:p>
    <w:p w14:paraId="4C3AD9A0">
      <w:pPr>
        <w:snapToGrid w:val="0"/>
        <w:spacing w:line="360" w:lineRule="auto"/>
        <w:ind w:firstLine="420" w:firstLineChars="200"/>
        <w:rPr>
          <w:rFonts w:cstheme="minorBidi"/>
          <w:szCs w:val="21"/>
        </w:rPr>
      </w:pPr>
      <w:r>
        <w:rPr>
          <w:rFonts w:hint="eastAsia" w:cstheme="minorBidi"/>
          <w:szCs w:val="21"/>
        </w:rPr>
        <w:t>会期：协商确定。</w:t>
      </w:r>
    </w:p>
    <w:p w14:paraId="08BBAA8B">
      <w:pPr>
        <w:snapToGrid w:val="0"/>
        <w:spacing w:line="360" w:lineRule="auto"/>
        <w:ind w:firstLine="420" w:firstLineChars="200"/>
        <w:rPr>
          <w:rFonts w:cstheme="minorBidi"/>
          <w:szCs w:val="21"/>
        </w:rPr>
      </w:pPr>
      <w:r>
        <w:rPr>
          <w:rFonts w:hint="eastAsia" w:cstheme="minorBidi"/>
          <w:szCs w:val="21"/>
        </w:rPr>
        <w:t>招标方参加会议人数： 协商确定。</w:t>
      </w:r>
    </w:p>
    <w:p w14:paraId="228A3AB0">
      <w:pPr>
        <w:snapToGrid w:val="0"/>
        <w:spacing w:line="360" w:lineRule="auto"/>
        <w:ind w:firstLine="420" w:firstLineChars="200"/>
        <w:rPr>
          <w:rFonts w:cstheme="minorBidi"/>
          <w:szCs w:val="21"/>
        </w:rPr>
      </w:pPr>
      <w:r>
        <w:rPr>
          <w:rFonts w:hint="eastAsia" w:cstheme="minorBidi"/>
          <w:szCs w:val="21"/>
        </w:rPr>
        <w:t>投标方参加会议人数：协商确定。</w:t>
      </w:r>
    </w:p>
    <w:p w14:paraId="2BFA4183">
      <w:pPr>
        <w:snapToGrid w:val="0"/>
        <w:spacing w:line="360" w:lineRule="auto"/>
        <w:ind w:firstLine="420" w:firstLineChars="200"/>
        <w:rPr>
          <w:rFonts w:cstheme="minorBidi"/>
          <w:szCs w:val="21"/>
        </w:rPr>
      </w:pPr>
      <w:r>
        <w:rPr>
          <w:rFonts w:hint="eastAsia" w:cstheme="minorBidi"/>
          <w:szCs w:val="21"/>
        </w:rPr>
        <w:t>3.  第二次设计联络会</w:t>
      </w:r>
    </w:p>
    <w:p w14:paraId="3AB014AF">
      <w:pPr>
        <w:snapToGrid w:val="0"/>
        <w:spacing w:line="360" w:lineRule="auto"/>
        <w:ind w:firstLine="420" w:firstLineChars="200"/>
        <w:rPr>
          <w:rFonts w:cstheme="minorBidi"/>
          <w:szCs w:val="21"/>
        </w:rPr>
      </w:pPr>
      <w:r>
        <w:rPr>
          <w:rFonts w:hint="eastAsia" w:cstheme="minorBidi"/>
          <w:szCs w:val="21"/>
        </w:rPr>
        <w:t>3.1</w:t>
      </w:r>
      <w:r>
        <w:rPr>
          <w:rFonts w:cstheme="minorBidi"/>
          <w:szCs w:val="21"/>
        </w:rPr>
        <w:t xml:space="preserve"> </w:t>
      </w:r>
      <w:r>
        <w:rPr>
          <w:rFonts w:hint="eastAsia" w:cstheme="minorBidi"/>
          <w:szCs w:val="21"/>
        </w:rPr>
        <w:t>第一次设计联络会的未尽事宜。</w:t>
      </w:r>
    </w:p>
    <w:p w14:paraId="10164C1A">
      <w:pPr>
        <w:snapToGrid w:val="0"/>
        <w:spacing w:line="360" w:lineRule="auto"/>
        <w:ind w:firstLine="420" w:firstLineChars="200"/>
        <w:rPr>
          <w:rFonts w:cstheme="minorBidi"/>
          <w:szCs w:val="21"/>
        </w:rPr>
      </w:pPr>
      <w:r>
        <w:rPr>
          <w:rFonts w:hint="eastAsia" w:cstheme="minorBidi"/>
          <w:szCs w:val="21"/>
        </w:rPr>
        <w:t>3.2</w:t>
      </w:r>
      <w:r>
        <w:rPr>
          <w:rFonts w:cstheme="minorBidi"/>
          <w:szCs w:val="21"/>
        </w:rPr>
        <w:t xml:space="preserve"> </w:t>
      </w:r>
      <w:r>
        <w:rPr>
          <w:rFonts w:hint="eastAsia" w:cstheme="minorBidi"/>
          <w:szCs w:val="21"/>
        </w:rPr>
        <w:t>批准运输与海缆敷设中注意事项、安装海缆终端和海缆试验的技术文件。</w:t>
      </w:r>
    </w:p>
    <w:p w14:paraId="427242B5">
      <w:pPr>
        <w:snapToGrid w:val="0"/>
        <w:spacing w:line="360" w:lineRule="auto"/>
        <w:ind w:firstLine="420" w:firstLineChars="200"/>
        <w:rPr>
          <w:rFonts w:cstheme="minorBidi"/>
          <w:szCs w:val="21"/>
        </w:rPr>
      </w:pPr>
      <w:r>
        <w:rPr>
          <w:rFonts w:hint="eastAsia" w:cstheme="minorBidi"/>
          <w:szCs w:val="21"/>
        </w:rPr>
        <w:t>3.3</w:t>
      </w:r>
      <w:r>
        <w:rPr>
          <w:rFonts w:cstheme="minorBidi"/>
          <w:szCs w:val="21"/>
        </w:rPr>
        <w:t xml:space="preserve"> </w:t>
      </w:r>
      <w:r>
        <w:rPr>
          <w:rFonts w:hint="eastAsia" w:cstheme="minorBidi"/>
          <w:szCs w:val="21"/>
        </w:rPr>
        <w:t>其他要求讨论的项目。</w:t>
      </w:r>
    </w:p>
    <w:p w14:paraId="3475FB9C">
      <w:pPr>
        <w:snapToGrid w:val="0"/>
        <w:spacing w:line="360" w:lineRule="auto"/>
        <w:ind w:firstLine="420" w:firstLineChars="200"/>
        <w:rPr>
          <w:rFonts w:cstheme="minorBidi"/>
          <w:szCs w:val="21"/>
        </w:rPr>
      </w:pPr>
      <w:r>
        <w:rPr>
          <w:rFonts w:hint="eastAsia" w:cstheme="minorBidi"/>
          <w:szCs w:val="21"/>
        </w:rPr>
        <w:t>地点：协商确定。</w:t>
      </w:r>
    </w:p>
    <w:p w14:paraId="2D42720E">
      <w:pPr>
        <w:snapToGrid w:val="0"/>
        <w:spacing w:line="360" w:lineRule="auto"/>
        <w:ind w:firstLine="420" w:firstLineChars="200"/>
        <w:rPr>
          <w:rFonts w:cstheme="minorBidi"/>
          <w:szCs w:val="21"/>
        </w:rPr>
      </w:pPr>
      <w:r>
        <w:rPr>
          <w:rFonts w:hint="eastAsia" w:cstheme="minorBidi"/>
          <w:szCs w:val="21"/>
        </w:rPr>
        <w:t>日期：协商确定。</w:t>
      </w:r>
    </w:p>
    <w:p w14:paraId="691E4984">
      <w:pPr>
        <w:snapToGrid w:val="0"/>
        <w:spacing w:line="360" w:lineRule="auto"/>
        <w:ind w:firstLine="420" w:firstLineChars="200"/>
        <w:rPr>
          <w:rFonts w:cstheme="minorBidi"/>
          <w:szCs w:val="21"/>
        </w:rPr>
      </w:pPr>
      <w:r>
        <w:rPr>
          <w:rFonts w:hint="eastAsia" w:cstheme="minorBidi"/>
          <w:szCs w:val="21"/>
        </w:rPr>
        <w:t>会期：协商确定。</w:t>
      </w:r>
    </w:p>
    <w:p w14:paraId="49F74344">
      <w:pPr>
        <w:snapToGrid w:val="0"/>
        <w:spacing w:line="360" w:lineRule="auto"/>
        <w:ind w:firstLine="420" w:firstLineChars="200"/>
        <w:rPr>
          <w:rFonts w:cstheme="minorBidi"/>
          <w:szCs w:val="21"/>
        </w:rPr>
      </w:pPr>
      <w:r>
        <w:rPr>
          <w:rFonts w:hint="eastAsia" w:cstheme="minorBidi"/>
          <w:szCs w:val="21"/>
        </w:rPr>
        <w:t>招标方参加会议人数：协商确定。</w:t>
      </w:r>
    </w:p>
    <w:p w14:paraId="2DDC5A47">
      <w:pPr>
        <w:snapToGrid w:val="0"/>
        <w:spacing w:line="360" w:lineRule="auto"/>
        <w:ind w:firstLine="420" w:firstLineChars="200"/>
        <w:rPr>
          <w:rFonts w:cstheme="minorBidi"/>
          <w:szCs w:val="21"/>
        </w:rPr>
      </w:pPr>
      <w:r>
        <w:rPr>
          <w:rFonts w:hint="eastAsia" w:cstheme="minorBidi"/>
          <w:szCs w:val="21"/>
        </w:rPr>
        <w:t>投标方参加会议人数：协商确定。</w:t>
      </w:r>
    </w:p>
    <w:p w14:paraId="79800FB6">
      <w:pPr>
        <w:snapToGrid w:val="0"/>
        <w:spacing w:line="360" w:lineRule="auto"/>
        <w:ind w:firstLine="420" w:firstLineChars="200"/>
        <w:rPr>
          <w:rFonts w:cstheme="minorBidi"/>
          <w:szCs w:val="21"/>
        </w:rPr>
      </w:pPr>
      <w:r>
        <w:rPr>
          <w:rFonts w:hint="eastAsia" w:cstheme="minorBidi"/>
          <w:szCs w:val="21"/>
        </w:rPr>
        <w:t>4.  每次会议均应签署会议纪要，该纪要作为合同文件的组成部分。</w:t>
      </w:r>
    </w:p>
    <w:p w14:paraId="40E7A29E">
      <w:pPr>
        <w:snapToGrid w:val="0"/>
        <w:spacing w:line="360" w:lineRule="auto"/>
        <w:ind w:firstLine="420" w:firstLineChars="200"/>
        <w:rPr>
          <w:rFonts w:cstheme="minorBidi"/>
          <w:szCs w:val="21"/>
        </w:rPr>
      </w:pPr>
      <w:r>
        <w:rPr>
          <w:rFonts w:hint="eastAsia" w:cstheme="minorBidi"/>
          <w:szCs w:val="21"/>
        </w:rPr>
        <w:t>5.  除了上述规定的联合设计和设计联络会议之外，如有需要，经买卖双方达成协议，双方可在任何时间举行额外的设计联络会，讨论和研究任何重要事宜。</w:t>
      </w:r>
    </w:p>
    <w:p w14:paraId="115657A6">
      <w:pPr>
        <w:snapToGrid w:val="0"/>
        <w:spacing w:line="360" w:lineRule="auto"/>
        <w:ind w:firstLine="420" w:firstLineChars="200"/>
        <w:rPr>
          <w:rFonts w:cstheme="minorBidi"/>
          <w:szCs w:val="21"/>
        </w:rPr>
      </w:pPr>
      <w:r>
        <w:rPr>
          <w:rFonts w:hint="eastAsia" w:cstheme="minorBidi"/>
          <w:szCs w:val="21"/>
        </w:rPr>
        <w:t>6.  设计联络会由投标方承担准备、组织、安排会议所需的费用，但不包括招标方自身所发生的费用(机票、食宿、医疗、保险等)。投标方应提供必需的技术文件和制图工具(即图纸、纸张、文具、笔和借用电脑、复印机和传真机等)，且不另行收取任何费用。</w:t>
      </w:r>
    </w:p>
    <w:p w14:paraId="386D4363">
      <w:pPr>
        <w:snapToGrid w:val="0"/>
        <w:spacing w:line="360" w:lineRule="auto"/>
        <w:ind w:firstLine="420" w:firstLineChars="200"/>
        <w:rPr>
          <w:rFonts w:cstheme="minorBidi"/>
          <w:szCs w:val="21"/>
        </w:rPr>
      </w:pPr>
      <w:r>
        <w:rPr>
          <w:rFonts w:hint="eastAsia" w:cstheme="minorBidi"/>
          <w:szCs w:val="21"/>
        </w:rPr>
        <w:t>7.  投标方因参加联合设计和设计联络会议自身所发生的费用已经包含在设备价中。</w:t>
      </w:r>
    </w:p>
    <w:p w14:paraId="52BEFCC3">
      <w:pPr>
        <w:widowControl/>
        <w:jc w:val="left"/>
        <w:rPr>
          <w:rFonts w:cstheme="minorBidi"/>
          <w:szCs w:val="21"/>
        </w:rPr>
      </w:pPr>
      <w:r>
        <w:rPr>
          <w:rFonts w:cstheme="minorBidi"/>
          <w:szCs w:val="21"/>
        </w:rPr>
        <w:br w:type="page"/>
      </w:r>
    </w:p>
    <w:p w14:paraId="03F3AFD7">
      <w:pPr>
        <w:snapToGrid w:val="0"/>
        <w:spacing w:line="360" w:lineRule="auto"/>
        <w:jc w:val="center"/>
        <w:outlineLvl w:val="0"/>
        <w:rPr>
          <w:rFonts w:cstheme="minorBidi"/>
          <w:sz w:val="28"/>
          <w:szCs w:val="28"/>
        </w:rPr>
      </w:pPr>
      <w:bookmarkStart w:id="305" w:name="_Toc232443396"/>
      <w:r>
        <w:rPr>
          <w:rFonts w:hint="eastAsia" w:cstheme="minorBidi"/>
          <w:sz w:val="28"/>
          <w:szCs w:val="28"/>
        </w:rPr>
        <w:t>附录二  自主可控料海缆研发会议说明</w:t>
      </w:r>
      <w:bookmarkEnd w:id="305"/>
    </w:p>
    <w:p w14:paraId="36AD8D45">
      <w:pPr>
        <w:snapToGrid w:val="0"/>
        <w:spacing w:line="360" w:lineRule="auto"/>
        <w:ind w:firstLine="420" w:firstLineChars="200"/>
        <w:rPr>
          <w:rFonts w:cstheme="minorBidi"/>
          <w:szCs w:val="21"/>
        </w:rPr>
      </w:pPr>
      <w:r>
        <w:rPr>
          <w:rFonts w:hint="eastAsia" w:cstheme="minorBidi"/>
          <w:szCs w:val="21"/>
        </w:rPr>
        <w:t>1.  为实时跟进</w:t>
      </w:r>
      <w:r>
        <w:rPr>
          <w:rFonts w:hint="eastAsia" w:asciiTheme="minorEastAsia" w:hAnsiTheme="minorEastAsia" w:eastAsiaTheme="minorEastAsia"/>
        </w:rPr>
        <w:t>自主可控</w:t>
      </w:r>
      <w:r>
        <w:rPr>
          <w:rFonts w:hint="eastAsia" w:cstheme="minorBidi"/>
          <w:szCs w:val="21"/>
        </w:rPr>
        <w:t>海缆研发情况并协调相关工作，根据需要，招标方与投标方应至少召开：</w:t>
      </w:r>
    </w:p>
    <w:p w14:paraId="3B115274">
      <w:pPr>
        <w:snapToGrid w:val="0"/>
        <w:spacing w:line="360" w:lineRule="auto"/>
        <w:ind w:firstLine="420" w:firstLineChars="200"/>
        <w:rPr>
          <w:rFonts w:cstheme="minorBidi"/>
          <w:szCs w:val="21"/>
        </w:rPr>
      </w:pPr>
      <w:r>
        <w:rPr>
          <w:rFonts w:hint="eastAsia" w:cstheme="minorBidi"/>
          <w:szCs w:val="21"/>
        </w:rPr>
        <w:t>（1）一次</w:t>
      </w:r>
      <w:r>
        <w:rPr>
          <w:rFonts w:hint="eastAsia" w:asciiTheme="minorEastAsia" w:hAnsiTheme="minorEastAsia" w:eastAsiaTheme="minorEastAsia"/>
        </w:rPr>
        <w:t>自主可控</w:t>
      </w:r>
      <w:r>
        <w:rPr>
          <w:rFonts w:hint="eastAsia" w:cstheme="minorBidi"/>
          <w:szCs w:val="21"/>
        </w:rPr>
        <w:t>海缆研发技术路线专家评审会议；</w:t>
      </w:r>
    </w:p>
    <w:p w14:paraId="2295036F">
      <w:pPr>
        <w:snapToGrid w:val="0"/>
        <w:spacing w:line="360" w:lineRule="auto"/>
        <w:ind w:firstLine="420" w:firstLineChars="200"/>
        <w:rPr>
          <w:rFonts w:cstheme="minorBidi"/>
          <w:szCs w:val="21"/>
        </w:rPr>
      </w:pPr>
      <w:r>
        <w:rPr>
          <w:rFonts w:hint="eastAsia" w:cstheme="minorBidi"/>
          <w:szCs w:val="21"/>
        </w:rPr>
        <w:t>（</w:t>
      </w:r>
      <w:r>
        <w:rPr>
          <w:rFonts w:cstheme="minorBidi"/>
          <w:szCs w:val="21"/>
        </w:rPr>
        <w:t>2</w:t>
      </w:r>
      <w:r>
        <w:rPr>
          <w:rFonts w:hint="eastAsia" w:cstheme="minorBidi"/>
          <w:szCs w:val="21"/>
        </w:rPr>
        <w:t>）一次</w:t>
      </w:r>
      <w:r>
        <w:rPr>
          <w:rFonts w:hint="eastAsia" w:asciiTheme="minorEastAsia" w:hAnsiTheme="minorEastAsia" w:eastAsiaTheme="minorEastAsia"/>
        </w:rPr>
        <w:t>自主可控</w:t>
      </w:r>
      <w:r>
        <w:rPr>
          <w:rFonts w:hint="eastAsia" w:cstheme="minorBidi"/>
          <w:szCs w:val="21"/>
        </w:rPr>
        <w:t>海缆研发计划专家评审会议；</w:t>
      </w:r>
    </w:p>
    <w:p w14:paraId="49B18441">
      <w:pPr>
        <w:snapToGrid w:val="0"/>
        <w:spacing w:line="360" w:lineRule="auto"/>
        <w:ind w:firstLine="420" w:firstLineChars="200"/>
        <w:rPr>
          <w:rFonts w:cstheme="minorBidi"/>
          <w:szCs w:val="21"/>
        </w:rPr>
      </w:pPr>
      <w:r>
        <w:rPr>
          <w:rFonts w:hint="eastAsia" w:cstheme="minorBidi"/>
          <w:szCs w:val="21"/>
        </w:rPr>
        <w:t>（</w:t>
      </w:r>
      <w:r>
        <w:rPr>
          <w:rFonts w:cstheme="minorBidi"/>
          <w:szCs w:val="21"/>
        </w:rPr>
        <w:t>3</w:t>
      </w:r>
      <w:r>
        <w:rPr>
          <w:rFonts w:hint="eastAsia" w:cstheme="minorBidi"/>
          <w:szCs w:val="21"/>
        </w:rPr>
        <w:t>）</w:t>
      </w:r>
      <w:r>
        <w:rPr>
          <w:rFonts w:hint="eastAsia" w:asciiTheme="minorEastAsia" w:hAnsiTheme="minorEastAsia" w:eastAsiaTheme="minorEastAsia"/>
        </w:rPr>
        <w:t>自主可控</w:t>
      </w:r>
      <w:r>
        <w:rPr>
          <w:rFonts w:hint="eastAsia" w:cstheme="minorBidi"/>
          <w:szCs w:val="21"/>
        </w:rPr>
        <w:t>海缆研发进度报告会议（结合研发进度或招标方需要，必要时开展）；</w:t>
      </w:r>
    </w:p>
    <w:p w14:paraId="3A2B7DAB">
      <w:pPr>
        <w:snapToGrid w:val="0"/>
        <w:spacing w:line="360" w:lineRule="auto"/>
        <w:ind w:firstLine="420" w:firstLineChars="200"/>
        <w:rPr>
          <w:rFonts w:cstheme="minorBidi"/>
          <w:szCs w:val="21"/>
        </w:rPr>
      </w:pPr>
      <w:r>
        <w:rPr>
          <w:rFonts w:hint="eastAsia" w:cstheme="minorBidi"/>
          <w:szCs w:val="21"/>
        </w:rPr>
        <w:t>（</w:t>
      </w:r>
      <w:r>
        <w:rPr>
          <w:rFonts w:cstheme="minorBidi"/>
          <w:szCs w:val="21"/>
        </w:rPr>
        <w:t>4</w:t>
      </w:r>
      <w:r>
        <w:rPr>
          <w:rFonts w:hint="eastAsia" w:cstheme="minorBidi"/>
          <w:szCs w:val="21"/>
        </w:rPr>
        <w:t>）一次</w:t>
      </w:r>
      <w:r>
        <w:rPr>
          <w:rFonts w:hint="eastAsia" w:asciiTheme="minorEastAsia" w:hAnsiTheme="minorEastAsia" w:eastAsiaTheme="minorEastAsia"/>
        </w:rPr>
        <w:t>自主可控</w:t>
      </w:r>
      <w:r>
        <w:rPr>
          <w:rFonts w:hint="eastAsia" w:cstheme="minorBidi"/>
          <w:szCs w:val="21"/>
        </w:rPr>
        <w:t>海缆研发中期专家评审会议；</w:t>
      </w:r>
    </w:p>
    <w:p w14:paraId="3180CA9C">
      <w:pPr>
        <w:snapToGrid w:val="0"/>
        <w:spacing w:line="360" w:lineRule="auto"/>
        <w:ind w:firstLine="420" w:firstLineChars="200"/>
        <w:rPr>
          <w:rFonts w:cstheme="minorBidi"/>
          <w:szCs w:val="21"/>
        </w:rPr>
      </w:pPr>
      <w:r>
        <w:rPr>
          <w:rFonts w:hint="eastAsia" w:cstheme="minorBidi"/>
          <w:szCs w:val="21"/>
        </w:rPr>
        <w:t>（</w:t>
      </w:r>
      <w:r>
        <w:rPr>
          <w:rFonts w:cstheme="minorBidi"/>
          <w:szCs w:val="21"/>
        </w:rPr>
        <w:t>5</w:t>
      </w:r>
      <w:r>
        <w:rPr>
          <w:rFonts w:hint="eastAsia" w:cstheme="minorBidi"/>
          <w:szCs w:val="21"/>
        </w:rPr>
        <w:t>）一次</w:t>
      </w:r>
      <w:r>
        <w:rPr>
          <w:rFonts w:hint="eastAsia" w:asciiTheme="minorEastAsia" w:hAnsiTheme="minorEastAsia" w:eastAsiaTheme="minorEastAsia"/>
        </w:rPr>
        <w:t>自主可控</w:t>
      </w:r>
      <w:r>
        <w:rPr>
          <w:rFonts w:hint="eastAsia" w:cstheme="minorBidi"/>
          <w:szCs w:val="21"/>
        </w:rPr>
        <w:t>海缆研发结果专家评审会议；</w:t>
      </w:r>
    </w:p>
    <w:p w14:paraId="34E99312">
      <w:pPr>
        <w:snapToGrid w:val="0"/>
        <w:spacing w:line="360" w:lineRule="auto"/>
        <w:ind w:firstLine="420" w:firstLineChars="200"/>
        <w:rPr>
          <w:rFonts w:cstheme="minorBidi"/>
          <w:szCs w:val="21"/>
        </w:rPr>
      </w:pPr>
      <w:r>
        <w:rPr>
          <w:rFonts w:hint="eastAsia" w:cstheme="minorBidi"/>
          <w:szCs w:val="21"/>
        </w:rPr>
        <w:t>招标方与投标方均可根据实际情况增加会议次数，并增加会议要求，但至少需满足本附录</w:t>
      </w:r>
      <w:r>
        <w:rPr>
          <w:rFonts w:cstheme="minorBidi"/>
          <w:szCs w:val="21"/>
        </w:rPr>
        <w:t>7-11</w:t>
      </w:r>
      <w:r>
        <w:rPr>
          <w:rFonts w:hint="eastAsia" w:cstheme="minorBidi"/>
          <w:szCs w:val="21"/>
        </w:rPr>
        <w:t>条要求。投标方应制定详细的各个会议日程。合同签订后，投标方应在3日内向招标方报送</w:t>
      </w:r>
      <w:r>
        <w:rPr>
          <w:rFonts w:hint="eastAsia" w:asciiTheme="minorEastAsia" w:hAnsiTheme="minorEastAsia" w:eastAsiaTheme="minorEastAsia"/>
        </w:rPr>
        <w:t>自主可控</w:t>
      </w:r>
      <w:r>
        <w:rPr>
          <w:rFonts w:hint="eastAsia" w:cstheme="minorBidi"/>
          <w:szCs w:val="21"/>
        </w:rPr>
        <w:t>海缆研发技术路线专家评审会议与</w:t>
      </w:r>
      <w:r>
        <w:rPr>
          <w:rFonts w:hint="eastAsia" w:asciiTheme="minorEastAsia" w:hAnsiTheme="minorEastAsia" w:eastAsiaTheme="minorEastAsia"/>
        </w:rPr>
        <w:t>自主可控</w:t>
      </w:r>
      <w:r>
        <w:rPr>
          <w:rFonts w:hint="eastAsia" w:cstheme="minorBidi"/>
          <w:szCs w:val="21"/>
        </w:rPr>
        <w:t>海缆研发计划说明会议的会议方案。在各个会议上招标方有权对</w:t>
      </w:r>
      <w:r>
        <w:rPr>
          <w:rFonts w:hint="eastAsia" w:asciiTheme="minorEastAsia" w:hAnsiTheme="minorEastAsia" w:eastAsiaTheme="minorEastAsia"/>
        </w:rPr>
        <w:t>自主可控</w:t>
      </w:r>
      <w:r>
        <w:rPr>
          <w:rFonts w:hint="eastAsia" w:cstheme="minorBidi"/>
          <w:szCs w:val="21"/>
        </w:rPr>
        <w:t>海缆及其附属设备提出改进意见，投标方应高度重视这些意见并作出改进。</w:t>
      </w:r>
    </w:p>
    <w:p w14:paraId="7FBBEF8E">
      <w:pPr>
        <w:snapToGrid w:val="0"/>
        <w:spacing w:line="360" w:lineRule="auto"/>
        <w:ind w:firstLine="420" w:firstLineChars="200"/>
        <w:rPr>
          <w:rFonts w:cstheme="minorBidi"/>
          <w:szCs w:val="21"/>
        </w:rPr>
      </w:pPr>
      <w:r>
        <w:rPr>
          <w:rFonts w:hint="eastAsia" w:cstheme="minorBidi"/>
          <w:szCs w:val="21"/>
        </w:rPr>
        <w:t>2</w:t>
      </w:r>
      <w:r>
        <w:rPr>
          <w:rFonts w:cstheme="minorBidi"/>
          <w:szCs w:val="21"/>
        </w:rPr>
        <w:t xml:space="preserve">.  </w:t>
      </w:r>
      <w:r>
        <w:rPr>
          <w:rFonts w:hint="eastAsia" w:asciiTheme="minorEastAsia" w:hAnsiTheme="minorEastAsia" w:eastAsiaTheme="minorEastAsia"/>
        </w:rPr>
        <w:t>自主可控</w:t>
      </w:r>
      <w:r>
        <w:rPr>
          <w:rFonts w:hint="eastAsia" w:cstheme="minorBidi"/>
          <w:szCs w:val="21"/>
        </w:rPr>
        <w:t>海缆研发技术路线专家评审会议</w:t>
      </w:r>
    </w:p>
    <w:p w14:paraId="67E20881">
      <w:pPr>
        <w:snapToGrid w:val="0"/>
        <w:spacing w:line="360" w:lineRule="auto"/>
        <w:ind w:firstLine="420" w:firstLineChars="200"/>
        <w:rPr>
          <w:rFonts w:cstheme="minorBidi"/>
          <w:szCs w:val="21"/>
        </w:rPr>
      </w:pPr>
      <w:r>
        <w:rPr>
          <w:rFonts w:hint="eastAsia" w:cstheme="minorBidi"/>
          <w:szCs w:val="21"/>
        </w:rPr>
        <w:t>2.1  邀请专家，审查和确认投标方提出的</w:t>
      </w:r>
      <w:r>
        <w:rPr>
          <w:rFonts w:hint="eastAsia" w:asciiTheme="minorEastAsia" w:hAnsiTheme="minorEastAsia" w:eastAsiaTheme="minorEastAsia"/>
        </w:rPr>
        <w:t>自主可控</w:t>
      </w:r>
      <w:r>
        <w:rPr>
          <w:rFonts w:hint="eastAsia" w:cstheme="minorBidi"/>
          <w:szCs w:val="21"/>
        </w:rPr>
        <w:t>海缆研究技术路线并形成会议纪要。</w:t>
      </w:r>
    </w:p>
    <w:p w14:paraId="656D28AF">
      <w:pPr>
        <w:snapToGrid w:val="0"/>
        <w:spacing w:line="360" w:lineRule="auto"/>
        <w:ind w:firstLine="420" w:firstLineChars="200"/>
        <w:rPr>
          <w:rFonts w:cstheme="minorBidi"/>
          <w:szCs w:val="21"/>
        </w:rPr>
      </w:pPr>
      <w:r>
        <w:rPr>
          <w:rFonts w:hint="eastAsia" w:cstheme="minorBidi"/>
          <w:szCs w:val="21"/>
        </w:rPr>
        <w:t>2.2  确认</w:t>
      </w:r>
      <w:r>
        <w:rPr>
          <w:rFonts w:hint="eastAsia" w:asciiTheme="minorEastAsia" w:hAnsiTheme="minorEastAsia" w:eastAsiaTheme="minorEastAsia"/>
        </w:rPr>
        <w:t>自主可控</w:t>
      </w:r>
      <w:r>
        <w:rPr>
          <w:rFonts w:hint="eastAsia" w:cstheme="minorBidi"/>
          <w:szCs w:val="21"/>
        </w:rPr>
        <w:t>海缆当前研发情况。</w:t>
      </w:r>
    </w:p>
    <w:p w14:paraId="27BEAA07">
      <w:pPr>
        <w:snapToGrid w:val="0"/>
        <w:spacing w:line="360" w:lineRule="auto"/>
        <w:ind w:firstLine="420" w:firstLineChars="200"/>
        <w:rPr>
          <w:rFonts w:cstheme="minorBidi"/>
          <w:szCs w:val="21"/>
        </w:rPr>
      </w:pPr>
      <w:r>
        <w:rPr>
          <w:rFonts w:hint="eastAsia" w:cstheme="minorBidi"/>
          <w:szCs w:val="21"/>
        </w:rPr>
        <w:t>2.</w:t>
      </w:r>
      <w:r>
        <w:rPr>
          <w:rFonts w:cstheme="minorBidi"/>
          <w:szCs w:val="21"/>
        </w:rPr>
        <w:t xml:space="preserve">3  </w:t>
      </w:r>
      <w:r>
        <w:rPr>
          <w:rFonts w:hint="eastAsia" w:cstheme="minorBidi"/>
          <w:szCs w:val="21"/>
        </w:rPr>
        <w:t>其他要求讨论的项目。</w:t>
      </w:r>
    </w:p>
    <w:p w14:paraId="588D89F6">
      <w:pPr>
        <w:snapToGrid w:val="0"/>
        <w:spacing w:line="360" w:lineRule="auto"/>
        <w:ind w:firstLine="420" w:firstLineChars="200"/>
        <w:rPr>
          <w:rFonts w:cstheme="minorBidi"/>
          <w:szCs w:val="21"/>
        </w:rPr>
      </w:pPr>
      <w:r>
        <w:rPr>
          <w:rFonts w:hint="eastAsia" w:cstheme="minorBidi"/>
          <w:szCs w:val="21"/>
        </w:rPr>
        <w:t>日期：大约在合同生效后一周内。</w:t>
      </w:r>
    </w:p>
    <w:p w14:paraId="48F27DC8">
      <w:pPr>
        <w:snapToGrid w:val="0"/>
        <w:spacing w:line="360" w:lineRule="auto"/>
        <w:ind w:firstLine="420" w:firstLineChars="200"/>
        <w:rPr>
          <w:rFonts w:cstheme="minorBidi"/>
          <w:szCs w:val="21"/>
        </w:rPr>
      </w:pPr>
      <w:r>
        <w:rPr>
          <w:rFonts w:hint="eastAsia" w:cstheme="minorBidi"/>
          <w:szCs w:val="21"/>
        </w:rPr>
        <w:t>会议议程、地点、参会人员：协商确定。</w:t>
      </w:r>
    </w:p>
    <w:p w14:paraId="19D02C36">
      <w:pPr>
        <w:snapToGrid w:val="0"/>
        <w:spacing w:line="360" w:lineRule="auto"/>
        <w:ind w:firstLine="420" w:firstLineChars="200"/>
        <w:rPr>
          <w:rFonts w:cstheme="minorBidi"/>
          <w:szCs w:val="21"/>
        </w:rPr>
      </w:pPr>
      <w:r>
        <w:rPr>
          <w:rFonts w:cstheme="minorBidi"/>
          <w:szCs w:val="21"/>
        </w:rPr>
        <w:t>3</w:t>
      </w:r>
      <w:r>
        <w:rPr>
          <w:rFonts w:hint="eastAsia" w:cstheme="minorBidi"/>
          <w:szCs w:val="21"/>
        </w:rPr>
        <w:t xml:space="preserve">.  </w:t>
      </w:r>
      <w:r>
        <w:rPr>
          <w:rFonts w:hint="eastAsia" w:asciiTheme="minorEastAsia" w:hAnsiTheme="minorEastAsia" w:eastAsiaTheme="minorEastAsia"/>
        </w:rPr>
        <w:t>自主可控</w:t>
      </w:r>
      <w:r>
        <w:rPr>
          <w:rFonts w:hint="eastAsia" w:cstheme="minorBidi"/>
          <w:szCs w:val="21"/>
        </w:rPr>
        <w:t>海缆研发计划专家审核会议</w:t>
      </w:r>
    </w:p>
    <w:p w14:paraId="623CE330">
      <w:pPr>
        <w:snapToGrid w:val="0"/>
        <w:spacing w:line="360" w:lineRule="auto"/>
        <w:ind w:firstLine="420" w:firstLineChars="200"/>
        <w:rPr>
          <w:rFonts w:cstheme="minorBidi"/>
          <w:szCs w:val="21"/>
        </w:rPr>
      </w:pPr>
      <w:r>
        <w:rPr>
          <w:rFonts w:cstheme="minorBidi"/>
          <w:szCs w:val="21"/>
        </w:rPr>
        <w:t>3</w:t>
      </w:r>
      <w:r>
        <w:rPr>
          <w:rFonts w:hint="eastAsia" w:cstheme="minorBidi"/>
          <w:szCs w:val="21"/>
        </w:rPr>
        <w:t>.1  邀请专家，审查和确认投标方提出的</w:t>
      </w:r>
      <w:r>
        <w:rPr>
          <w:rFonts w:hint="eastAsia" w:asciiTheme="minorEastAsia" w:hAnsiTheme="minorEastAsia" w:eastAsiaTheme="minorEastAsia"/>
        </w:rPr>
        <w:t>自主可控</w:t>
      </w:r>
      <w:r>
        <w:rPr>
          <w:rFonts w:hint="eastAsia" w:cstheme="minorBidi"/>
          <w:szCs w:val="21"/>
        </w:rPr>
        <w:t>海缆研发计划与各个研发阶段预期成果，形成会议纪要。</w:t>
      </w:r>
    </w:p>
    <w:p w14:paraId="54E4A4E4">
      <w:pPr>
        <w:snapToGrid w:val="0"/>
        <w:spacing w:line="360" w:lineRule="auto"/>
        <w:ind w:firstLine="420" w:firstLineChars="200"/>
        <w:rPr>
          <w:rFonts w:cstheme="minorBidi"/>
          <w:szCs w:val="21"/>
        </w:rPr>
      </w:pPr>
      <w:r>
        <w:rPr>
          <w:rFonts w:cstheme="minorBidi"/>
          <w:szCs w:val="21"/>
        </w:rPr>
        <w:t>3</w:t>
      </w:r>
      <w:r>
        <w:rPr>
          <w:rFonts w:hint="eastAsia" w:cstheme="minorBidi"/>
          <w:szCs w:val="21"/>
        </w:rPr>
        <w:t>.2  进一步确认</w:t>
      </w:r>
      <w:r>
        <w:rPr>
          <w:rFonts w:hint="eastAsia" w:asciiTheme="minorEastAsia" w:hAnsiTheme="minorEastAsia" w:eastAsiaTheme="minorEastAsia"/>
        </w:rPr>
        <w:t>自主可控</w:t>
      </w:r>
      <w:r>
        <w:rPr>
          <w:rFonts w:hint="eastAsia" w:cstheme="minorBidi"/>
          <w:szCs w:val="21"/>
        </w:rPr>
        <w:t>海缆当前研发情况。</w:t>
      </w:r>
    </w:p>
    <w:p w14:paraId="6296B3B7">
      <w:pPr>
        <w:snapToGrid w:val="0"/>
        <w:spacing w:line="360" w:lineRule="auto"/>
        <w:ind w:firstLine="420" w:firstLineChars="200"/>
        <w:rPr>
          <w:rFonts w:cstheme="minorBidi"/>
          <w:szCs w:val="21"/>
        </w:rPr>
      </w:pPr>
      <w:r>
        <w:rPr>
          <w:rFonts w:cstheme="minorBidi"/>
          <w:szCs w:val="21"/>
        </w:rPr>
        <w:t>3</w:t>
      </w:r>
      <w:r>
        <w:rPr>
          <w:rFonts w:hint="eastAsia" w:cstheme="minorBidi"/>
          <w:szCs w:val="21"/>
        </w:rPr>
        <w:t>.3  审查和确认</w:t>
      </w:r>
      <w:r>
        <w:rPr>
          <w:rFonts w:hint="eastAsia" w:asciiTheme="minorEastAsia" w:hAnsiTheme="minorEastAsia" w:eastAsiaTheme="minorEastAsia"/>
        </w:rPr>
        <w:t>自主可控</w:t>
      </w:r>
      <w:r>
        <w:rPr>
          <w:rFonts w:hint="eastAsia" w:cstheme="minorBidi"/>
          <w:szCs w:val="21"/>
        </w:rPr>
        <w:t>海缆的技术要求。</w:t>
      </w:r>
    </w:p>
    <w:p w14:paraId="4A795B1B">
      <w:pPr>
        <w:snapToGrid w:val="0"/>
        <w:spacing w:line="360" w:lineRule="auto"/>
        <w:ind w:firstLine="420" w:firstLineChars="200"/>
        <w:rPr>
          <w:rFonts w:cstheme="minorBidi"/>
          <w:szCs w:val="21"/>
        </w:rPr>
      </w:pPr>
      <w:r>
        <w:rPr>
          <w:rFonts w:cstheme="minorBidi"/>
          <w:szCs w:val="21"/>
        </w:rPr>
        <w:t>3</w:t>
      </w:r>
      <w:r>
        <w:rPr>
          <w:rFonts w:hint="eastAsia" w:cstheme="minorBidi"/>
          <w:szCs w:val="21"/>
        </w:rPr>
        <w:t>.4</w:t>
      </w:r>
      <w:r>
        <w:rPr>
          <w:rFonts w:cstheme="minorBidi"/>
          <w:szCs w:val="21"/>
        </w:rPr>
        <w:t xml:space="preserve">  </w:t>
      </w:r>
      <w:r>
        <w:rPr>
          <w:rFonts w:hint="eastAsia" w:cstheme="minorBidi"/>
          <w:szCs w:val="21"/>
        </w:rPr>
        <w:t>其他要求讨论的项目。</w:t>
      </w:r>
    </w:p>
    <w:p w14:paraId="2CA8FCAB">
      <w:pPr>
        <w:snapToGrid w:val="0"/>
        <w:spacing w:line="360" w:lineRule="auto"/>
        <w:ind w:firstLine="420" w:firstLineChars="200"/>
        <w:rPr>
          <w:rFonts w:cstheme="minorBidi"/>
          <w:szCs w:val="21"/>
        </w:rPr>
      </w:pPr>
      <w:r>
        <w:rPr>
          <w:rFonts w:hint="eastAsia" w:cstheme="minorBidi"/>
          <w:szCs w:val="21"/>
        </w:rPr>
        <w:t>日期：大约在合同生效后两周内。</w:t>
      </w:r>
    </w:p>
    <w:p w14:paraId="69F1E823">
      <w:pPr>
        <w:snapToGrid w:val="0"/>
        <w:spacing w:line="360" w:lineRule="auto"/>
        <w:ind w:firstLine="420" w:firstLineChars="200"/>
        <w:rPr>
          <w:rFonts w:cstheme="minorBidi"/>
          <w:szCs w:val="21"/>
        </w:rPr>
      </w:pPr>
      <w:r>
        <w:rPr>
          <w:rFonts w:hint="eastAsia" w:cstheme="minorBidi"/>
          <w:szCs w:val="21"/>
        </w:rPr>
        <w:t>会议议程、地点、参会人员：协商确定。</w:t>
      </w:r>
    </w:p>
    <w:p w14:paraId="00637384">
      <w:pPr>
        <w:snapToGrid w:val="0"/>
        <w:spacing w:line="360" w:lineRule="auto"/>
        <w:ind w:firstLine="420" w:firstLineChars="200"/>
        <w:rPr>
          <w:rFonts w:cstheme="minorBidi"/>
          <w:szCs w:val="21"/>
        </w:rPr>
      </w:pPr>
      <w:r>
        <w:rPr>
          <w:rFonts w:cstheme="minorBidi"/>
          <w:szCs w:val="21"/>
        </w:rPr>
        <w:t>4</w:t>
      </w:r>
      <w:r>
        <w:rPr>
          <w:rFonts w:hint="eastAsia" w:cstheme="minorBidi"/>
          <w:szCs w:val="21"/>
        </w:rPr>
        <w:t xml:space="preserve">.  </w:t>
      </w:r>
      <w:r>
        <w:rPr>
          <w:rFonts w:hint="eastAsia" w:asciiTheme="minorEastAsia" w:hAnsiTheme="minorEastAsia" w:eastAsiaTheme="minorEastAsia"/>
        </w:rPr>
        <w:t>自主可控</w:t>
      </w:r>
      <w:r>
        <w:rPr>
          <w:rFonts w:hint="eastAsia" w:cstheme="minorBidi"/>
          <w:szCs w:val="21"/>
        </w:rPr>
        <w:t>海缆研发进度报告会议</w:t>
      </w:r>
    </w:p>
    <w:p w14:paraId="0253388B">
      <w:pPr>
        <w:snapToGrid w:val="0"/>
        <w:spacing w:line="360" w:lineRule="auto"/>
        <w:ind w:firstLine="420" w:firstLineChars="200"/>
        <w:rPr>
          <w:rFonts w:cstheme="minorBidi"/>
          <w:szCs w:val="21"/>
        </w:rPr>
      </w:pPr>
      <w:r>
        <w:rPr>
          <w:rFonts w:hint="eastAsia" w:cstheme="minorBidi"/>
          <w:szCs w:val="21"/>
        </w:rPr>
        <w:t>会议中讨论</w:t>
      </w:r>
      <w:r>
        <w:rPr>
          <w:rFonts w:hint="eastAsia" w:asciiTheme="minorEastAsia" w:hAnsiTheme="minorEastAsia" w:eastAsiaTheme="minorEastAsia"/>
        </w:rPr>
        <w:t>自主可控</w:t>
      </w:r>
      <w:r>
        <w:rPr>
          <w:rFonts w:hint="eastAsia" w:cstheme="minorBidi"/>
          <w:szCs w:val="21"/>
        </w:rPr>
        <w:t>海缆研发进度。提出目前困难并商议解决方案，同时提出需招标方配合事项。</w:t>
      </w:r>
    </w:p>
    <w:p w14:paraId="4DACD8B4">
      <w:pPr>
        <w:snapToGrid w:val="0"/>
        <w:spacing w:line="360" w:lineRule="auto"/>
        <w:ind w:firstLine="420" w:firstLineChars="200"/>
        <w:rPr>
          <w:rFonts w:cstheme="minorBidi"/>
          <w:szCs w:val="21"/>
        </w:rPr>
      </w:pPr>
      <w:r>
        <w:rPr>
          <w:rFonts w:hint="eastAsia" w:cstheme="minorBidi"/>
          <w:szCs w:val="21"/>
        </w:rPr>
        <w:t>日期：暂定每三个月一次，具体日期协商确定。</w:t>
      </w:r>
    </w:p>
    <w:p w14:paraId="7B02600B">
      <w:pPr>
        <w:snapToGrid w:val="0"/>
        <w:spacing w:line="360" w:lineRule="auto"/>
        <w:ind w:firstLine="420" w:firstLineChars="200"/>
        <w:rPr>
          <w:rFonts w:cstheme="minorBidi"/>
          <w:szCs w:val="21"/>
        </w:rPr>
      </w:pPr>
      <w:r>
        <w:rPr>
          <w:rFonts w:hint="eastAsia" w:cstheme="minorBidi"/>
          <w:szCs w:val="21"/>
        </w:rPr>
        <w:t>会议议程、地点、参会人员：协商确定。</w:t>
      </w:r>
    </w:p>
    <w:p w14:paraId="252B9124">
      <w:pPr>
        <w:snapToGrid w:val="0"/>
        <w:spacing w:line="360" w:lineRule="auto"/>
        <w:ind w:firstLine="420" w:firstLineChars="200"/>
        <w:rPr>
          <w:rFonts w:cstheme="minorBidi"/>
          <w:szCs w:val="21"/>
        </w:rPr>
      </w:pPr>
      <w:r>
        <w:rPr>
          <w:rFonts w:cstheme="minorBidi"/>
          <w:szCs w:val="21"/>
        </w:rPr>
        <w:t>5</w:t>
      </w:r>
      <w:r>
        <w:rPr>
          <w:rFonts w:hint="eastAsia" w:cstheme="minorBidi"/>
          <w:szCs w:val="21"/>
        </w:rPr>
        <w:t xml:space="preserve">.  </w:t>
      </w:r>
      <w:r>
        <w:rPr>
          <w:rFonts w:hint="eastAsia" w:asciiTheme="minorEastAsia" w:hAnsiTheme="minorEastAsia" w:eastAsiaTheme="minorEastAsia"/>
        </w:rPr>
        <w:t>自主可控</w:t>
      </w:r>
      <w:r>
        <w:rPr>
          <w:rFonts w:hint="eastAsia" w:cstheme="minorBidi"/>
          <w:szCs w:val="21"/>
        </w:rPr>
        <w:t>海缆研发中期专家评审会议</w:t>
      </w:r>
    </w:p>
    <w:p w14:paraId="136BD165">
      <w:pPr>
        <w:snapToGrid w:val="0"/>
        <w:spacing w:line="360" w:lineRule="auto"/>
        <w:ind w:firstLine="420" w:firstLineChars="200"/>
        <w:rPr>
          <w:rFonts w:cstheme="minorBidi"/>
          <w:szCs w:val="21"/>
        </w:rPr>
      </w:pPr>
      <w:r>
        <w:rPr>
          <w:rFonts w:hint="eastAsia" w:cstheme="minorBidi"/>
          <w:szCs w:val="21"/>
        </w:rPr>
        <w:t>1、组织专家审核当前</w:t>
      </w:r>
      <w:r>
        <w:rPr>
          <w:rFonts w:hint="eastAsia" w:asciiTheme="minorEastAsia" w:hAnsiTheme="minorEastAsia" w:eastAsiaTheme="minorEastAsia"/>
        </w:rPr>
        <w:t>自主可控</w:t>
      </w:r>
      <w:r>
        <w:rPr>
          <w:rFonts w:hint="eastAsia" w:cstheme="minorBidi"/>
          <w:szCs w:val="21"/>
        </w:rPr>
        <w:t>海缆研发进度及成果（中期成果），形成会议纪要，纪要中需明确判断</w:t>
      </w:r>
      <w:r>
        <w:rPr>
          <w:rFonts w:hint="eastAsia" w:asciiTheme="minorEastAsia" w:hAnsiTheme="minorEastAsia" w:eastAsiaTheme="minorEastAsia"/>
        </w:rPr>
        <w:t>自主可控</w:t>
      </w:r>
      <w:r>
        <w:rPr>
          <w:rFonts w:hint="eastAsia" w:cstheme="minorBidi"/>
          <w:szCs w:val="21"/>
        </w:rPr>
        <w:t>海缆是否生产的时间（该时间至少应在2</w:t>
      </w:r>
      <w:r>
        <w:rPr>
          <w:rFonts w:cstheme="minorBidi"/>
          <w:szCs w:val="21"/>
        </w:rPr>
        <w:t>028</w:t>
      </w:r>
      <w:r>
        <w:rPr>
          <w:rFonts w:hint="eastAsia" w:cstheme="minorBidi"/>
          <w:szCs w:val="21"/>
        </w:rPr>
        <w:t>年</w:t>
      </w:r>
      <w:r>
        <w:rPr>
          <w:rFonts w:cstheme="minorBidi"/>
          <w:szCs w:val="21"/>
        </w:rPr>
        <w:t>7</w:t>
      </w:r>
      <w:r>
        <w:rPr>
          <w:rFonts w:hint="eastAsia" w:cstheme="minorBidi"/>
          <w:szCs w:val="21"/>
        </w:rPr>
        <w:t>月</w:t>
      </w:r>
      <w:r>
        <w:rPr>
          <w:rFonts w:cstheme="minorBidi"/>
          <w:szCs w:val="21"/>
        </w:rPr>
        <w:t>30</w:t>
      </w:r>
      <w:r>
        <w:rPr>
          <w:rFonts w:hint="eastAsia" w:cstheme="minorBidi"/>
          <w:szCs w:val="21"/>
        </w:rPr>
        <w:t>日前）、</w:t>
      </w:r>
      <w:r>
        <w:rPr>
          <w:rFonts w:hint="eastAsia" w:asciiTheme="minorEastAsia" w:hAnsiTheme="minorEastAsia" w:eastAsiaTheme="minorEastAsia"/>
        </w:rPr>
        <w:t>自主可控</w:t>
      </w:r>
      <w:r>
        <w:rPr>
          <w:rFonts w:hint="eastAsia" w:cstheme="minorBidi"/>
          <w:szCs w:val="21"/>
        </w:rPr>
        <w:t>海缆生产条件。</w:t>
      </w:r>
    </w:p>
    <w:p w14:paraId="2A4CD5D3">
      <w:pPr>
        <w:snapToGrid w:val="0"/>
        <w:spacing w:line="360" w:lineRule="auto"/>
        <w:ind w:firstLine="420" w:firstLineChars="200"/>
        <w:rPr>
          <w:rFonts w:cstheme="minorBidi"/>
          <w:szCs w:val="21"/>
        </w:rPr>
      </w:pPr>
      <w:r>
        <w:rPr>
          <w:rFonts w:cstheme="minorBidi"/>
          <w:szCs w:val="21"/>
        </w:rPr>
        <w:t>2</w:t>
      </w:r>
      <w:r>
        <w:rPr>
          <w:rFonts w:hint="eastAsia" w:cstheme="minorBidi"/>
          <w:szCs w:val="21"/>
        </w:rPr>
        <w:t>、组织专家审核海缆大长度挤出验证试验方案，</w:t>
      </w:r>
      <w:r>
        <w:rPr>
          <w:rFonts w:hint="eastAsia" w:ascii="Segoe UI" w:hAnsi="Segoe UI" w:cs="Segoe UI"/>
          <w:color w:val="0F1115"/>
          <w:shd w:val="clear" w:color="auto" w:fill="FFFFFF"/>
        </w:rPr>
        <w:t>明确挤出长度、试验次数、取样位置、检测项目及合格判据等关键要素。</w:t>
      </w:r>
    </w:p>
    <w:p w14:paraId="60B3DA17">
      <w:pPr>
        <w:snapToGrid w:val="0"/>
        <w:spacing w:line="360" w:lineRule="auto"/>
        <w:ind w:firstLine="420" w:firstLineChars="200"/>
        <w:rPr>
          <w:rFonts w:cstheme="minorBidi"/>
          <w:szCs w:val="21"/>
        </w:rPr>
      </w:pPr>
      <w:r>
        <w:rPr>
          <w:rFonts w:hint="eastAsia" w:cstheme="minorBidi"/>
          <w:szCs w:val="21"/>
        </w:rPr>
        <w:t>日期：2</w:t>
      </w:r>
      <w:r>
        <w:rPr>
          <w:rFonts w:cstheme="minorBidi"/>
          <w:szCs w:val="21"/>
        </w:rPr>
        <w:t>027</w:t>
      </w:r>
      <w:r>
        <w:rPr>
          <w:rFonts w:hint="eastAsia" w:cstheme="minorBidi"/>
          <w:szCs w:val="21"/>
        </w:rPr>
        <w:t>年9月3</w:t>
      </w:r>
      <w:r>
        <w:rPr>
          <w:rFonts w:cstheme="minorBidi"/>
          <w:szCs w:val="21"/>
        </w:rPr>
        <w:t>0</w:t>
      </w:r>
      <w:r>
        <w:rPr>
          <w:rFonts w:hint="eastAsia" w:cstheme="minorBidi"/>
          <w:szCs w:val="21"/>
        </w:rPr>
        <w:t>日前。</w:t>
      </w:r>
    </w:p>
    <w:p w14:paraId="6EC28768">
      <w:pPr>
        <w:pStyle w:val="2"/>
        <w:ind w:firstLine="420"/>
      </w:pPr>
      <w:r>
        <w:rPr>
          <w:rFonts w:hint="eastAsia" w:cstheme="minorBidi"/>
          <w:szCs w:val="21"/>
        </w:rPr>
        <w:t>会议议程、地点、参会人员：协商确定。</w:t>
      </w:r>
    </w:p>
    <w:p w14:paraId="37D1A5EE">
      <w:pPr>
        <w:snapToGrid w:val="0"/>
        <w:spacing w:line="360" w:lineRule="auto"/>
        <w:ind w:firstLine="420" w:firstLineChars="200"/>
        <w:rPr>
          <w:rFonts w:cstheme="minorBidi"/>
          <w:szCs w:val="21"/>
        </w:rPr>
      </w:pPr>
      <w:r>
        <w:rPr>
          <w:rFonts w:cstheme="minorBidi"/>
          <w:szCs w:val="21"/>
        </w:rPr>
        <w:t>6</w:t>
      </w:r>
      <w:r>
        <w:rPr>
          <w:rFonts w:hint="eastAsia" w:cstheme="minorBidi"/>
          <w:szCs w:val="21"/>
        </w:rPr>
        <w:t xml:space="preserve">.  </w:t>
      </w:r>
      <w:r>
        <w:rPr>
          <w:rFonts w:hint="eastAsia" w:asciiTheme="minorEastAsia" w:hAnsiTheme="minorEastAsia" w:eastAsiaTheme="minorEastAsia"/>
        </w:rPr>
        <w:t>自主可控</w:t>
      </w:r>
      <w:r>
        <w:rPr>
          <w:rFonts w:hint="eastAsia" w:cstheme="minorBidi"/>
          <w:szCs w:val="21"/>
        </w:rPr>
        <w:t>海缆研发结果专家评审会议</w:t>
      </w:r>
    </w:p>
    <w:p w14:paraId="00D76CC3">
      <w:pPr>
        <w:snapToGrid w:val="0"/>
        <w:spacing w:line="360" w:lineRule="auto"/>
        <w:ind w:firstLine="420" w:firstLineChars="200"/>
        <w:rPr>
          <w:rFonts w:cstheme="minorBidi"/>
          <w:szCs w:val="21"/>
        </w:rPr>
      </w:pPr>
      <w:r>
        <w:rPr>
          <w:rFonts w:hint="eastAsia" w:cstheme="minorBidi"/>
          <w:szCs w:val="21"/>
        </w:rPr>
        <w:t>召开</w:t>
      </w:r>
      <w:r>
        <w:rPr>
          <w:rFonts w:hint="eastAsia" w:asciiTheme="minorEastAsia" w:hAnsiTheme="minorEastAsia" w:eastAsiaTheme="minorEastAsia"/>
        </w:rPr>
        <w:t>自主可控</w:t>
      </w:r>
      <w:r>
        <w:rPr>
          <w:rFonts w:hint="eastAsia" w:cstheme="minorBidi"/>
          <w:szCs w:val="21"/>
        </w:rPr>
        <w:t>海缆最终成果专家评审会，并形成正式纪要。纪要至少需明确：本工程是否应用</w:t>
      </w:r>
      <w:r>
        <w:rPr>
          <w:rFonts w:hint="eastAsia" w:asciiTheme="minorEastAsia" w:hAnsiTheme="minorEastAsia" w:eastAsiaTheme="minorEastAsia"/>
        </w:rPr>
        <w:t>自主可控</w:t>
      </w:r>
      <w:r>
        <w:rPr>
          <w:rFonts w:hint="eastAsia" w:cstheme="minorBidi"/>
          <w:szCs w:val="21"/>
        </w:rPr>
        <w:t>海缆及推荐的应用方式。</w:t>
      </w:r>
    </w:p>
    <w:p w14:paraId="63742B63">
      <w:pPr>
        <w:snapToGrid w:val="0"/>
        <w:spacing w:line="360" w:lineRule="auto"/>
        <w:ind w:firstLine="420" w:firstLineChars="200"/>
        <w:rPr>
          <w:rFonts w:cstheme="minorBidi"/>
          <w:szCs w:val="21"/>
        </w:rPr>
      </w:pPr>
      <w:r>
        <w:rPr>
          <w:rFonts w:hint="eastAsia" w:cstheme="minorBidi"/>
          <w:szCs w:val="21"/>
        </w:rPr>
        <w:t>日期：暂定</w:t>
      </w:r>
      <w:r>
        <w:rPr>
          <w:rFonts w:hint="eastAsia" w:asciiTheme="minorEastAsia" w:hAnsiTheme="minorEastAsia" w:eastAsiaTheme="minorEastAsia"/>
        </w:rPr>
        <w:t>自主可控</w:t>
      </w:r>
      <w:r>
        <w:rPr>
          <w:rFonts w:hint="eastAsia" w:cstheme="minorBidi"/>
          <w:szCs w:val="21"/>
        </w:rPr>
        <w:t>海缆完成预鉴定试验前一个月开展，具体时间可由</w:t>
      </w:r>
      <w:r>
        <w:rPr>
          <w:rFonts w:hint="eastAsia" w:asciiTheme="minorEastAsia" w:hAnsiTheme="minorEastAsia" w:eastAsiaTheme="minorEastAsia"/>
        </w:rPr>
        <w:t>自主可控</w:t>
      </w:r>
      <w:r>
        <w:rPr>
          <w:rFonts w:hint="eastAsia" w:cstheme="minorBidi"/>
          <w:szCs w:val="21"/>
        </w:rPr>
        <w:t>海缆研发中期专家评审会议确定，但不晚于2</w:t>
      </w:r>
      <w:r>
        <w:rPr>
          <w:rFonts w:cstheme="minorBidi"/>
          <w:szCs w:val="21"/>
        </w:rPr>
        <w:t>028</w:t>
      </w:r>
      <w:r>
        <w:rPr>
          <w:rFonts w:hint="eastAsia" w:cstheme="minorBidi"/>
          <w:szCs w:val="21"/>
        </w:rPr>
        <w:t>年</w:t>
      </w:r>
      <w:r>
        <w:rPr>
          <w:rFonts w:cstheme="minorBidi"/>
          <w:szCs w:val="21"/>
        </w:rPr>
        <w:t>7</w:t>
      </w:r>
      <w:r>
        <w:rPr>
          <w:rFonts w:hint="eastAsia" w:cstheme="minorBidi"/>
          <w:szCs w:val="21"/>
        </w:rPr>
        <w:t>月3</w:t>
      </w:r>
      <w:r>
        <w:rPr>
          <w:rFonts w:cstheme="minorBidi"/>
          <w:szCs w:val="21"/>
        </w:rPr>
        <w:t>0</w:t>
      </w:r>
      <w:r>
        <w:rPr>
          <w:rFonts w:hint="eastAsia" w:cstheme="minorBidi"/>
          <w:szCs w:val="21"/>
        </w:rPr>
        <w:t>日。</w:t>
      </w:r>
    </w:p>
    <w:p w14:paraId="7AB157CB">
      <w:pPr>
        <w:snapToGrid w:val="0"/>
        <w:spacing w:line="360" w:lineRule="auto"/>
        <w:ind w:firstLine="420" w:firstLineChars="200"/>
        <w:rPr>
          <w:rFonts w:cstheme="minorBidi"/>
          <w:szCs w:val="21"/>
        </w:rPr>
      </w:pPr>
      <w:r>
        <w:rPr>
          <w:rFonts w:hint="eastAsia" w:cstheme="minorBidi"/>
          <w:szCs w:val="21"/>
        </w:rPr>
        <w:t>会议议程、地点、参会人员：协商确定。</w:t>
      </w:r>
    </w:p>
    <w:p w14:paraId="00820275">
      <w:pPr>
        <w:snapToGrid w:val="0"/>
        <w:spacing w:line="360" w:lineRule="auto"/>
        <w:ind w:firstLine="420" w:firstLineChars="200"/>
        <w:rPr>
          <w:rFonts w:cstheme="minorBidi"/>
          <w:szCs w:val="21"/>
        </w:rPr>
      </w:pPr>
      <w:r>
        <w:rPr>
          <w:rFonts w:cstheme="minorBidi"/>
          <w:szCs w:val="21"/>
        </w:rPr>
        <w:t>7</w:t>
      </w:r>
      <w:r>
        <w:rPr>
          <w:rFonts w:hint="eastAsia" w:cstheme="minorBidi"/>
          <w:szCs w:val="21"/>
        </w:rPr>
        <w:t>.  每次会议均应签署会议纪要或专家意见，上述文件作为合同文件的组成部分。</w:t>
      </w:r>
    </w:p>
    <w:p w14:paraId="16A4F1C9">
      <w:pPr>
        <w:snapToGrid w:val="0"/>
        <w:spacing w:line="360" w:lineRule="auto"/>
        <w:ind w:firstLine="420" w:firstLineChars="200"/>
        <w:rPr>
          <w:rFonts w:cstheme="minorBidi"/>
          <w:szCs w:val="21"/>
        </w:rPr>
      </w:pPr>
      <w:r>
        <w:rPr>
          <w:rFonts w:cstheme="minorBidi"/>
          <w:szCs w:val="21"/>
        </w:rPr>
        <w:t>8</w:t>
      </w:r>
      <w:r>
        <w:rPr>
          <w:rFonts w:hint="eastAsia" w:cstheme="minorBidi"/>
          <w:szCs w:val="21"/>
        </w:rPr>
        <w:t>.  除了上述规定的会议之外，如有需要，经协商确定，双方可在任何时间举行额外的会议，讨论和研究任何重要事宜。</w:t>
      </w:r>
    </w:p>
    <w:p w14:paraId="50DC7719">
      <w:pPr>
        <w:snapToGrid w:val="0"/>
        <w:spacing w:line="360" w:lineRule="auto"/>
        <w:ind w:firstLine="420" w:firstLineChars="200"/>
        <w:rPr>
          <w:rFonts w:cstheme="minorBidi"/>
          <w:szCs w:val="21"/>
        </w:rPr>
      </w:pPr>
      <w:r>
        <w:rPr>
          <w:rFonts w:cstheme="minorBidi"/>
          <w:szCs w:val="21"/>
        </w:rPr>
        <w:t>9</w:t>
      </w:r>
      <w:r>
        <w:rPr>
          <w:rFonts w:hint="eastAsia" w:cstheme="minorBidi"/>
          <w:szCs w:val="21"/>
        </w:rPr>
        <w:t>.  本附录所涉及会议由投标方承担准备、组织、安排会议所需的费用，但不包括招标方自身所发生的费用(机票、食宿、医疗、保险等)。投标方应提供必需的技术文件和制图工具(即图纸、纸张、文具、笔和借用电脑、复印机和传真机等)，且不另行收取任何费用。</w:t>
      </w:r>
    </w:p>
    <w:p w14:paraId="34D1DF93">
      <w:pPr>
        <w:snapToGrid w:val="0"/>
        <w:spacing w:line="360" w:lineRule="auto"/>
        <w:ind w:firstLine="420" w:firstLineChars="200"/>
        <w:rPr>
          <w:rFonts w:cstheme="minorBidi"/>
          <w:szCs w:val="21"/>
        </w:rPr>
      </w:pPr>
      <w:r>
        <w:rPr>
          <w:rFonts w:cstheme="minorBidi"/>
          <w:szCs w:val="21"/>
        </w:rPr>
        <w:t>10</w:t>
      </w:r>
      <w:r>
        <w:rPr>
          <w:rFonts w:hint="eastAsia" w:cstheme="minorBidi"/>
          <w:szCs w:val="21"/>
        </w:rPr>
        <w:t>.  投标方因参加本附录会议自身所发生的费用已经包含在设备价中。</w:t>
      </w:r>
    </w:p>
    <w:p w14:paraId="39885438">
      <w:pPr>
        <w:snapToGrid w:val="0"/>
        <w:spacing w:line="360" w:lineRule="auto"/>
        <w:ind w:firstLine="420" w:firstLineChars="200"/>
        <w:rPr>
          <w:rFonts w:hint="eastAsia"/>
          <w:szCs w:val="21"/>
        </w:rPr>
      </w:pPr>
      <w:r>
        <w:rPr>
          <w:rFonts w:hint="eastAsia" w:cstheme="minorBidi"/>
          <w:szCs w:val="21"/>
        </w:rPr>
        <w:t>1</w:t>
      </w:r>
      <w:r>
        <w:rPr>
          <w:rFonts w:cstheme="minorBidi"/>
          <w:szCs w:val="21"/>
        </w:rPr>
        <w:t xml:space="preserve">1.  </w:t>
      </w:r>
      <w:r>
        <w:rPr>
          <w:rFonts w:hint="eastAsia" w:cstheme="minorBidi"/>
          <w:szCs w:val="21"/>
        </w:rPr>
        <w:t>所有会议邀请专家人员名单须经招标方确认</w:t>
      </w:r>
    </w:p>
    <w:sectPr>
      <w:footerReference r:id="rId13" w:type="default"/>
      <w:pgSz w:w="11906" w:h="16838"/>
      <w:pgMar w:top="1134" w:right="1418" w:bottom="1418" w:left="141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五">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FDAF9">
    <w:pPr>
      <w:pStyle w:val="52"/>
      <w:ind w:left="1260"/>
    </w:pPr>
  </w:p>
  <w:p w14:paraId="7A503482">
    <w:pPr>
      <w:pStyle w:val="5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77CAE">
    <w:pPr>
      <w:pStyle w:val="5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3022717"/>
    </w:sdtPr>
    <w:sdtContent>
      <w:p w14:paraId="2DAB4CA3">
        <w:pPr>
          <w:pStyle w:val="52"/>
          <w:ind w:left="1260"/>
        </w:pPr>
        <w:r>
          <w:t xml:space="preserve">                                   </w:t>
        </w:r>
        <w:r>
          <w:fldChar w:fldCharType="begin"/>
        </w:r>
        <w:r>
          <w:instrText xml:space="preserve">PAGE   \* MERGEFORMAT</w:instrText>
        </w:r>
        <w:r>
          <w:fldChar w:fldCharType="separate"/>
        </w:r>
        <w:r>
          <w:rPr>
            <w:lang w:val="zh-CN"/>
          </w:rPr>
          <w:t>1</w:t>
        </w:r>
        <w:r>
          <w:fldChar w:fldCharType="end"/>
        </w:r>
      </w:p>
    </w:sdtContent>
  </w:sdt>
  <w:p w14:paraId="1FA7D26C">
    <w:pPr>
      <w:pStyle w:val="52"/>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86139">
    <w:pPr>
      <w:pStyle w:val="52"/>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48B35">
    <w:pPr>
      <w:pStyle w:val="52"/>
      <w:jc w:val="center"/>
    </w:pPr>
    <w:r>
      <w:fldChar w:fldCharType="begin"/>
    </w:r>
    <w:r>
      <w:rPr>
        <w:rStyle w:val="89"/>
      </w:rPr>
      <w:instrText xml:space="preserve"> PAGE </w:instrText>
    </w:r>
    <w:r>
      <w:fldChar w:fldCharType="separate"/>
    </w:r>
    <w:r>
      <w:rPr>
        <w:rStyle w:val="89"/>
      </w:rPr>
      <w:t>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8629369"/>
    </w:sdtPr>
    <w:sdtContent>
      <w:p w14:paraId="0DFAF254">
        <w:pPr>
          <w:pStyle w:val="52"/>
          <w:ind w:left="1260"/>
        </w:pPr>
        <w:r>
          <w:t xml:space="preserve">                                                               </w:t>
        </w:r>
        <w:r>
          <w:fldChar w:fldCharType="begin"/>
        </w:r>
        <w:r>
          <w:instrText xml:space="preserve">PAGE   \* MERGEFORMAT</w:instrText>
        </w:r>
        <w:r>
          <w:fldChar w:fldCharType="separate"/>
        </w:r>
        <w:r>
          <w:rPr>
            <w:lang w:val="zh-CN"/>
          </w:rPr>
          <w:t>47</w:t>
        </w:r>
        <w:r>
          <w:fldChar w:fldCharType="end"/>
        </w:r>
      </w:p>
    </w:sdtContent>
  </w:sdt>
  <w:p w14:paraId="6F2F2A9F">
    <w:pPr>
      <w:pStyle w:val="52"/>
      <w:ind w:right="36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6367310B">
        <w:pPr>
          <w:pStyle w:val="52"/>
          <w:ind w:left="1260"/>
        </w:pPr>
        <w:r>
          <w:t xml:space="preserve">                                  </w:t>
        </w:r>
        <w:r>
          <w:fldChar w:fldCharType="begin"/>
        </w:r>
        <w:r>
          <w:instrText xml:space="preserve">PAGE   \* MERGEFORMAT</w:instrText>
        </w:r>
        <w:r>
          <w:fldChar w:fldCharType="separate"/>
        </w:r>
        <w:r>
          <w:rPr>
            <w:lang w:val="zh-CN"/>
          </w:rPr>
          <w:t>48</w:t>
        </w:r>
        <w:r>
          <w:fldChar w:fldCharType="end"/>
        </w:r>
      </w:p>
    </w:sdtContent>
  </w:sdt>
  <w:p w14:paraId="08D1662A">
    <w:pPr>
      <w:pStyle w:val="52"/>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5ADF1">
    <w:pPr>
      <w:pStyle w:val="52"/>
      <w:ind w:left="1260"/>
    </w:pPr>
    <w:r>
      <w:t xml:space="preserve">                                    </w:t>
    </w:r>
    <w:sdt>
      <w:sdtPr>
        <w:id w:val="770029713"/>
      </w:sdtPr>
      <w:sdtContent>
        <w:r>
          <w:fldChar w:fldCharType="begin"/>
        </w:r>
        <w:r>
          <w:instrText xml:space="preserve">PAGE   \* MERGEFORMAT</w:instrText>
        </w:r>
        <w:r>
          <w:fldChar w:fldCharType="separate"/>
        </w:r>
        <w:r>
          <w:rPr>
            <w:lang w:val="zh-CN"/>
          </w:rPr>
          <w:t>72</w:t>
        </w:r>
        <w:r>
          <w:fldChar w:fldCharType="end"/>
        </w:r>
      </w:sdtContent>
    </w:sdt>
  </w:p>
  <w:p w14:paraId="3D6ED051">
    <w:pPr>
      <w:pStyle w:val="5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93028">
    <w:pPr>
      <w:pStyle w:val="54"/>
      <w:ind w:firstLine="200"/>
      <w:rPr>
        <w:rFonts w:hint="eastAsia" w:eastAsia="宋体"/>
        <w:lang w:eastAsia="zh-CN"/>
      </w:rPr>
    </w:pPr>
    <w:r>
      <w:rPr>
        <w:rFonts w:hint="eastAsia"/>
      </w:rPr>
      <w:t>500千伏海缆系统及附属设备技术规范书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CCD92">
    <w:pPr>
      <w:pStyle w:val="5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95524">
    <w:pPr>
      <w:pStyle w:val="5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pStyle w:val="395"/>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0000000C"/>
    <w:multiLevelType w:val="multilevel"/>
    <w:tmpl w:val="0000000C"/>
    <w:lvl w:ilvl="0" w:tentative="0">
      <w:start w:val="1"/>
      <w:numFmt w:val="none"/>
      <w:pStyle w:val="36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18"/>
    <w:multiLevelType w:val="multilevel"/>
    <w:tmpl w:val="00000018"/>
    <w:lvl w:ilvl="0" w:tentative="0">
      <w:start w:val="1"/>
      <w:numFmt w:val="decimal"/>
      <w:pStyle w:val="311"/>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0000023"/>
    <w:multiLevelType w:val="singleLevel"/>
    <w:tmpl w:val="00000023"/>
    <w:lvl w:ilvl="0" w:tentative="0">
      <w:start w:val="1"/>
      <w:numFmt w:val="decimal"/>
      <w:pStyle w:val="351"/>
      <w:lvlText w:val="%1."/>
      <w:lvlJc w:val="left"/>
      <w:pPr>
        <w:tabs>
          <w:tab w:val="left" w:pos="360"/>
        </w:tabs>
        <w:ind w:left="360" w:hanging="360"/>
      </w:pPr>
    </w:lvl>
  </w:abstractNum>
  <w:abstractNum w:abstractNumId="4">
    <w:nsid w:val="00000026"/>
    <w:multiLevelType w:val="singleLevel"/>
    <w:tmpl w:val="00000026"/>
    <w:lvl w:ilvl="0" w:tentative="0">
      <w:start w:val="1"/>
      <w:numFmt w:val="decimal"/>
      <w:lvlText w:val="%1."/>
      <w:lvlJc w:val="left"/>
      <w:pPr>
        <w:tabs>
          <w:tab w:val="left" w:pos="1620"/>
        </w:tabs>
        <w:ind w:left="1620" w:hanging="360"/>
      </w:pPr>
    </w:lvl>
  </w:abstractNum>
  <w:abstractNum w:abstractNumId="5">
    <w:nsid w:val="0000002F"/>
    <w:multiLevelType w:val="multilevel"/>
    <w:tmpl w:val="0000002F"/>
    <w:lvl w:ilvl="0" w:tentative="0">
      <w:start w:val="1"/>
      <w:numFmt w:val="decimal"/>
      <w:pStyle w:val="310"/>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6">
    <w:nsid w:val="24D066BB"/>
    <w:multiLevelType w:val="multilevel"/>
    <w:tmpl w:val="24D066BB"/>
    <w:lvl w:ilvl="0" w:tentative="0">
      <w:start w:val="1"/>
      <w:numFmt w:val="decimal"/>
      <w:lvlText w:val="%1、"/>
      <w:lvlJc w:val="left"/>
      <w:pPr>
        <w:ind w:left="785"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7">
    <w:nsid w:val="24F21445"/>
    <w:multiLevelType w:val="multilevel"/>
    <w:tmpl w:val="24F21445"/>
    <w:lvl w:ilvl="0" w:tentative="0">
      <w:start w:val="1"/>
      <w:numFmt w:val="decimal"/>
      <w:pStyle w:val="387"/>
      <w:lvlText w:val="%1"/>
      <w:lvlJc w:val="left"/>
      <w:pPr>
        <w:tabs>
          <w:tab w:val="left" w:pos="425"/>
        </w:tabs>
        <w:ind w:left="425" w:hanging="425"/>
      </w:pPr>
      <w:rPr>
        <w:rFonts w:hint="eastAsia"/>
      </w:rPr>
    </w:lvl>
    <w:lvl w:ilvl="1" w:tentative="0">
      <w:start w:val="1"/>
      <w:numFmt w:val="decimal"/>
      <w:pStyle w:val="388"/>
      <w:lvlText w:val="%1.%2"/>
      <w:lvlJc w:val="left"/>
      <w:pPr>
        <w:tabs>
          <w:tab w:val="left" w:pos="567"/>
        </w:tabs>
        <w:ind w:left="567" w:hanging="567"/>
      </w:pPr>
      <w:rPr>
        <w:rFonts w:hint="eastAsia"/>
      </w:rPr>
    </w:lvl>
    <w:lvl w:ilvl="2" w:tentative="0">
      <w:start w:val="1"/>
      <w:numFmt w:val="decimal"/>
      <w:pStyle w:val="389"/>
      <w:lvlText w:val="%1.%2.%3"/>
      <w:lvlJc w:val="left"/>
      <w:pPr>
        <w:tabs>
          <w:tab w:val="left" w:pos="1419"/>
        </w:tabs>
        <w:ind w:left="1419" w:hanging="709"/>
      </w:pPr>
      <w:rPr>
        <w:rFonts w:hint="eastAsia"/>
      </w:rPr>
    </w:lvl>
    <w:lvl w:ilvl="3" w:tentative="0">
      <w:start w:val="1"/>
      <w:numFmt w:val="decimal"/>
      <w:pStyle w:val="391"/>
      <w:lvlText w:val="%1.%2.%3.%4"/>
      <w:lvlJc w:val="left"/>
      <w:pPr>
        <w:tabs>
          <w:tab w:val="left" w:pos="851"/>
        </w:tabs>
        <w:ind w:left="851" w:hanging="851"/>
      </w:pPr>
      <w:rPr>
        <w:rFonts w:hint="eastAsia"/>
      </w:rPr>
    </w:lvl>
    <w:lvl w:ilvl="4" w:tentative="0">
      <w:start w:val="1"/>
      <w:numFmt w:val="decimal"/>
      <w:pStyle w:val="392"/>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5"/>
  </w:num>
  <w:num w:numId="3">
    <w:abstractNumId w:val="2"/>
  </w:num>
  <w:num w:numId="4">
    <w:abstractNumId w:val="3"/>
  </w:num>
  <w:num w:numId="5">
    <w:abstractNumId w:val="1"/>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hjNTcyNjE3NTE4NTY3ZGFjNmQ2ZDE0ODk5YTc1YWUifQ=="/>
  </w:docVars>
  <w:rsids>
    <w:rsidRoot w:val="00172A27"/>
    <w:rsid w:val="00001D90"/>
    <w:rsid w:val="000027F6"/>
    <w:rsid w:val="00002FCB"/>
    <w:rsid w:val="000030FA"/>
    <w:rsid w:val="000034F2"/>
    <w:rsid w:val="00003D6E"/>
    <w:rsid w:val="00005C9B"/>
    <w:rsid w:val="0000705B"/>
    <w:rsid w:val="000104C3"/>
    <w:rsid w:val="0001151C"/>
    <w:rsid w:val="00011619"/>
    <w:rsid w:val="00011A91"/>
    <w:rsid w:val="00011C95"/>
    <w:rsid w:val="00015248"/>
    <w:rsid w:val="00016CEF"/>
    <w:rsid w:val="00017868"/>
    <w:rsid w:val="00022887"/>
    <w:rsid w:val="00025870"/>
    <w:rsid w:val="00025B0C"/>
    <w:rsid w:val="0002743B"/>
    <w:rsid w:val="0003033F"/>
    <w:rsid w:val="0003495D"/>
    <w:rsid w:val="00037771"/>
    <w:rsid w:val="00040ABA"/>
    <w:rsid w:val="0004369D"/>
    <w:rsid w:val="00044490"/>
    <w:rsid w:val="000447E1"/>
    <w:rsid w:val="00044E1F"/>
    <w:rsid w:val="000456EB"/>
    <w:rsid w:val="00046A96"/>
    <w:rsid w:val="00051C94"/>
    <w:rsid w:val="00054273"/>
    <w:rsid w:val="000567B2"/>
    <w:rsid w:val="000579DB"/>
    <w:rsid w:val="0006031D"/>
    <w:rsid w:val="0006164C"/>
    <w:rsid w:val="00062DFC"/>
    <w:rsid w:val="00072933"/>
    <w:rsid w:val="000758FE"/>
    <w:rsid w:val="00076794"/>
    <w:rsid w:val="00080316"/>
    <w:rsid w:val="000812D4"/>
    <w:rsid w:val="00081B97"/>
    <w:rsid w:val="000861B4"/>
    <w:rsid w:val="00086B51"/>
    <w:rsid w:val="0009001E"/>
    <w:rsid w:val="00090160"/>
    <w:rsid w:val="0009198C"/>
    <w:rsid w:val="00094EAD"/>
    <w:rsid w:val="000951DF"/>
    <w:rsid w:val="00095809"/>
    <w:rsid w:val="000A143D"/>
    <w:rsid w:val="000A1E00"/>
    <w:rsid w:val="000A547E"/>
    <w:rsid w:val="000A6379"/>
    <w:rsid w:val="000A7E5D"/>
    <w:rsid w:val="000B1C5F"/>
    <w:rsid w:val="000B1C9F"/>
    <w:rsid w:val="000B23BA"/>
    <w:rsid w:val="000B3016"/>
    <w:rsid w:val="000B3977"/>
    <w:rsid w:val="000B49F6"/>
    <w:rsid w:val="000C1352"/>
    <w:rsid w:val="000C5D49"/>
    <w:rsid w:val="000D78C8"/>
    <w:rsid w:val="000E0FD6"/>
    <w:rsid w:val="000E3474"/>
    <w:rsid w:val="000E5C04"/>
    <w:rsid w:val="000E5D4E"/>
    <w:rsid w:val="000F18A6"/>
    <w:rsid w:val="000F4D2A"/>
    <w:rsid w:val="000F6246"/>
    <w:rsid w:val="000F7D13"/>
    <w:rsid w:val="0011138E"/>
    <w:rsid w:val="001118C9"/>
    <w:rsid w:val="00111C1A"/>
    <w:rsid w:val="001128E6"/>
    <w:rsid w:val="00112E61"/>
    <w:rsid w:val="001142A1"/>
    <w:rsid w:val="00120473"/>
    <w:rsid w:val="001222DA"/>
    <w:rsid w:val="00124723"/>
    <w:rsid w:val="00130258"/>
    <w:rsid w:val="00130E3D"/>
    <w:rsid w:val="00135C37"/>
    <w:rsid w:val="00136F3C"/>
    <w:rsid w:val="001370A0"/>
    <w:rsid w:val="00137B40"/>
    <w:rsid w:val="0014284A"/>
    <w:rsid w:val="0014543F"/>
    <w:rsid w:val="00154DAF"/>
    <w:rsid w:val="001558A9"/>
    <w:rsid w:val="0015759A"/>
    <w:rsid w:val="00157AAB"/>
    <w:rsid w:val="001604F1"/>
    <w:rsid w:val="00162DD8"/>
    <w:rsid w:val="00166E5F"/>
    <w:rsid w:val="0017237F"/>
    <w:rsid w:val="00172A27"/>
    <w:rsid w:val="00173B7D"/>
    <w:rsid w:val="00174AEC"/>
    <w:rsid w:val="00176752"/>
    <w:rsid w:val="00177BA4"/>
    <w:rsid w:val="00180BEA"/>
    <w:rsid w:val="00182007"/>
    <w:rsid w:val="00195DDA"/>
    <w:rsid w:val="001A1DCC"/>
    <w:rsid w:val="001A3AB1"/>
    <w:rsid w:val="001A56DD"/>
    <w:rsid w:val="001A5987"/>
    <w:rsid w:val="001A6384"/>
    <w:rsid w:val="001B08AA"/>
    <w:rsid w:val="001B29A0"/>
    <w:rsid w:val="001B29FE"/>
    <w:rsid w:val="001B3110"/>
    <w:rsid w:val="001B37AC"/>
    <w:rsid w:val="001B72DE"/>
    <w:rsid w:val="001B7527"/>
    <w:rsid w:val="001C020D"/>
    <w:rsid w:val="001C21C0"/>
    <w:rsid w:val="001D176E"/>
    <w:rsid w:val="001D4A80"/>
    <w:rsid w:val="001D52B5"/>
    <w:rsid w:val="001D6C45"/>
    <w:rsid w:val="001D73F8"/>
    <w:rsid w:val="001E000D"/>
    <w:rsid w:val="001E398C"/>
    <w:rsid w:val="001E5BA9"/>
    <w:rsid w:val="001E701A"/>
    <w:rsid w:val="001F0C63"/>
    <w:rsid w:val="001F1562"/>
    <w:rsid w:val="001F2E66"/>
    <w:rsid w:val="001F2FBC"/>
    <w:rsid w:val="001F464D"/>
    <w:rsid w:val="001F4792"/>
    <w:rsid w:val="001F56DF"/>
    <w:rsid w:val="001F59EF"/>
    <w:rsid w:val="001F76BB"/>
    <w:rsid w:val="001F77A2"/>
    <w:rsid w:val="001F7993"/>
    <w:rsid w:val="0020124B"/>
    <w:rsid w:val="002029F4"/>
    <w:rsid w:val="00202B03"/>
    <w:rsid w:val="00204CC6"/>
    <w:rsid w:val="002055F2"/>
    <w:rsid w:val="00207B8E"/>
    <w:rsid w:val="00207D09"/>
    <w:rsid w:val="00211815"/>
    <w:rsid w:val="002168AD"/>
    <w:rsid w:val="00217ACF"/>
    <w:rsid w:val="00220D4D"/>
    <w:rsid w:val="00221238"/>
    <w:rsid w:val="00226A20"/>
    <w:rsid w:val="00226FE1"/>
    <w:rsid w:val="00230412"/>
    <w:rsid w:val="00232CC9"/>
    <w:rsid w:val="002362BA"/>
    <w:rsid w:val="002363F8"/>
    <w:rsid w:val="00240560"/>
    <w:rsid w:val="00240576"/>
    <w:rsid w:val="00240D6F"/>
    <w:rsid w:val="00243FD1"/>
    <w:rsid w:val="002470A6"/>
    <w:rsid w:val="00247779"/>
    <w:rsid w:val="002511F8"/>
    <w:rsid w:val="00251BEA"/>
    <w:rsid w:val="00251DAA"/>
    <w:rsid w:val="00252099"/>
    <w:rsid w:val="002542A4"/>
    <w:rsid w:val="0025681F"/>
    <w:rsid w:val="00260049"/>
    <w:rsid w:val="002610D6"/>
    <w:rsid w:val="00261380"/>
    <w:rsid w:val="00261AE3"/>
    <w:rsid w:val="0026346D"/>
    <w:rsid w:val="00263A77"/>
    <w:rsid w:val="00264EDF"/>
    <w:rsid w:val="00267D1F"/>
    <w:rsid w:val="002710EF"/>
    <w:rsid w:val="00271219"/>
    <w:rsid w:val="00275654"/>
    <w:rsid w:val="00281142"/>
    <w:rsid w:val="00281B65"/>
    <w:rsid w:val="002867AA"/>
    <w:rsid w:val="00292216"/>
    <w:rsid w:val="00294237"/>
    <w:rsid w:val="002A005C"/>
    <w:rsid w:val="002A0285"/>
    <w:rsid w:val="002A13CE"/>
    <w:rsid w:val="002A2E47"/>
    <w:rsid w:val="002A62E6"/>
    <w:rsid w:val="002A66C3"/>
    <w:rsid w:val="002B0D53"/>
    <w:rsid w:val="002B29F5"/>
    <w:rsid w:val="002B7050"/>
    <w:rsid w:val="002C024E"/>
    <w:rsid w:val="002C3AA2"/>
    <w:rsid w:val="002C5090"/>
    <w:rsid w:val="002C5A93"/>
    <w:rsid w:val="002C7D57"/>
    <w:rsid w:val="002D00A4"/>
    <w:rsid w:val="002D3F72"/>
    <w:rsid w:val="002E03EA"/>
    <w:rsid w:val="002E1A67"/>
    <w:rsid w:val="002E2AAC"/>
    <w:rsid w:val="002E2E59"/>
    <w:rsid w:val="002E39AB"/>
    <w:rsid w:val="002E41DB"/>
    <w:rsid w:val="002F3908"/>
    <w:rsid w:val="002F5683"/>
    <w:rsid w:val="002F6BF2"/>
    <w:rsid w:val="002F6FCD"/>
    <w:rsid w:val="002F7A43"/>
    <w:rsid w:val="003028A1"/>
    <w:rsid w:val="003032D8"/>
    <w:rsid w:val="00304A76"/>
    <w:rsid w:val="00305CF8"/>
    <w:rsid w:val="00305F09"/>
    <w:rsid w:val="00306B97"/>
    <w:rsid w:val="00311560"/>
    <w:rsid w:val="0031297D"/>
    <w:rsid w:val="00315499"/>
    <w:rsid w:val="0031568D"/>
    <w:rsid w:val="00320DA4"/>
    <w:rsid w:val="003211F3"/>
    <w:rsid w:val="003254A9"/>
    <w:rsid w:val="003269CA"/>
    <w:rsid w:val="003279D1"/>
    <w:rsid w:val="00330647"/>
    <w:rsid w:val="00331EEC"/>
    <w:rsid w:val="00337149"/>
    <w:rsid w:val="00337C6F"/>
    <w:rsid w:val="003424EA"/>
    <w:rsid w:val="003425C4"/>
    <w:rsid w:val="00345631"/>
    <w:rsid w:val="00346B28"/>
    <w:rsid w:val="00354750"/>
    <w:rsid w:val="00354C9D"/>
    <w:rsid w:val="003561BC"/>
    <w:rsid w:val="003563B1"/>
    <w:rsid w:val="00356BA8"/>
    <w:rsid w:val="00360207"/>
    <w:rsid w:val="00361CEB"/>
    <w:rsid w:val="00362479"/>
    <w:rsid w:val="00362714"/>
    <w:rsid w:val="00365AE7"/>
    <w:rsid w:val="00370A65"/>
    <w:rsid w:val="00370E27"/>
    <w:rsid w:val="00371D63"/>
    <w:rsid w:val="003756EB"/>
    <w:rsid w:val="00381857"/>
    <w:rsid w:val="00384336"/>
    <w:rsid w:val="003852B9"/>
    <w:rsid w:val="00385C93"/>
    <w:rsid w:val="003863A4"/>
    <w:rsid w:val="00386A49"/>
    <w:rsid w:val="003879DE"/>
    <w:rsid w:val="00390A00"/>
    <w:rsid w:val="00391510"/>
    <w:rsid w:val="00393706"/>
    <w:rsid w:val="003A2526"/>
    <w:rsid w:val="003A29BC"/>
    <w:rsid w:val="003A40A0"/>
    <w:rsid w:val="003A4700"/>
    <w:rsid w:val="003B0B5C"/>
    <w:rsid w:val="003B4712"/>
    <w:rsid w:val="003B4D7C"/>
    <w:rsid w:val="003C12EF"/>
    <w:rsid w:val="003C2D03"/>
    <w:rsid w:val="003C6F44"/>
    <w:rsid w:val="003D16DC"/>
    <w:rsid w:val="003D3D10"/>
    <w:rsid w:val="003D5A91"/>
    <w:rsid w:val="003D7784"/>
    <w:rsid w:val="003D79A8"/>
    <w:rsid w:val="003E0366"/>
    <w:rsid w:val="003E2286"/>
    <w:rsid w:val="003E45A8"/>
    <w:rsid w:val="003E66C2"/>
    <w:rsid w:val="003E7571"/>
    <w:rsid w:val="003E76B7"/>
    <w:rsid w:val="003F1131"/>
    <w:rsid w:val="003F187C"/>
    <w:rsid w:val="003F1995"/>
    <w:rsid w:val="003F201C"/>
    <w:rsid w:val="003F4020"/>
    <w:rsid w:val="003F4103"/>
    <w:rsid w:val="003F4810"/>
    <w:rsid w:val="003F4C89"/>
    <w:rsid w:val="003F6E01"/>
    <w:rsid w:val="0040524D"/>
    <w:rsid w:val="004068E6"/>
    <w:rsid w:val="00406FDF"/>
    <w:rsid w:val="004072F7"/>
    <w:rsid w:val="004074C9"/>
    <w:rsid w:val="00407B0A"/>
    <w:rsid w:val="00410B53"/>
    <w:rsid w:val="00410D3B"/>
    <w:rsid w:val="0041116A"/>
    <w:rsid w:val="00413EBE"/>
    <w:rsid w:val="00414191"/>
    <w:rsid w:val="00414597"/>
    <w:rsid w:val="0041471A"/>
    <w:rsid w:val="004173AC"/>
    <w:rsid w:val="004204C5"/>
    <w:rsid w:val="00421148"/>
    <w:rsid w:val="0042233E"/>
    <w:rsid w:val="004264D7"/>
    <w:rsid w:val="0042715E"/>
    <w:rsid w:val="00427BC7"/>
    <w:rsid w:val="00430807"/>
    <w:rsid w:val="00431501"/>
    <w:rsid w:val="00431FB0"/>
    <w:rsid w:val="00432F79"/>
    <w:rsid w:val="004356E4"/>
    <w:rsid w:val="00435DFD"/>
    <w:rsid w:val="004434F0"/>
    <w:rsid w:val="00446B81"/>
    <w:rsid w:val="00450F08"/>
    <w:rsid w:val="0045101B"/>
    <w:rsid w:val="00452E9D"/>
    <w:rsid w:val="00453795"/>
    <w:rsid w:val="00453B52"/>
    <w:rsid w:val="00454216"/>
    <w:rsid w:val="004548EF"/>
    <w:rsid w:val="00454FE6"/>
    <w:rsid w:val="004560F5"/>
    <w:rsid w:val="00456A71"/>
    <w:rsid w:val="00460E91"/>
    <w:rsid w:val="00461045"/>
    <w:rsid w:val="004610CD"/>
    <w:rsid w:val="00462C01"/>
    <w:rsid w:val="00464001"/>
    <w:rsid w:val="004645E1"/>
    <w:rsid w:val="004652A0"/>
    <w:rsid w:val="004668E5"/>
    <w:rsid w:val="00466FEC"/>
    <w:rsid w:val="004711BF"/>
    <w:rsid w:val="004721A9"/>
    <w:rsid w:val="00473A00"/>
    <w:rsid w:val="004754A9"/>
    <w:rsid w:val="004768E3"/>
    <w:rsid w:val="00476955"/>
    <w:rsid w:val="004811C7"/>
    <w:rsid w:val="0048453E"/>
    <w:rsid w:val="0048553F"/>
    <w:rsid w:val="00490477"/>
    <w:rsid w:val="004904B1"/>
    <w:rsid w:val="00491491"/>
    <w:rsid w:val="00495269"/>
    <w:rsid w:val="004963BB"/>
    <w:rsid w:val="00497F56"/>
    <w:rsid w:val="004A51A7"/>
    <w:rsid w:val="004B0F9C"/>
    <w:rsid w:val="004B243B"/>
    <w:rsid w:val="004B2B6B"/>
    <w:rsid w:val="004B6C23"/>
    <w:rsid w:val="004B771E"/>
    <w:rsid w:val="004B7A10"/>
    <w:rsid w:val="004C0C0A"/>
    <w:rsid w:val="004C4039"/>
    <w:rsid w:val="004C493A"/>
    <w:rsid w:val="004C75DF"/>
    <w:rsid w:val="004C76BD"/>
    <w:rsid w:val="004D0E5A"/>
    <w:rsid w:val="004D3B8C"/>
    <w:rsid w:val="004D5969"/>
    <w:rsid w:val="004D65E4"/>
    <w:rsid w:val="004D7754"/>
    <w:rsid w:val="004E3D38"/>
    <w:rsid w:val="004E5D9B"/>
    <w:rsid w:val="004E68BD"/>
    <w:rsid w:val="004E7EDD"/>
    <w:rsid w:val="004F003D"/>
    <w:rsid w:val="004F1C7D"/>
    <w:rsid w:val="004F3079"/>
    <w:rsid w:val="004F3711"/>
    <w:rsid w:val="004F44D1"/>
    <w:rsid w:val="004F5A3D"/>
    <w:rsid w:val="00501120"/>
    <w:rsid w:val="00503F91"/>
    <w:rsid w:val="00505A1C"/>
    <w:rsid w:val="005060B5"/>
    <w:rsid w:val="00510861"/>
    <w:rsid w:val="00511A21"/>
    <w:rsid w:val="00513F0D"/>
    <w:rsid w:val="005154C1"/>
    <w:rsid w:val="00517206"/>
    <w:rsid w:val="00520F4F"/>
    <w:rsid w:val="005219C7"/>
    <w:rsid w:val="00522241"/>
    <w:rsid w:val="005231D7"/>
    <w:rsid w:val="00523A4B"/>
    <w:rsid w:val="00524403"/>
    <w:rsid w:val="0052510E"/>
    <w:rsid w:val="00525AF1"/>
    <w:rsid w:val="005260EA"/>
    <w:rsid w:val="005269C4"/>
    <w:rsid w:val="0053127F"/>
    <w:rsid w:val="005312D9"/>
    <w:rsid w:val="00536898"/>
    <w:rsid w:val="00540259"/>
    <w:rsid w:val="00540FF8"/>
    <w:rsid w:val="00542681"/>
    <w:rsid w:val="0054440B"/>
    <w:rsid w:val="005458A9"/>
    <w:rsid w:val="00551431"/>
    <w:rsid w:val="00551A11"/>
    <w:rsid w:val="00552C1E"/>
    <w:rsid w:val="0055314F"/>
    <w:rsid w:val="00553188"/>
    <w:rsid w:val="005540ED"/>
    <w:rsid w:val="00557637"/>
    <w:rsid w:val="00557711"/>
    <w:rsid w:val="00562A80"/>
    <w:rsid w:val="00562F2F"/>
    <w:rsid w:val="0056663D"/>
    <w:rsid w:val="005719FD"/>
    <w:rsid w:val="00572E5B"/>
    <w:rsid w:val="00575619"/>
    <w:rsid w:val="00581D7E"/>
    <w:rsid w:val="00584E33"/>
    <w:rsid w:val="005854B4"/>
    <w:rsid w:val="00586B2A"/>
    <w:rsid w:val="0058789D"/>
    <w:rsid w:val="00587B4B"/>
    <w:rsid w:val="005901AC"/>
    <w:rsid w:val="005929D5"/>
    <w:rsid w:val="00597105"/>
    <w:rsid w:val="00597D06"/>
    <w:rsid w:val="005A1EBA"/>
    <w:rsid w:val="005A7010"/>
    <w:rsid w:val="005B01DA"/>
    <w:rsid w:val="005B21B7"/>
    <w:rsid w:val="005B290D"/>
    <w:rsid w:val="005B2985"/>
    <w:rsid w:val="005B53AD"/>
    <w:rsid w:val="005B54ED"/>
    <w:rsid w:val="005B5C8B"/>
    <w:rsid w:val="005B5D70"/>
    <w:rsid w:val="005B7734"/>
    <w:rsid w:val="005C0430"/>
    <w:rsid w:val="005C0AB9"/>
    <w:rsid w:val="005C2DE0"/>
    <w:rsid w:val="005C30AE"/>
    <w:rsid w:val="005C4B47"/>
    <w:rsid w:val="005C5837"/>
    <w:rsid w:val="005C6B56"/>
    <w:rsid w:val="005D195A"/>
    <w:rsid w:val="005D57A4"/>
    <w:rsid w:val="005E06BE"/>
    <w:rsid w:val="005E3773"/>
    <w:rsid w:val="005E3EA9"/>
    <w:rsid w:val="005E509C"/>
    <w:rsid w:val="005E7355"/>
    <w:rsid w:val="005F093D"/>
    <w:rsid w:val="005F11BC"/>
    <w:rsid w:val="005F17E1"/>
    <w:rsid w:val="005F29BC"/>
    <w:rsid w:val="005F30A2"/>
    <w:rsid w:val="00603C57"/>
    <w:rsid w:val="00603FF1"/>
    <w:rsid w:val="00607397"/>
    <w:rsid w:val="00611228"/>
    <w:rsid w:val="00613885"/>
    <w:rsid w:val="00613A87"/>
    <w:rsid w:val="00616570"/>
    <w:rsid w:val="006173BB"/>
    <w:rsid w:val="00623C87"/>
    <w:rsid w:val="00624B08"/>
    <w:rsid w:val="00625434"/>
    <w:rsid w:val="006317B9"/>
    <w:rsid w:val="00632D6E"/>
    <w:rsid w:val="00636C89"/>
    <w:rsid w:val="00637DD9"/>
    <w:rsid w:val="0064012C"/>
    <w:rsid w:val="006409B7"/>
    <w:rsid w:val="00640B66"/>
    <w:rsid w:val="00641D45"/>
    <w:rsid w:val="006428B6"/>
    <w:rsid w:val="00642EF9"/>
    <w:rsid w:val="00643A8D"/>
    <w:rsid w:val="00643CCC"/>
    <w:rsid w:val="006450E5"/>
    <w:rsid w:val="00645FF8"/>
    <w:rsid w:val="006470A9"/>
    <w:rsid w:val="00647974"/>
    <w:rsid w:val="006537FF"/>
    <w:rsid w:val="00654B54"/>
    <w:rsid w:val="00656657"/>
    <w:rsid w:val="00661856"/>
    <w:rsid w:val="00662196"/>
    <w:rsid w:val="00662FD4"/>
    <w:rsid w:val="00663A07"/>
    <w:rsid w:val="0066427B"/>
    <w:rsid w:val="00671D52"/>
    <w:rsid w:val="006751F6"/>
    <w:rsid w:val="006755AC"/>
    <w:rsid w:val="006766DD"/>
    <w:rsid w:val="006806B3"/>
    <w:rsid w:val="00682C04"/>
    <w:rsid w:val="00685B86"/>
    <w:rsid w:val="006864B9"/>
    <w:rsid w:val="00687AC8"/>
    <w:rsid w:val="006913F2"/>
    <w:rsid w:val="00693AEA"/>
    <w:rsid w:val="00693DD7"/>
    <w:rsid w:val="00694D2F"/>
    <w:rsid w:val="00696A98"/>
    <w:rsid w:val="006975CB"/>
    <w:rsid w:val="006A05FD"/>
    <w:rsid w:val="006A0652"/>
    <w:rsid w:val="006A1E31"/>
    <w:rsid w:val="006A4C9E"/>
    <w:rsid w:val="006A4D4C"/>
    <w:rsid w:val="006A539A"/>
    <w:rsid w:val="006A5555"/>
    <w:rsid w:val="006A72A0"/>
    <w:rsid w:val="006B2808"/>
    <w:rsid w:val="006B49A4"/>
    <w:rsid w:val="006B73F7"/>
    <w:rsid w:val="006C18FB"/>
    <w:rsid w:val="006C19E6"/>
    <w:rsid w:val="006C56FD"/>
    <w:rsid w:val="006C6683"/>
    <w:rsid w:val="006C6CFC"/>
    <w:rsid w:val="006C71CA"/>
    <w:rsid w:val="006C789E"/>
    <w:rsid w:val="006D26F8"/>
    <w:rsid w:val="006D3C62"/>
    <w:rsid w:val="006D5241"/>
    <w:rsid w:val="006D701A"/>
    <w:rsid w:val="006D7276"/>
    <w:rsid w:val="006E1B6A"/>
    <w:rsid w:val="006E3CD6"/>
    <w:rsid w:val="006E5114"/>
    <w:rsid w:val="006E5EC1"/>
    <w:rsid w:val="006E6E08"/>
    <w:rsid w:val="006F5D6B"/>
    <w:rsid w:val="006F7720"/>
    <w:rsid w:val="007049ED"/>
    <w:rsid w:val="00705037"/>
    <w:rsid w:val="0070590F"/>
    <w:rsid w:val="00705DFB"/>
    <w:rsid w:val="00707F5D"/>
    <w:rsid w:val="00710626"/>
    <w:rsid w:val="00711B5A"/>
    <w:rsid w:val="00713179"/>
    <w:rsid w:val="00715205"/>
    <w:rsid w:val="00720593"/>
    <w:rsid w:val="00720DCA"/>
    <w:rsid w:val="00720ED8"/>
    <w:rsid w:val="00721E7D"/>
    <w:rsid w:val="007251B1"/>
    <w:rsid w:val="0072548C"/>
    <w:rsid w:val="00727340"/>
    <w:rsid w:val="00727CD6"/>
    <w:rsid w:val="00732D30"/>
    <w:rsid w:val="00734BB6"/>
    <w:rsid w:val="00737EEE"/>
    <w:rsid w:val="00742091"/>
    <w:rsid w:val="00745690"/>
    <w:rsid w:val="00747778"/>
    <w:rsid w:val="007503D6"/>
    <w:rsid w:val="007518ED"/>
    <w:rsid w:val="00753172"/>
    <w:rsid w:val="0075360C"/>
    <w:rsid w:val="00756BE4"/>
    <w:rsid w:val="00756C8E"/>
    <w:rsid w:val="00757202"/>
    <w:rsid w:val="00761EAF"/>
    <w:rsid w:val="00766618"/>
    <w:rsid w:val="00767F68"/>
    <w:rsid w:val="00770CA0"/>
    <w:rsid w:val="0077297E"/>
    <w:rsid w:val="00772A28"/>
    <w:rsid w:val="0077417A"/>
    <w:rsid w:val="0077474D"/>
    <w:rsid w:val="00775366"/>
    <w:rsid w:val="00775E6E"/>
    <w:rsid w:val="0077617B"/>
    <w:rsid w:val="007767B5"/>
    <w:rsid w:val="00776966"/>
    <w:rsid w:val="00777457"/>
    <w:rsid w:val="0078075C"/>
    <w:rsid w:val="0078154A"/>
    <w:rsid w:val="00781703"/>
    <w:rsid w:val="00781AC2"/>
    <w:rsid w:val="00782E21"/>
    <w:rsid w:val="007846B8"/>
    <w:rsid w:val="007876F7"/>
    <w:rsid w:val="00787EA7"/>
    <w:rsid w:val="00790FC8"/>
    <w:rsid w:val="00791D9D"/>
    <w:rsid w:val="007928CC"/>
    <w:rsid w:val="00792DD0"/>
    <w:rsid w:val="00796E89"/>
    <w:rsid w:val="007A451B"/>
    <w:rsid w:val="007A49CB"/>
    <w:rsid w:val="007B06EC"/>
    <w:rsid w:val="007B1334"/>
    <w:rsid w:val="007B1FAF"/>
    <w:rsid w:val="007B5858"/>
    <w:rsid w:val="007B679F"/>
    <w:rsid w:val="007B72E2"/>
    <w:rsid w:val="007C046A"/>
    <w:rsid w:val="007C25C6"/>
    <w:rsid w:val="007C3909"/>
    <w:rsid w:val="007D0586"/>
    <w:rsid w:val="007D2C7D"/>
    <w:rsid w:val="007D3889"/>
    <w:rsid w:val="007D3F16"/>
    <w:rsid w:val="007D62C4"/>
    <w:rsid w:val="007D778C"/>
    <w:rsid w:val="007E057D"/>
    <w:rsid w:val="007E0791"/>
    <w:rsid w:val="007E199E"/>
    <w:rsid w:val="007E38C3"/>
    <w:rsid w:val="007E3B5C"/>
    <w:rsid w:val="007E45A4"/>
    <w:rsid w:val="007E4F43"/>
    <w:rsid w:val="007E56C0"/>
    <w:rsid w:val="007E78FB"/>
    <w:rsid w:val="007F081E"/>
    <w:rsid w:val="007F19C6"/>
    <w:rsid w:val="007F224A"/>
    <w:rsid w:val="007F2D24"/>
    <w:rsid w:val="007F4BA1"/>
    <w:rsid w:val="00800024"/>
    <w:rsid w:val="0080545B"/>
    <w:rsid w:val="00805DE0"/>
    <w:rsid w:val="00806592"/>
    <w:rsid w:val="00807384"/>
    <w:rsid w:val="0081470B"/>
    <w:rsid w:val="00815A83"/>
    <w:rsid w:val="0081713C"/>
    <w:rsid w:val="00817987"/>
    <w:rsid w:val="00825DE6"/>
    <w:rsid w:val="008273B0"/>
    <w:rsid w:val="00831433"/>
    <w:rsid w:val="00831D2E"/>
    <w:rsid w:val="00832A8F"/>
    <w:rsid w:val="00832F7A"/>
    <w:rsid w:val="00833CD2"/>
    <w:rsid w:val="00834E30"/>
    <w:rsid w:val="00835D05"/>
    <w:rsid w:val="0083667B"/>
    <w:rsid w:val="008405BE"/>
    <w:rsid w:val="00840AEE"/>
    <w:rsid w:val="0084105D"/>
    <w:rsid w:val="00841258"/>
    <w:rsid w:val="008417EB"/>
    <w:rsid w:val="00842E97"/>
    <w:rsid w:val="00844687"/>
    <w:rsid w:val="00846ABD"/>
    <w:rsid w:val="00846E40"/>
    <w:rsid w:val="0085068F"/>
    <w:rsid w:val="00853002"/>
    <w:rsid w:val="00853763"/>
    <w:rsid w:val="00857A59"/>
    <w:rsid w:val="00860765"/>
    <w:rsid w:val="00860A2B"/>
    <w:rsid w:val="00860CE0"/>
    <w:rsid w:val="008610F9"/>
    <w:rsid w:val="008616EE"/>
    <w:rsid w:val="008624FB"/>
    <w:rsid w:val="00864EB3"/>
    <w:rsid w:val="00864F7C"/>
    <w:rsid w:val="008654A3"/>
    <w:rsid w:val="008712EA"/>
    <w:rsid w:val="00871F49"/>
    <w:rsid w:val="00874A47"/>
    <w:rsid w:val="008762A2"/>
    <w:rsid w:val="00876478"/>
    <w:rsid w:val="00876B24"/>
    <w:rsid w:val="0088382F"/>
    <w:rsid w:val="00884350"/>
    <w:rsid w:val="008847B6"/>
    <w:rsid w:val="00886133"/>
    <w:rsid w:val="00886D99"/>
    <w:rsid w:val="008873C1"/>
    <w:rsid w:val="00890194"/>
    <w:rsid w:val="00891F4B"/>
    <w:rsid w:val="00894037"/>
    <w:rsid w:val="00894B56"/>
    <w:rsid w:val="00896F8D"/>
    <w:rsid w:val="008A076E"/>
    <w:rsid w:val="008A09CC"/>
    <w:rsid w:val="008A1226"/>
    <w:rsid w:val="008A1B0A"/>
    <w:rsid w:val="008A5766"/>
    <w:rsid w:val="008B0B73"/>
    <w:rsid w:val="008B525E"/>
    <w:rsid w:val="008B74C0"/>
    <w:rsid w:val="008C0EB9"/>
    <w:rsid w:val="008C1685"/>
    <w:rsid w:val="008C2012"/>
    <w:rsid w:val="008C2C9F"/>
    <w:rsid w:val="008C3D79"/>
    <w:rsid w:val="008C63F2"/>
    <w:rsid w:val="008D01D6"/>
    <w:rsid w:val="008D2F9A"/>
    <w:rsid w:val="008D3EF8"/>
    <w:rsid w:val="008D594E"/>
    <w:rsid w:val="008D605D"/>
    <w:rsid w:val="008D6D6D"/>
    <w:rsid w:val="008E007E"/>
    <w:rsid w:val="008E0331"/>
    <w:rsid w:val="008E0E2E"/>
    <w:rsid w:val="008E6735"/>
    <w:rsid w:val="008F0E66"/>
    <w:rsid w:val="008F55F1"/>
    <w:rsid w:val="00900D93"/>
    <w:rsid w:val="00901AD6"/>
    <w:rsid w:val="00903412"/>
    <w:rsid w:val="00905BA4"/>
    <w:rsid w:val="00906433"/>
    <w:rsid w:val="009065A4"/>
    <w:rsid w:val="009134B7"/>
    <w:rsid w:val="00915E51"/>
    <w:rsid w:val="0091744F"/>
    <w:rsid w:val="009175D0"/>
    <w:rsid w:val="00921621"/>
    <w:rsid w:val="00922C88"/>
    <w:rsid w:val="00925395"/>
    <w:rsid w:val="009263A8"/>
    <w:rsid w:val="0093617C"/>
    <w:rsid w:val="00940381"/>
    <w:rsid w:val="00940B21"/>
    <w:rsid w:val="00941C60"/>
    <w:rsid w:val="00946491"/>
    <w:rsid w:val="00946D1D"/>
    <w:rsid w:val="00946E2E"/>
    <w:rsid w:val="009506BF"/>
    <w:rsid w:val="009528D9"/>
    <w:rsid w:val="00952CDC"/>
    <w:rsid w:val="009550D5"/>
    <w:rsid w:val="00956E86"/>
    <w:rsid w:val="0096055B"/>
    <w:rsid w:val="00963A51"/>
    <w:rsid w:val="00963F38"/>
    <w:rsid w:val="009649CA"/>
    <w:rsid w:val="00965CA4"/>
    <w:rsid w:val="00965F8B"/>
    <w:rsid w:val="00974841"/>
    <w:rsid w:val="00974F91"/>
    <w:rsid w:val="0097651A"/>
    <w:rsid w:val="009801C0"/>
    <w:rsid w:val="00981C91"/>
    <w:rsid w:val="0098282B"/>
    <w:rsid w:val="0098406A"/>
    <w:rsid w:val="00987B3A"/>
    <w:rsid w:val="009908B8"/>
    <w:rsid w:val="009921B6"/>
    <w:rsid w:val="00994225"/>
    <w:rsid w:val="00995E87"/>
    <w:rsid w:val="009A0EF2"/>
    <w:rsid w:val="009A2369"/>
    <w:rsid w:val="009A44AA"/>
    <w:rsid w:val="009B129A"/>
    <w:rsid w:val="009B180B"/>
    <w:rsid w:val="009B1E55"/>
    <w:rsid w:val="009B2A4A"/>
    <w:rsid w:val="009B2A75"/>
    <w:rsid w:val="009B3E69"/>
    <w:rsid w:val="009B5719"/>
    <w:rsid w:val="009C0134"/>
    <w:rsid w:val="009C0BFE"/>
    <w:rsid w:val="009C303C"/>
    <w:rsid w:val="009C3DCA"/>
    <w:rsid w:val="009C5372"/>
    <w:rsid w:val="009C56DE"/>
    <w:rsid w:val="009C5E97"/>
    <w:rsid w:val="009C616A"/>
    <w:rsid w:val="009C6975"/>
    <w:rsid w:val="009C7B90"/>
    <w:rsid w:val="009D0A40"/>
    <w:rsid w:val="009D1B65"/>
    <w:rsid w:val="009D3050"/>
    <w:rsid w:val="009D6976"/>
    <w:rsid w:val="009E034C"/>
    <w:rsid w:val="009E0627"/>
    <w:rsid w:val="009E0682"/>
    <w:rsid w:val="009F0F0C"/>
    <w:rsid w:val="009F2BA8"/>
    <w:rsid w:val="009F2C9F"/>
    <w:rsid w:val="009F38C1"/>
    <w:rsid w:val="009F3FCC"/>
    <w:rsid w:val="009F6E6B"/>
    <w:rsid w:val="009F6E85"/>
    <w:rsid w:val="00A005A6"/>
    <w:rsid w:val="00A03188"/>
    <w:rsid w:val="00A06BA0"/>
    <w:rsid w:val="00A12B36"/>
    <w:rsid w:val="00A13638"/>
    <w:rsid w:val="00A13830"/>
    <w:rsid w:val="00A15D7C"/>
    <w:rsid w:val="00A164E7"/>
    <w:rsid w:val="00A20C01"/>
    <w:rsid w:val="00A218B3"/>
    <w:rsid w:val="00A26CDE"/>
    <w:rsid w:val="00A27B22"/>
    <w:rsid w:val="00A304FC"/>
    <w:rsid w:val="00A3308D"/>
    <w:rsid w:val="00A33767"/>
    <w:rsid w:val="00A34122"/>
    <w:rsid w:val="00A3767B"/>
    <w:rsid w:val="00A4158E"/>
    <w:rsid w:val="00A42CAF"/>
    <w:rsid w:val="00A442CC"/>
    <w:rsid w:val="00A46839"/>
    <w:rsid w:val="00A50CCE"/>
    <w:rsid w:val="00A5240F"/>
    <w:rsid w:val="00A53349"/>
    <w:rsid w:val="00A5679F"/>
    <w:rsid w:val="00A56863"/>
    <w:rsid w:val="00A6274B"/>
    <w:rsid w:val="00A63058"/>
    <w:rsid w:val="00A636FA"/>
    <w:rsid w:val="00A63A03"/>
    <w:rsid w:val="00A64D34"/>
    <w:rsid w:val="00A65818"/>
    <w:rsid w:val="00A65903"/>
    <w:rsid w:val="00A666B3"/>
    <w:rsid w:val="00A70D4E"/>
    <w:rsid w:val="00A712FC"/>
    <w:rsid w:val="00A74B86"/>
    <w:rsid w:val="00A771D9"/>
    <w:rsid w:val="00A77FB2"/>
    <w:rsid w:val="00A82DD6"/>
    <w:rsid w:val="00A83F7A"/>
    <w:rsid w:val="00A92F35"/>
    <w:rsid w:val="00A96459"/>
    <w:rsid w:val="00AA114E"/>
    <w:rsid w:val="00AA1CE4"/>
    <w:rsid w:val="00AA2312"/>
    <w:rsid w:val="00AA3F18"/>
    <w:rsid w:val="00AA4089"/>
    <w:rsid w:val="00AA5CF1"/>
    <w:rsid w:val="00AB0696"/>
    <w:rsid w:val="00AB0B94"/>
    <w:rsid w:val="00AB18CF"/>
    <w:rsid w:val="00AB2D9D"/>
    <w:rsid w:val="00AB2FB5"/>
    <w:rsid w:val="00AC1974"/>
    <w:rsid w:val="00AC35D1"/>
    <w:rsid w:val="00AC751B"/>
    <w:rsid w:val="00AC78C8"/>
    <w:rsid w:val="00AD09AA"/>
    <w:rsid w:val="00AD2C84"/>
    <w:rsid w:val="00AD2FA8"/>
    <w:rsid w:val="00AD349A"/>
    <w:rsid w:val="00AE00D8"/>
    <w:rsid w:val="00AE0BF0"/>
    <w:rsid w:val="00AE117C"/>
    <w:rsid w:val="00AE65D0"/>
    <w:rsid w:val="00AF0489"/>
    <w:rsid w:val="00AF64D8"/>
    <w:rsid w:val="00B00A04"/>
    <w:rsid w:val="00B00B85"/>
    <w:rsid w:val="00B017A3"/>
    <w:rsid w:val="00B13C47"/>
    <w:rsid w:val="00B15666"/>
    <w:rsid w:val="00B15836"/>
    <w:rsid w:val="00B16981"/>
    <w:rsid w:val="00B171F7"/>
    <w:rsid w:val="00B23E72"/>
    <w:rsid w:val="00B240E2"/>
    <w:rsid w:val="00B259A3"/>
    <w:rsid w:val="00B25EE9"/>
    <w:rsid w:val="00B262C7"/>
    <w:rsid w:val="00B27B70"/>
    <w:rsid w:val="00B301C0"/>
    <w:rsid w:val="00B3201F"/>
    <w:rsid w:val="00B32814"/>
    <w:rsid w:val="00B33211"/>
    <w:rsid w:val="00B34924"/>
    <w:rsid w:val="00B37C0E"/>
    <w:rsid w:val="00B401DA"/>
    <w:rsid w:val="00B40D9E"/>
    <w:rsid w:val="00B43B50"/>
    <w:rsid w:val="00B43F58"/>
    <w:rsid w:val="00B44D0C"/>
    <w:rsid w:val="00B46205"/>
    <w:rsid w:val="00B505CD"/>
    <w:rsid w:val="00B51C13"/>
    <w:rsid w:val="00B520CE"/>
    <w:rsid w:val="00B53120"/>
    <w:rsid w:val="00B53372"/>
    <w:rsid w:val="00B572A9"/>
    <w:rsid w:val="00B614B2"/>
    <w:rsid w:val="00B61763"/>
    <w:rsid w:val="00B62DF2"/>
    <w:rsid w:val="00B6384C"/>
    <w:rsid w:val="00B6754D"/>
    <w:rsid w:val="00B67D96"/>
    <w:rsid w:val="00B71C8E"/>
    <w:rsid w:val="00B76364"/>
    <w:rsid w:val="00B76634"/>
    <w:rsid w:val="00B804A7"/>
    <w:rsid w:val="00B81668"/>
    <w:rsid w:val="00B82D05"/>
    <w:rsid w:val="00B8601F"/>
    <w:rsid w:val="00B91077"/>
    <w:rsid w:val="00B9198C"/>
    <w:rsid w:val="00B91B90"/>
    <w:rsid w:val="00B9346F"/>
    <w:rsid w:val="00B96301"/>
    <w:rsid w:val="00BA1645"/>
    <w:rsid w:val="00BA260C"/>
    <w:rsid w:val="00BA31B1"/>
    <w:rsid w:val="00BA48C1"/>
    <w:rsid w:val="00BA5F8B"/>
    <w:rsid w:val="00BA73F5"/>
    <w:rsid w:val="00BB18BD"/>
    <w:rsid w:val="00BB1CD9"/>
    <w:rsid w:val="00BB345F"/>
    <w:rsid w:val="00BB4B12"/>
    <w:rsid w:val="00BB6DF0"/>
    <w:rsid w:val="00BC333B"/>
    <w:rsid w:val="00BC4E4E"/>
    <w:rsid w:val="00BC4EAC"/>
    <w:rsid w:val="00BC63AA"/>
    <w:rsid w:val="00BD3707"/>
    <w:rsid w:val="00BD3755"/>
    <w:rsid w:val="00BD7779"/>
    <w:rsid w:val="00BE082F"/>
    <w:rsid w:val="00BE0AD0"/>
    <w:rsid w:val="00BE369F"/>
    <w:rsid w:val="00BE5756"/>
    <w:rsid w:val="00BE7A4D"/>
    <w:rsid w:val="00BE7B88"/>
    <w:rsid w:val="00BF0022"/>
    <w:rsid w:val="00BF1361"/>
    <w:rsid w:val="00BF3E99"/>
    <w:rsid w:val="00BF5164"/>
    <w:rsid w:val="00BF55FF"/>
    <w:rsid w:val="00C01F5A"/>
    <w:rsid w:val="00C0478A"/>
    <w:rsid w:val="00C06B60"/>
    <w:rsid w:val="00C07C46"/>
    <w:rsid w:val="00C11682"/>
    <w:rsid w:val="00C12388"/>
    <w:rsid w:val="00C13891"/>
    <w:rsid w:val="00C14422"/>
    <w:rsid w:val="00C149F8"/>
    <w:rsid w:val="00C14DCC"/>
    <w:rsid w:val="00C210FA"/>
    <w:rsid w:val="00C221BE"/>
    <w:rsid w:val="00C24001"/>
    <w:rsid w:val="00C26FE7"/>
    <w:rsid w:val="00C276F5"/>
    <w:rsid w:val="00C27C3A"/>
    <w:rsid w:val="00C312BD"/>
    <w:rsid w:val="00C35F1E"/>
    <w:rsid w:val="00C360BF"/>
    <w:rsid w:val="00C43170"/>
    <w:rsid w:val="00C432E2"/>
    <w:rsid w:val="00C46FEF"/>
    <w:rsid w:val="00C47D97"/>
    <w:rsid w:val="00C47EC8"/>
    <w:rsid w:val="00C50C76"/>
    <w:rsid w:val="00C529EA"/>
    <w:rsid w:val="00C53DCA"/>
    <w:rsid w:val="00C55970"/>
    <w:rsid w:val="00C56F6F"/>
    <w:rsid w:val="00C57A3C"/>
    <w:rsid w:val="00C61113"/>
    <w:rsid w:val="00C61A62"/>
    <w:rsid w:val="00C624CF"/>
    <w:rsid w:val="00C632ED"/>
    <w:rsid w:val="00C639F1"/>
    <w:rsid w:val="00C63A6C"/>
    <w:rsid w:val="00C70A7A"/>
    <w:rsid w:val="00C70B1C"/>
    <w:rsid w:val="00C71458"/>
    <w:rsid w:val="00C72BEC"/>
    <w:rsid w:val="00C73096"/>
    <w:rsid w:val="00C86728"/>
    <w:rsid w:val="00C9091A"/>
    <w:rsid w:val="00C92237"/>
    <w:rsid w:val="00CA478E"/>
    <w:rsid w:val="00CA557F"/>
    <w:rsid w:val="00CA5822"/>
    <w:rsid w:val="00CB19B4"/>
    <w:rsid w:val="00CB23E7"/>
    <w:rsid w:val="00CB3549"/>
    <w:rsid w:val="00CB374C"/>
    <w:rsid w:val="00CB4435"/>
    <w:rsid w:val="00CB5CE5"/>
    <w:rsid w:val="00CB5E8A"/>
    <w:rsid w:val="00CB690C"/>
    <w:rsid w:val="00CB7308"/>
    <w:rsid w:val="00CC017F"/>
    <w:rsid w:val="00CC052C"/>
    <w:rsid w:val="00CC05B8"/>
    <w:rsid w:val="00CC0DA1"/>
    <w:rsid w:val="00CC15B7"/>
    <w:rsid w:val="00CC196B"/>
    <w:rsid w:val="00CC1CA7"/>
    <w:rsid w:val="00CC3104"/>
    <w:rsid w:val="00CC60CE"/>
    <w:rsid w:val="00CC7461"/>
    <w:rsid w:val="00CD4F24"/>
    <w:rsid w:val="00CD60E6"/>
    <w:rsid w:val="00CD7414"/>
    <w:rsid w:val="00CE2FF8"/>
    <w:rsid w:val="00CF058B"/>
    <w:rsid w:val="00CF24BA"/>
    <w:rsid w:val="00D03E68"/>
    <w:rsid w:val="00D070EC"/>
    <w:rsid w:val="00D079B7"/>
    <w:rsid w:val="00D12822"/>
    <w:rsid w:val="00D15706"/>
    <w:rsid w:val="00D15DE6"/>
    <w:rsid w:val="00D17C04"/>
    <w:rsid w:val="00D22ED6"/>
    <w:rsid w:val="00D266F3"/>
    <w:rsid w:val="00D271CD"/>
    <w:rsid w:val="00D27655"/>
    <w:rsid w:val="00D3121B"/>
    <w:rsid w:val="00D316A2"/>
    <w:rsid w:val="00D31F76"/>
    <w:rsid w:val="00D33AF9"/>
    <w:rsid w:val="00D40822"/>
    <w:rsid w:val="00D415B3"/>
    <w:rsid w:val="00D41732"/>
    <w:rsid w:val="00D4304B"/>
    <w:rsid w:val="00D504F5"/>
    <w:rsid w:val="00D53AE2"/>
    <w:rsid w:val="00D56BF5"/>
    <w:rsid w:val="00D6050F"/>
    <w:rsid w:val="00D61BA7"/>
    <w:rsid w:val="00D63F24"/>
    <w:rsid w:val="00D664C6"/>
    <w:rsid w:val="00D729B1"/>
    <w:rsid w:val="00D80D23"/>
    <w:rsid w:val="00D83034"/>
    <w:rsid w:val="00D86AAA"/>
    <w:rsid w:val="00D87BF7"/>
    <w:rsid w:val="00D94307"/>
    <w:rsid w:val="00DA3142"/>
    <w:rsid w:val="00DB3049"/>
    <w:rsid w:val="00DB77DA"/>
    <w:rsid w:val="00DC3B8A"/>
    <w:rsid w:val="00DC4A12"/>
    <w:rsid w:val="00DC5F90"/>
    <w:rsid w:val="00DC610F"/>
    <w:rsid w:val="00DC616B"/>
    <w:rsid w:val="00DC649E"/>
    <w:rsid w:val="00DC79B2"/>
    <w:rsid w:val="00DD2550"/>
    <w:rsid w:val="00DD38FD"/>
    <w:rsid w:val="00DD6176"/>
    <w:rsid w:val="00DE0A30"/>
    <w:rsid w:val="00DE360A"/>
    <w:rsid w:val="00DE43DA"/>
    <w:rsid w:val="00DE7F1A"/>
    <w:rsid w:val="00DF08A3"/>
    <w:rsid w:val="00DF2673"/>
    <w:rsid w:val="00DF4376"/>
    <w:rsid w:val="00E00DC3"/>
    <w:rsid w:val="00E00FB9"/>
    <w:rsid w:val="00E01F7E"/>
    <w:rsid w:val="00E02C74"/>
    <w:rsid w:val="00E05048"/>
    <w:rsid w:val="00E05F3A"/>
    <w:rsid w:val="00E06903"/>
    <w:rsid w:val="00E07626"/>
    <w:rsid w:val="00E13AAF"/>
    <w:rsid w:val="00E148D4"/>
    <w:rsid w:val="00E15672"/>
    <w:rsid w:val="00E17C2A"/>
    <w:rsid w:val="00E20B1B"/>
    <w:rsid w:val="00E23B1B"/>
    <w:rsid w:val="00E26C0E"/>
    <w:rsid w:val="00E3011F"/>
    <w:rsid w:val="00E31393"/>
    <w:rsid w:val="00E32AF0"/>
    <w:rsid w:val="00E32FF4"/>
    <w:rsid w:val="00E34306"/>
    <w:rsid w:val="00E371AB"/>
    <w:rsid w:val="00E40099"/>
    <w:rsid w:val="00E40961"/>
    <w:rsid w:val="00E41AF6"/>
    <w:rsid w:val="00E41DA1"/>
    <w:rsid w:val="00E42821"/>
    <w:rsid w:val="00E42F36"/>
    <w:rsid w:val="00E43EE2"/>
    <w:rsid w:val="00E45597"/>
    <w:rsid w:val="00E4752C"/>
    <w:rsid w:val="00E5485C"/>
    <w:rsid w:val="00E56251"/>
    <w:rsid w:val="00E5738E"/>
    <w:rsid w:val="00E61120"/>
    <w:rsid w:val="00E634DE"/>
    <w:rsid w:val="00E63A2D"/>
    <w:rsid w:val="00E64C3B"/>
    <w:rsid w:val="00E65820"/>
    <w:rsid w:val="00E660D6"/>
    <w:rsid w:val="00E67C22"/>
    <w:rsid w:val="00E70491"/>
    <w:rsid w:val="00E70615"/>
    <w:rsid w:val="00E707C5"/>
    <w:rsid w:val="00E70A0C"/>
    <w:rsid w:val="00E74581"/>
    <w:rsid w:val="00E749AE"/>
    <w:rsid w:val="00E767E1"/>
    <w:rsid w:val="00E77FB6"/>
    <w:rsid w:val="00E800B9"/>
    <w:rsid w:val="00E83A8F"/>
    <w:rsid w:val="00E83AAB"/>
    <w:rsid w:val="00E85CD6"/>
    <w:rsid w:val="00E87846"/>
    <w:rsid w:val="00E91AED"/>
    <w:rsid w:val="00E921E0"/>
    <w:rsid w:val="00E93A00"/>
    <w:rsid w:val="00E9693F"/>
    <w:rsid w:val="00E96FBC"/>
    <w:rsid w:val="00E97A17"/>
    <w:rsid w:val="00EA061B"/>
    <w:rsid w:val="00EA0B53"/>
    <w:rsid w:val="00EA3398"/>
    <w:rsid w:val="00EA3D4B"/>
    <w:rsid w:val="00EA6264"/>
    <w:rsid w:val="00EA765C"/>
    <w:rsid w:val="00EB18E7"/>
    <w:rsid w:val="00EB40A5"/>
    <w:rsid w:val="00EB6AFA"/>
    <w:rsid w:val="00EC072C"/>
    <w:rsid w:val="00EC245C"/>
    <w:rsid w:val="00EC28F9"/>
    <w:rsid w:val="00EC2B04"/>
    <w:rsid w:val="00EC4234"/>
    <w:rsid w:val="00EC7FAC"/>
    <w:rsid w:val="00ED03AE"/>
    <w:rsid w:val="00ED047C"/>
    <w:rsid w:val="00ED06B5"/>
    <w:rsid w:val="00ED4636"/>
    <w:rsid w:val="00ED5D26"/>
    <w:rsid w:val="00EE490E"/>
    <w:rsid w:val="00EE4EC4"/>
    <w:rsid w:val="00EE6DB9"/>
    <w:rsid w:val="00EF02A7"/>
    <w:rsid w:val="00EF412A"/>
    <w:rsid w:val="00EF4A6D"/>
    <w:rsid w:val="00EF5562"/>
    <w:rsid w:val="00EF5DEA"/>
    <w:rsid w:val="00F0012D"/>
    <w:rsid w:val="00F013DA"/>
    <w:rsid w:val="00F01D5D"/>
    <w:rsid w:val="00F0478E"/>
    <w:rsid w:val="00F07516"/>
    <w:rsid w:val="00F12AF7"/>
    <w:rsid w:val="00F13753"/>
    <w:rsid w:val="00F1379E"/>
    <w:rsid w:val="00F14CFA"/>
    <w:rsid w:val="00F150E7"/>
    <w:rsid w:val="00F1767A"/>
    <w:rsid w:val="00F22A26"/>
    <w:rsid w:val="00F23ED9"/>
    <w:rsid w:val="00F2516E"/>
    <w:rsid w:val="00F25A69"/>
    <w:rsid w:val="00F30065"/>
    <w:rsid w:val="00F309EB"/>
    <w:rsid w:val="00F32103"/>
    <w:rsid w:val="00F3602E"/>
    <w:rsid w:val="00F406FB"/>
    <w:rsid w:val="00F473E5"/>
    <w:rsid w:val="00F47656"/>
    <w:rsid w:val="00F4789D"/>
    <w:rsid w:val="00F51AB5"/>
    <w:rsid w:val="00F55DA2"/>
    <w:rsid w:val="00F56F54"/>
    <w:rsid w:val="00F611BB"/>
    <w:rsid w:val="00F66D34"/>
    <w:rsid w:val="00F77017"/>
    <w:rsid w:val="00F80069"/>
    <w:rsid w:val="00F82A97"/>
    <w:rsid w:val="00F85DCA"/>
    <w:rsid w:val="00F92A3B"/>
    <w:rsid w:val="00F95290"/>
    <w:rsid w:val="00F9561D"/>
    <w:rsid w:val="00F9749B"/>
    <w:rsid w:val="00FA07F4"/>
    <w:rsid w:val="00FA3F2F"/>
    <w:rsid w:val="00FA3FC9"/>
    <w:rsid w:val="00FB09C9"/>
    <w:rsid w:val="00FB18A8"/>
    <w:rsid w:val="00FB2629"/>
    <w:rsid w:val="00FB5D3C"/>
    <w:rsid w:val="00FC0DC4"/>
    <w:rsid w:val="00FC1F2F"/>
    <w:rsid w:val="00FC2E02"/>
    <w:rsid w:val="00FC469A"/>
    <w:rsid w:val="00FC6818"/>
    <w:rsid w:val="00FC6918"/>
    <w:rsid w:val="00FC7397"/>
    <w:rsid w:val="00FD413A"/>
    <w:rsid w:val="00FD5959"/>
    <w:rsid w:val="00FD67C7"/>
    <w:rsid w:val="00FD6823"/>
    <w:rsid w:val="00FE1B8C"/>
    <w:rsid w:val="00FE4B2C"/>
    <w:rsid w:val="00FE6F51"/>
    <w:rsid w:val="00FE71CC"/>
    <w:rsid w:val="00FF1EC8"/>
    <w:rsid w:val="00FF723C"/>
    <w:rsid w:val="00FF79AA"/>
    <w:rsid w:val="025B5B1F"/>
    <w:rsid w:val="02BB052A"/>
    <w:rsid w:val="02D34F69"/>
    <w:rsid w:val="03044032"/>
    <w:rsid w:val="065500C2"/>
    <w:rsid w:val="075DECC0"/>
    <w:rsid w:val="07667E22"/>
    <w:rsid w:val="07866930"/>
    <w:rsid w:val="09AB5792"/>
    <w:rsid w:val="0A201CA2"/>
    <w:rsid w:val="0A5F44DC"/>
    <w:rsid w:val="0AC076B1"/>
    <w:rsid w:val="0B8E3932"/>
    <w:rsid w:val="0B924C90"/>
    <w:rsid w:val="0C425122"/>
    <w:rsid w:val="0E4F7F2B"/>
    <w:rsid w:val="0E762516"/>
    <w:rsid w:val="10423BF8"/>
    <w:rsid w:val="115245E6"/>
    <w:rsid w:val="13453F01"/>
    <w:rsid w:val="15217110"/>
    <w:rsid w:val="163C3060"/>
    <w:rsid w:val="16AF4D6B"/>
    <w:rsid w:val="171F05FA"/>
    <w:rsid w:val="1A4A30B1"/>
    <w:rsid w:val="1AAD7EB5"/>
    <w:rsid w:val="1D195D25"/>
    <w:rsid w:val="1D9D00DD"/>
    <w:rsid w:val="1DB765D0"/>
    <w:rsid w:val="1EFB65D9"/>
    <w:rsid w:val="1F2C6132"/>
    <w:rsid w:val="1F7E26B9"/>
    <w:rsid w:val="1F922932"/>
    <w:rsid w:val="1FE36954"/>
    <w:rsid w:val="1FED047B"/>
    <w:rsid w:val="210858E0"/>
    <w:rsid w:val="21B300DA"/>
    <w:rsid w:val="27E244EA"/>
    <w:rsid w:val="287E7A51"/>
    <w:rsid w:val="2923567F"/>
    <w:rsid w:val="29254262"/>
    <w:rsid w:val="2A1C32E3"/>
    <w:rsid w:val="2A273538"/>
    <w:rsid w:val="2B486992"/>
    <w:rsid w:val="2C2B0431"/>
    <w:rsid w:val="2F3A35B4"/>
    <w:rsid w:val="2F630AB8"/>
    <w:rsid w:val="30C05EFF"/>
    <w:rsid w:val="318A61EC"/>
    <w:rsid w:val="319741D0"/>
    <w:rsid w:val="32CA5BF2"/>
    <w:rsid w:val="32F84024"/>
    <w:rsid w:val="330E6233"/>
    <w:rsid w:val="344654E4"/>
    <w:rsid w:val="35A70196"/>
    <w:rsid w:val="35E7317D"/>
    <w:rsid w:val="38F44228"/>
    <w:rsid w:val="396B2A3F"/>
    <w:rsid w:val="3B462840"/>
    <w:rsid w:val="3B8A6646"/>
    <w:rsid w:val="3C1E64DD"/>
    <w:rsid w:val="3C2D41A3"/>
    <w:rsid w:val="3E7E62F0"/>
    <w:rsid w:val="41B15F81"/>
    <w:rsid w:val="41D72330"/>
    <w:rsid w:val="421A33A3"/>
    <w:rsid w:val="42DA26D5"/>
    <w:rsid w:val="442B2069"/>
    <w:rsid w:val="449E4D93"/>
    <w:rsid w:val="44E56D05"/>
    <w:rsid w:val="45611289"/>
    <w:rsid w:val="45844120"/>
    <w:rsid w:val="45AD34DF"/>
    <w:rsid w:val="485E4F79"/>
    <w:rsid w:val="48D216A4"/>
    <w:rsid w:val="49117ECB"/>
    <w:rsid w:val="494F7F78"/>
    <w:rsid w:val="4AA731A1"/>
    <w:rsid w:val="4B567A7B"/>
    <w:rsid w:val="4D2521E8"/>
    <w:rsid w:val="4E9B06A1"/>
    <w:rsid w:val="52A03050"/>
    <w:rsid w:val="52A700A4"/>
    <w:rsid w:val="53F93412"/>
    <w:rsid w:val="54114FC4"/>
    <w:rsid w:val="5519276B"/>
    <w:rsid w:val="556900AB"/>
    <w:rsid w:val="564434F6"/>
    <w:rsid w:val="575556CD"/>
    <w:rsid w:val="57A04676"/>
    <w:rsid w:val="58A17861"/>
    <w:rsid w:val="59DF28D7"/>
    <w:rsid w:val="5A126250"/>
    <w:rsid w:val="5A84380D"/>
    <w:rsid w:val="5C73412D"/>
    <w:rsid w:val="5CB147BB"/>
    <w:rsid w:val="5CC90E9B"/>
    <w:rsid w:val="5D75293E"/>
    <w:rsid w:val="5E4E1512"/>
    <w:rsid w:val="5E7C4712"/>
    <w:rsid w:val="5F96396F"/>
    <w:rsid w:val="5FDE70D2"/>
    <w:rsid w:val="60E34B01"/>
    <w:rsid w:val="61803A85"/>
    <w:rsid w:val="62CF6404"/>
    <w:rsid w:val="63241A8B"/>
    <w:rsid w:val="64D116A7"/>
    <w:rsid w:val="651932EC"/>
    <w:rsid w:val="65345596"/>
    <w:rsid w:val="66CD7C51"/>
    <w:rsid w:val="68310325"/>
    <w:rsid w:val="693E41BD"/>
    <w:rsid w:val="6B116C1C"/>
    <w:rsid w:val="6C703BC2"/>
    <w:rsid w:val="6CB51C37"/>
    <w:rsid w:val="6D7651F5"/>
    <w:rsid w:val="6E0025B2"/>
    <w:rsid w:val="6E0853BB"/>
    <w:rsid w:val="70017723"/>
    <w:rsid w:val="713D6047"/>
    <w:rsid w:val="719449A4"/>
    <w:rsid w:val="71F73DF5"/>
    <w:rsid w:val="721244FC"/>
    <w:rsid w:val="723777B3"/>
    <w:rsid w:val="77BE0B27"/>
    <w:rsid w:val="788B6E42"/>
    <w:rsid w:val="79F42C6A"/>
    <w:rsid w:val="7B18007A"/>
    <w:rsid w:val="7BC74831"/>
    <w:rsid w:val="7D667EA5"/>
    <w:rsid w:val="7F2A5886"/>
    <w:rsid w:val="9DE963BC"/>
    <w:rsid w:val="AFFB12C8"/>
    <w:rsid w:val="BECF09D2"/>
    <w:rsid w:val="F7FF43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4"/>
    <w:qFormat/>
    <w:uiPriority w:val="0"/>
    <w:pPr>
      <w:keepNext/>
      <w:keepLines/>
      <w:tabs>
        <w:tab w:val="left" w:pos="425"/>
      </w:tabs>
      <w:topLinePunct/>
      <w:spacing w:line="480" w:lineRule="auto"/>
      <w:textAlignment w:val="baseline"/>
      <w:outlineLvl w:val="0"/>
    </w:pPr>
    <w:rPr>
      <w:rFonts w:eastAsia="汉仪大宋简"/>
      <w:kern w:val="44"/>
      <w:sz w:val="22"/>
      <w:szCs w:val="22"/>
    </w:rPr>
  </w:style>
  <w:style w:type="paragraph" w:styleId="4">
    <w:name w:val="heading 2"/>
    <w:basedOn w:val="1"/>
    <w:next w:val="1"/>
    <w:link w:val="105"/>
    <w:qFormat/>
    <w:uiPriority w:val="0"/>
    <w:pPr>
      <w:keepNext/>
      <w:keepLines/>
      <w:tabs>
        <w:tab w:val="left" w:pos="1276"/>
      </w:tabs>
      <w:topLinePunct/>
      <w:ind w:left="851"/>
      <w:outlineLvl w:val="1"/>
    </w:pPr>
    <w:rPr>
      <w:rFonts w:eastAsia="黑体"/>
      <w:bCs/>
      <w:szCs w:val="21"/>
    </w:rPr>
  </w:style>
  <w:style w:type="paragraph" w:styleId="5">
    <w:name w:val="heading 3"/>
    <w:basedOn w:val="6"/>
    <w:next w:val="1"/>
    <w:link w:val="106"/>
    <w:qFormat/>
    <w:uiPriority w:val="0"/>
    <w:pPr>
      <w:keepNext/>
      <w:keepLines/>
      <w:tabs>
        <w:tab w:val="left" w:pos="2126"/>
      </w:tabs>
      <w:spacing w:line="960" w:lineRule="auto"/>
      <w:ind w:left="1701"/>
      <w:jc w:val="center"/>
    </w:pPr>
    <w:rPr>
      <w:rFonts w:eastAsia="黑体"/>
      <w:sz w:val="28"/>
      <w:szCs w:val="28"/>
    </w:rPr>
  </w:style>
  <w:style w:type="paragraph" w:styleId="7">
    <w:name w:val="heading 4"/>
    <w:basedOn w:val="1"/>
    <w:next w:val="1"/>
    <w:link w:val="107"/>
    <w:qFormat/>
    <w:uiPriority w:val="0"/>
    <w:pPr>
      <w:keepNext/>
      <w:keepLines/>
      <w:tabs>
        <w:tab w:val="left" w:pos="2976"/>
      </w:tabs>
      <w:spacing w:before="280" w:after="290" w:line="372" w:lineRule="auto"/>
      <w:ind w:left="2551"/>
      <w:outlineLvl w:val="3"/>
    </w:pPr>
    <w:rPr>
      <w:rFonts w:ascii="Arial" w:hAnsi="Arial" w:eastAsia="黑体"/>
      <w:b/>
      <w:bCs/>
      <w:sz w:val="28"/>
      <w:szCs w:val="28"/>
    </w:rPr>
  </w:style>
  <w:style w:type="paragraph" w:styleId="8">
    <w:name w:val="heading 5"/>
    <w:basedOn w:val="1"/>
    <w:next w:val="1"/>
    <w:link w:val="108"/>
    <w:qFormat/>
    <w:uiPriority w:val="0"/>
    <w:pPr>
      <w:keepNext/>
      <w:keepLines/>
      <w:tabs>
        <w:tab w:val="left" w:pos="3827"/>
      </w:tabs>
      <w:spacing w:line="360" w:lineRule="auto"/>
      <w:ind w:left="3402"/>
      <w:outlineLvl w:val="4"/>
    </w:pPr>
    <w:rPr>
      <w:rFonts w:eastAsia="黑体"/>
      <w:bCs/>
      <w:szCs w:val="28"/>
    </w:rPr>
  </w:style>
  <w:style w:type="paragraph" w:styleId="9">
    <w:name w:val="heading 6"/>
    <w:basedOn w:val="1"/>
    <w:next w:val="1"/>
    <w:link w:val="109"/>
    <w:qFormat/>
    <w:uiPriority w:val="0"/>
    <w:pPr>
      <w:keepNext/>
      <w:keepLines/>
      <w:tabs>
        <w:tab w:val="left" w:pos="4677"/>
      </w:tabs>
      <w:spacing w:before="240" w:after="64" w:line="317" w:lineRule="auto"/>
      <w:ind w:left="4252"/>
      <w:outlineLvl w:val="5"/>
    </w:pPr>
    <w:rPr>
      <w:rFonts w:ascii="Arial" w:hAnsi="Arial" w:eastAsia="黑体"/>
      <w:b/>
      <w:bCs/>
      <w:sz w:val="24"/>
    </w:rPr>
  </w:style>
  <w:style w:type="paragraph" w:styleId="10">
    <w:name w:val="heading 7"/>
    <w:basedOn w:val="1"/>
    <w:next w:val="1"/>
    <w:link w:val="110"/>
    <w:qFormat/>
    <w:uiPriority w:val="0"/>
    <w:pPr>
      <w:keepNext/>
      <w:keepLines/>
      <w:tabs>
        <w:tab w:val="left" w:pos="5528"/>
      </w:tabs>
      <w:spacing w:before="240" w:after="64" w:line="317" w:lineRule="auto"/>
      <w:ind w:left="5102"/>
      <w:outlineLvl w:val="6"/>
    </w:pPr>
    <w:rPr>
      <w:b/>
      <w:bCs/>
      <w:sz w:val="24"/>
    </w:rPr>
  </w:style>
  <w:style w:type="paragraph" w:styleId="11">
    <w:name w:val="heading 8"/>
    <w:basedOn w:val="1"/>
    <w:next w:val="1"/>
    <w:link w:val="11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2">
    <w:name w:val="heading 9"/>
    <w:basedOn w:val="1"/>
    <w:next w:val="1"/>
    <w:link w:val="112"/>
    <w:qFormat/>
    <w:uiPriority w:val="0"/>
    <w:pPr>
      <w:keepNext/>
      <w:keepLines/>
      <w:tabs>
        <w:tab w:val="left" w:pos="7228"/>
      </w:tabs>
      <w:spacing w:before="240" w:after="64" w:line="317" w:lineRule="auto"/>
      <w:ind w:left="6803"/>
      <w:outlineLvl w:val="8"/>
    </w:pPr>
    <w:rPr>
      <w:rFonts w:ascii="Arial" w:hAnsi="Arial" w:eastAsia="黑体"/>
      <w:szCs w:val="21"/>
    </w:rPr>
  </w:style>
  <w:style w:type="character" w:default="1" w:styleId="87">
    <w:name w:val="Default Paragraph Font"/>
    <w:semiHidden/>
    <w:unhideWhenUsed/>
    <w:qFormat/>
    <w:uiPriority w:val="1"/>
  </w:style>
  <w:style w:type="table" w:default="1" w:styleId="8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1"/>
    <w:qFormat/>
    <w:uiPriority w:val="0"/>
    <w:pPr>
      <w:spacing w:after="120"/>
    </w:pPr>
  </w:style>
  <w:style w:type="paragraph" w:customStyle="1" w:styleId="6">
    <w:name w:val="第三级标题"/>
    <w:basedOn w:val="1"/>
    <w:next w:val="1"/>
    <w:qFormat/>
    <w:uiPriority w:val="0"/>
    <w:pPr>
      <w:adjustRightInd w:val="0"/>
      <w:snapToGrid w:val="0"/>
      <w:outlineLvl w:val="2"/>
    </w:pPr>
    <w:rPr>
      <w:rFonts w:eastAsiaTheme="minorEastAsia"/>
      <w:bCs/>
    </w:rPr>
  </w:style>
  <w:style w:type="paragraph" w:styleId="13">
    <w:name w:val="List 3"/>
    <w:basedOn w:val="1"/>
    <w:qFormat/>
    <w:uiPriority w:val="0"/>
    <w:pPr>
      <w:ind w:left="1260" w:hanging="420"/>
    </w:pPr>
  </w:style>
  <w:style w:type="paragraph" w:styleId="14">
    <w:name w:val="toc 7"/>
    <w:basedOn w:val="1"/>
    <w:next w:val="1"/>
    <w:qFormat/>
    <w:uiPriority w:val="0"/>
    <w:pPr>
      <w:ind w:left="1260"/>
      <w:jc w:val="left"/>
    </w:pPr>
    <w:rPr>
      <w:sz w:val="20"/>
      <w:szCs w:val="20"/>
    </w:rPr>
  </w:style>
  <w:style w:type="paragraph" w:styleId="15">
    <w:name w:val="List Number 2"/>
    <w:basedOn w:val="1"/>
    <w:qFormat/>
    <w:uiPriority w:val="0"/>
    <w:pPr>
      <w:tabs>
        <w:tab w:val="left" w:pos="780"/>
      </w:tabs>
      <w:ind w:left="780" w:hanging="360"/>
    </w:pPr>
  </w:style>
  <w:style w:type="paragraph" w:styleId="16">
    <w:name w:val="Note Heading"/>
    <w:basedOn w:val="1"/>
    <w:next w:val="1"/>
    <w:link w:val="113"/>
    <w:qFormat/>
    <w:uiPriority w:val="0"/>
    <w:pPr>
      <w:jc w:val="center"/>
    </w:pPr>
  </w:style>
  <w:style w:type="paragraph" w:styleId="17">
    <w:name w:val="List Bullet 4"/>
    <w:basedOn w:val="1"/>
    <w:qFormat/>
    <w:uiPriority w:val="0"/>
    <w:pPr>
      <w:tabs>
        <w:tab w:val="left" w:pos="1620"/>
      </w:tabs>
      <w:ind w:left="1620" w:hanging="360"/>
    </w:pPr>
  </w:style>
  <w:style w:type="paragraph" w:styleId="18">
    <w:name w:val="index 8"/>
    <w:basedOn w:val="1"/>
    <w:next w:val="1"/>
    <w:qFormat/>
    <w:uiPriority w:val="0"/>
    <w:pPr>
      <w:ind w:left="1400" w:leftChars="1400"/>
    </w:pPr>
    <w:rPr>
      <w:rFonts w:eastAsia="仿宋_GB2312"/>
      <w:sz w:val="28"/>
    </w:rPr>
  </w:style>
  <w:style w:type="paragraph" w:styleId="19">
    <w:name w:val="E-mail Signature"/>
    <w:basedOn w:val="1"/>
    <w:link w:val="114"/>
    <w:qFormat/>
    <w:uiPriority w:val="0"/>
  </w:style>
  <w:style w:type="paragraph" w:styleId="20">
    <w:name w:val="List Number"/>
    <w:basedOn w:val="1"/>
    <w:qFormat/>
    <w:uiPriority w:val="0"/>
    <w:pPr>
      <w:tabs>
        <w:tab w:val="left" w:pos="360"/>
      </w:tabs>
      <w:ind w:left="360" w:hanging="360"/>
    </w:pPr>
  </w:style>
  <w:style w:type="paragraph" w:styleId="21">
    <w:name w:val="Normal Indent"/>
    <w:basedOn w:val="1"/>
    <w:link w:val="115"/>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index 5"/>
    <w:basedOn w:val="1"/>
    <w:next w:val="1"/>
    <w:qFormat/>
    <w:uiPriority w:val="0"/>
    <w:pPr>
      <w:ind w:left="800" w:leftChars="800"/>
    </w:pPr>
    <w:rPr>
      <w:rFonts w:eastAsia="仿宋_GB2312"/>
      <w:sz w:val="28"/>
    </w:rPr>
  </w:style>
  <w:style w:type="paragraph" w:styleId="24">
    <w:name w:val="List Bullet"/>
    <w:basedOn w:val="1"/>
    <w:qFormat/>
    <w:uiPriority w:val="0"/>
    <w:pPr>
      <w:tabs>
        <w:tab w:val="left" w:pos="360"/>
      </w:tabs>
      <w:ind w:left="360" w:hanging="360"/>
    </w:pPr>
  </w:style>
  <w:style w:type="paragraph" w:styleId="25">
    <w:name w:val="envelope address"/>
    <w:basedOn w:val="1"/>
    <w:qFormat/>
    <w:uiPriority w:val="0"/>
    <w:pPr>
      <w:snapToGrid w:val="0"/>
      <w:ind w:left="2880"/>
    </w:pPr>
    <w:rPr>
      <w:rFonts w:ascii="Arial" w:hAnsi="Arial" w:cs="Arial"/>
      <w:sz w:val="24"/>
    </w:rPr>
  </w:style>
  <w:style w:type="paragraph" w:styleId="26">
    <w:name w:val="Document Map"/>
    <w:basedOn w:val="1"/>
    <w:link w:val="116"/>
    <w:qFormat/>
    <w:uiPriority w:val="0"/>
    <w:pPr>
      <w:shd w:val="clear" w:color="auto" w:fill="000080"/>
    </w:pPr>
  </w:style>
  <w:style w:type="paragraph" w:styleId="27">
    <w:name w:val="annotation text"/>
    <w:basedOn w:val="1"/>
    <w:link w:val="117"/>
    <w:qFormat/>
    <w:uiPriority w:val="99"/>
    <w:pPr>
      <w:jc w:val="left"/>
    </w:pPr>
  </w:style>
  <w:style w:type="paragraph" w:styleId="28">
    <w:name w:val="index 6"/>
    <w:basedOn w:val="1"/>
    <w:next w:val="1"/>
    <w:qFormat/>
    <w:uiPriority w:val="0"/>
    <w:pPr>
      <w:ind w:left="1000" w:leftChars="1000"/>
    </w:pPr>
    <w:rPr>
      <w:rFonts w:eastAsia="仿宋_GB2312"/>
      <w:sz w:val="28"/>
    </w:rPr>
  </w:style>
  <w:style w:type="paragraph" w:styleId="29">
    <w:name w:val="Salutation"/>
    <w:basedOn w:val="1"/>
    <w:next w:val="1"/>
    <w:link w:val="118"/>
    <w:qFormat/>
    <w:uiPriority w:val="0"/>
  </w:style>
  <w:style w:type="paragraph" w:styleId="30">
    <w:name w:val="Body Text 3"/>
    <w:basedOn w:val="1"/>
    <w:link w:val="119"/>
    <w:qFormat/>
    <w:uiPriority w:val="0"/>
    <w:pPr>
      <w:spacing w:after="120"/>
    </w:pPr>
    <w:rPr>
      <w:sz w:val="16"/>
      <w:szCs w:val="16"/>
    </w:rPr>
  </w:style>
  <w:style w:type="paragraph" w:styleId="31">
    <w:name w:val="Closing"/>
    <w:basedOn w:val="1"/>
    <w:link w:val="120"/>
    <w:qFormat/>
    <w:uiPriority w:val="0"/>
    <w:pPr>
      <w:ind w:left="4320"/>
    </w:pPr>
  </w:style>
  <w:style w:type="paragraph" w:styleId="32">
    <w:name w:val="List Bullet 3"/>
    <w:basedOn w:val="1"/>
    <w:qFormat/>
    <w:uiPriority w:val="0"/>
    <w:pPr>
      <w:tabs>
        <w:tab w:val="left" w:pos="1200"/>
      </w:tabs>
      <w:ind w:left="1200" w:hanging="360"/>
    </w:pPr>
  </w:style>
  <w:style w:type="paragraph" w:styleId="33">
    <w:name w:val="Body Text Indent"/>
    <w:basedOn w:val="1"/>
    <w:link w:val="122"/>
    <w:qFormat/>
    <w:uiPriority w:val="99"/>
    <w:pPr>
      <w:spacing w:after="120"/>
      <w:ind w:left="420"/>
    </w:pPr>
  </w:style>
  <w:style w:type="paragraph" w:styleId="34">
    <w:name w:val="List Number 3"/>
    <w:basedOn w:val="1"/>
    <w:qFormat/>
    <w:uiPriority w:val="0"/>
    <w:pPr>
      <w:tabs>
        <w:tab w:val="left" w:pos="1200"/>
      </w:tabs>
      <w:ind w:left="1200" w:hanging="360"/>
    </w:pPr>
  </w:style>
  <w:style w:type="paragraph" w:styleId="35">
    <w:name w:val="List 2"/>
    <w:basedOn w:val="1"/>
    <w:qFormat/>
    <w:uiPriority w:val="0"/>
    <w:pPr>
      <w:ind w:left="840" w:hanging="420"/>
    </w:pPr>
  </w:style>
  <w:style w:type="paragraph" w:styleId="36">
    <w:name w:val="List Continue"/>
    <w:basedOn w:val="1"/>
    <w:qFormat/>
    <w:uiPriority w:val="0"/>
    <w:pPr>
      <w:spacing w:after="120"/>
      <w:ind w:left="420"/>
    </w:pPr>
  </w:style>
  <w:style w:type="paragraph" w:styleId="37">
    <w:name w:val="Block Text"/>
    <w:basedOn w:val="1"/>
    <w:qFormat/>
    <w:uiPriority w:val="0"/>
    <w:pPr>
      <w:spacing w:after="120"/>
      <w:ind w:left="1440" w:right="1440"/>
    </w:pPr>
  </w:style>
  <w:style w:type="paragraph" w:styleId="38">
    <w:name w:val="List Bullet 2"/>
    <w:basedOn w:val="1"/>
    <w:qFormat/>
    <w:uiPriority w:val="0"/>
    <w:pPr>
      <w:tabs>
        <w:tab w:val="left" w:pos="780"/>
      </w:tabs>
      <w:ind w:left="780" w:hanging="360"/>
    </w:pPr>
  </w:style>
  <w:style w:type="paragraph" w:styleId="39">
    <w:name w:val="HTML Address"/>
    <w:basedOn w:val="1"/>
    <w:link w:val="123"/>
    <w:qFormat/>
    <w:uiPriority w:val="0"/>
    <w:rPr>
      <w:i/>
      <w:iCs/>
    </w:rPr>
  </w:style>
  <w:style w:type="paragraph" w:styleId="40">
    <w:name w:val="index 4"/>
    <w:basedOn w:val="1"/>
    <w:next w:val="1"/>
    <w:qFormat/>
    <w:uiPriority w:val="0"/>
    <w:pPr>
      <w:ind w:left="600" w:leftChars="600"/>
    </w:pPr>
    <w:rPr>
      <w:rFonts w:eastAsia="仿宋_GB2312"/>
      <w:sz w:val="28"/>
    </w:rPr>
  </w:style>
  <w:style w:type="paragraph" w:styleId="41">
    <w:name w:val="toc 5"/>
    <w:basedOn w:val="1"/>
    <w:next w:val="1"/>
    <w:qFormat/>
    <w:uiPriority w:val="0"/>
    <w:pPr>
      <w:ind w:left="840"/>
      <w:jc w:val="left"/>
    </w:pPr>
    <w:rPr>
      <w:sz w:val="20"/>
      <w:szCs w:val="20"/>
    </w:rPr>
  </w:style>
  <w:style w:type="paragraph" w:styleId="42">
    <w:name w:val="toc 3"/>
    <w:basedOn w:val="1"/>
    <w:next w:val="1"/>
    <w:qFormat/>
    <w:uiPriority w:val="0"/>
    <w:pPr>
      <w:ind w:left="840" w:leftChars="400"/>
    </w:pPr>
  </w:style>
  <w:style w:type="paragraph" w:styleId="43">
    <w:name w:val="Plain Text"/>
    <w:basedOn w:val="1"/>
    <w:link w:val="124"/>
    <w:qFormat/>
    <w:uiPriority w:val="0"/>
    <w:rPr>
      <w:rFonts w:ascii="宋体" w:hAnsi="Courier New" w:cs="Courier New"/>
      <w:szCs w:val="21"/>
    </w:rPr>
  </w:style>
  <w:style w:type="paragraph" w:styleId="44">
    <w:name w:val="List Bullet 5"/>
    <w:basedOn w:val="1"/>
    <w:qFormat/>
    <w:uiPriority w:val="0"/>
    <w:pPr>
      <w:tabs>
        <w:tab w:val="left" w:pos="2040"/>
      </w:tabs>
      <w:ind w:left="2040" w:hanging="360"/>
    </w:pPr>
  </w:style>
  <w:style w:type="paragraph" w:styleId="45">
    <w:name w:val="List Number 4"/>
    <w:basedOn w:val="1"/>
    <w:qFormat/>
    <w:uiPriority w:val="0"/>
    <w:pPr>
      <w:tabs>
        <w:tab w:val="left" w:pos="1620"/>
      </w:tabs>
      <w:ind w:left="1620" w:hanging="360"/>
    </w:pPr>
  </w:style>
  <w:style w:type="paragraph" w:styleId="46">
    <w:name w:val="toc 8"/>
    <w:basedOn w:val="1"/>
    <w:next w:val="1"/>
    <w:qFormat/>
    <w:uiPriority w:val="0"/>
    <w:pPr>
      <w:ind w:left="1470"/>
      <w:jc w:val="left"/>
    </w:pPr>
    <w:rPr>
      <w:sz w:val="20"/>
      <w:szCs w:val="20"/>
    </w:rPr>
  </w:style>
  <w:style w:type="paragraph" w:styleId="47">
    <w:name w:val="index 3"/>
    <w:basedOn w:val="1"/>
    <w:next w:val="1"/>
    <w:qFormat/>
    <w:uiPriority w:val="0"/>
    <w:pPr>
      <w:ind w:left="400" w:leftChars="400"/>
    </w:pPr>
    <w:rPr>
      <w:rFonts w:eastAsia="仿宋_GB2312"/>
      <w:sz w:val="28"/>
    </w:rPr>
  </w:style>
  <w:style w:type="paragraph" w:styleId="48">
    <w:name w:val="Date"/>
    <w:basedOn w:val="1"/>
    <w:next w:val="1"/>
    <w:link w:val="125"/>
    <w:qFormat/>
    <w:uiPriority w:val="0"/>
  </w:style>
  <w:style w:type="paragraph" w:styleId="49">
    <w:name w:val="Body Text Indent 2"/>
    <w:basedOn w:val="1"/>
    <w:link w:val="126"/>
    <w:qFormat/>
    <w:uiPriority w:val="0"/>
    <w:pPr>
      <w:spacing w:after="120" w:line="480" w:lineRule="auto"/>
      <w:ind w:left="420"/>
    </w:pPr>
  </w:style>
  <w:style w:type="paragraph" w:styleId="50">
    <w:name w:val="List Continue 5"/>
    <w:basedOn w:val="1"/>
    <w:qFormat/>
    <w:uiPriority w:val="0"/>
    <w:pPr>
      <w:spacing w:after="120"/>
      <w:ind w:left="2100"/>
    </w:pPr>
  </w:style>
  <w:style w:type="paragraph" w:styleId="51">
    <w:name w:val="Balloon Text"/>
    <w:basedOn w:val="1"/>
    <w:link w:val="127"/>
    <w:qFormat/>
    <w:uiPriority w:val="0"/>
    <w:rPr>
      <w:sz w:val="18"/>
      <w:szCs w:val="18"/>
    </w:rPr>
  </w:style>
  <w:style w:type="paragraph" w:styleId="52">
    <w:name w:val="footer"/>
    <w:basedOn w:val="1"/>
    <w:link w:val="128"/>
    <w:qFormat/>
    <w:uiPriority w:val="99"/>
    <w:pPr>
      <w:tabs>
        <w:tab w:val="center" w:pos="4153"/>
        <w:tab w:val="right" w:pos="8306"/>
      </w:tabs>
      <w:snapToGrid w:val="0"/>
      <w:jc w:val="left"/>
    </w:pPr>
    <w:rPr>
      <w:sz w:val="18"/>
      <w:szCs w:val="18"/>
    </w:rPr>
  </w:style>
  <w:style w:type="paragraph" w:styleId="53">
    <w:name w:val="envelope return"/>
    <w:basedOn w:val="1"/>
    <w:qFormat/>
    <w:uiPriority w:val="0"/>
    <w:pPr>
      <w:snapToGrid w:val="0"/>
    </w:pPr>
    <w:rPr>
      <w:rFonts w:ascii="Arial" w:hAnsi="Arial" w:cs="Arial"/>
    </w:rPr>
  </w:style>
  <w:style w:type="paragraph" w:styleId="54">
    <w:name w:val="header"/>
    <w:basedOn w:val="1"/>
    <w:link w:val="129"/>
    <w:qFormat/>
    <w:uiPriority w:val="0"/>
    <w:pPr>
      <w:pBdr>
        <w:bottom w:val="single" w:color="auto" w:sz="6" w:space="1"/>
      </w:pBdr>
      <w:tabs>
        <w:tab w:val="center" w:pos="4153"/>
        <w:tab w:val="right" w:pos="8306"/>
      </w:tabs>
      <w:snapToGrid w:val="0"/>
      <w:jc w:val="center"/>
    </w:pPr>
    <w:rPr>
      <w:sz w:val="18"/>
      <w:szCs w:val="18"/>
    </w:rPr>
  </w:style>
  <w:style w:type="paragraph" w:styleId="55">
    <w:name w:val="Signature"/>
    <w:basedOn w:val="1"/>
    <w:link w:val="130"/>
    <w:qFormat/>
    <w:uiPriority w:val="0"/>
    <w:pPr>
      <w:ind w:left="4320"/>
    </w:pPr>
  </w:style>
  <w:style w:type="paragraph" w:styleId="56">
    <w:name w:val="toc 1"/>
    <w:basedOn w:val="1"/>
    <w:next w:val="1"/>
    <w:qFormat/>
    <w:uiPriority w:val="39"/>
    <w:pPr>
      <w:tabs>
        <w:tab w:val="left" w:leader="middleDot" w:pos="360"/>
        <w:tab w:val="right" w:leader="dot" w:pos="8705"/>
      </w:tabs>
      <w:spacing w:beforeLines="25" w:afterLines="25"/>
    </w:pPr>
    <w:rPr>
      <w:b/>
    </w:rPr>
  </w:style>
  <w:style w:type="paragraph" w:styleId="57">
    <w:name w:val="List Continue 4"/>
    <w:basedOn w:val="1"/>
    <w:qFormat/>
    <w:uiPriority w:val="0"/>
    <w:pPr>
      <w:spacing w:after="120"/>
      <w:ind w:left="1680"/>
    </w:pPr>
  </w:style>
  <w:style w:type="paragraph" w:styleId="58">
    <w:name w:val="toc 4"/>
    <w:basedOn w:val="1"/>
    <w:next w:val="1"/>
    <w:qFormat/>
    <w:uiPriority w:val="0"/>
    <w:pPr>
      <w:ind w:left="630"/>
      <w:jc w:val="left"/>
    </w:pPr>
    <w:rPr>
      <w:sz w:val="20"/>
      <w:szCs w:val="20"/>
    </w:rPr>
  </w:style>
  <w:style w:type="paragraph" w:styleId="59">
    <w:name w:val="index heading"/>
    <w:basedOn w:val="1"/>
    <w:next w:val="60"/>
    <w:qFormat/>
    <w:uiPriority w:val="0"/>
    <w:rPr>
      <w:rFonts w:eastAsia="仿宋_GB2312"/>
      <w:sz w:val="28"/>
    </w:rPr>
  </w:style>
  <w:style w:type="paragraph" w:styleId="60">
    <w:name w:val="index 1"/>
    <w:basedOn w:val="1"/>
    <w:next w:val="1"/>
    <w:qFormat/>
    <w:uiPriority w:val="0"/>
    <w:rPr>
      <w:rFonts w:eastAsia="仿宋_GB2312"/>
      <w:sz w:val="28"/>
    </w:rPr>
  </w:style>
  <w:style w:type="paragraph" w:styleId="61">
    <w:name w:val="Subtitle"/>
    <w:basedOn w:val="1"/>
    <w:link w:val="131"/>
    <w:qFormat/>
    <w:uiPriority w:val="0"/>
    <w:pPr>
      <w:spacing w:before="240" w:after="60" w:line="312" w:lineRule="auto"/>
      <w:jc w:val="center"/>
      <w:outlineLvl w:val="1"/>
    </w:pPr>
    <w:rPr>
      <w:rFonts w:ascii="Arial" w:hAnsi="Arial" w:cs="Arial"/>
      <w:b/>
      <w:bCs/>
      <w:kern w:val="28"/>
      <w:sz w:val="32"/>
      <w:szCs w:val="32"/>
    </w:rPr>
  </w:style>
  <w:style w:type="paragraph" w:styleId="62">
    <w:name w:val="List Number 5"/>
    <w:basedOn w:val="1"/>
    <w:qFormat/>
    <w:uiPriority w:val="0"/>
    <w:pPr>
      <w:tabs>
        <w:tab w:val="left" w:pos="2040"/>
      </w:tabs>
      <w:ind w:left="2040" w:hanging="360"/>
    </w:pPr>
  </w:style>
  <w:style w:type="paragraph" w:styleId="63">
    <w:name w:val="List"/>
    <w:basedOn w:val="1"/>
    <w:qFormat/>
    <w:uiPriority w:val="0"/>
    <w:pPr>
      <w:ind w:left="420" w:hanging="420"/>
    </w:pPr>
  </w:style>
  <w:style w:type="paragraph" w:styleId="64">
    <w:name w:val="footnote text"/>
    <w:basedOn w:val="1"/>
    <w:link w:val="293"/>
    <w:qFormat/>
    <w:uiPriority w:val="0"/>
    <w:pPr>
      <w:snapToGrid w:val="0"/>
      <w:jc w:val="left"/>
    </w:pPr>
    <w:rPr>
      <w:rFonts w:ascii="Calibri" w:hAnsi="Calibri"/>
      <w:sz w:val="18"/>
      <w:szCs w:val="20"/>
    </w:rPr>
  </w:style>
  <w:style w:type="paragraph" w:styleId="65">
    <w:name w:val="toc 6"/>
    <w:basedOn w:val="1"/>
    <w:next w:val="1"/>
    <w:qFormat/>
    <w:uiPriority w:val="0"/>
    <w:pPr>
      <w:ind w:left="1050"/>
      <w:jc w:val="left"/>
    </w:pPr>
    <w:rPr>
      <w:sz w:val="20"/>
      <w:szCs w:val="20"/>
    </w:rPr>
  </w:style>
  <w:style w:type="paragraph" w:styleId="66">
    <w:name w:val="List 5"/>
    <w:basedOn w:val="1"/>
    <w:qFormat/>
    <w:uiPriority w:val="0"/>
    <w:pPr>
      <w:ind w:left="2100" w:hanging="420"/>
    </w:pPr>
  </w:style>
  <w:style w:type="paragraph" w:styleId="67">
    <w:name w:val="Body Text Indent 3"/>
    <w:basedOn w:val="1"/>
    <w:link w:val="132"/>
    <w:qFormat/>
    <w:uiPriority w:val="0"/>
    <w:pPr>
      <w:spacing w:after="120"/>
      <w:ind w:left="420"/>
    </w:pPr>
    <w:rPr>
      <w:sz w:val="16"/>
      <w:szCs w:val="16"/>
    </w:rPr>
  </w:style>
  <w:style w:type="paragraph" w:styleId="68">
    <w:name w:val="index 7"/>
    <w:basedOn w:val="1"/>
    <w:next w:val="1"/>
    <w:qFormat/>
    <w:uiPriority w:val="0"/>
    <w:pPr>
      <w:ind w:left="1200" w:leftChars="1200"/>
    </w:pPr>
    <w:rPr>
      <w:rFonts w:eastAsia="仿宋_GB2312"/>
      <w:sz w:val="28"/>
    </w:rPr>
  </w:style>
  <w:style w:type="paragraph" w:styleId="69">
    <w:name w:val="index 9"/>
    <w:basedOn w:val="1"/>
    <w:next w:val="1"/>
    <w:qFormat/>
    <w:uiPriority w:val="0"/>
    <w:pPr>
      <w:ind w:left="1600" w:leftChars="1600"/>
    </w:pPr>
    <w:rPr>
      <w:rFonts w:eastAsia="仿宋_GB2312"/>
      <w:sz w:val="28"/>
    </w:rPr>
  </w:style>
  <w:style w:type="paragraph" w:styleId="70">
    <w:name w:val="table of figures"/>
    <w:basedOn w:val="1"/>
    <w:next w:val="1"/>
    <w:qFormat/>
    <w:uiPriority w:val="0"/>
    <w:pPr>
      <w:ind w:left="200" w:leftChars="200" w:hanging="200" w:hangingChars="200"/>
    </w:pPr>
  </w:style>
  <w:style w:type="paragraph" w:styleId="71">
    <w:name w:val="toc 2"/>
    <w:basedOn w:val="1"/>
    <w:next w:val="1"/>
    <w:qFormat/>
    <w:uiPriority w:val="39"/>
    <w:pPr>
      <w:tabs>
        <w:tab w:val="right" w:leader="dot" w:pos="8705"/>
      </w:tabs>
      <w:ind w:left="420" w:leftChars="200"/>
    </w:pPr>
  </w:style>
  <w:style w:type="paragraph" w:styleId="72">
    <w:name w:val="toc 9"/>
    <w:basedOn w:val="1"/>
    <w:next w:val="1"/>
    <w:qFormat/>
    <w:uiPriority w:val="0"/>
    <w:pPr>
      <w:ind w:left="1680"/>
      <w:jc w:val="left"/>
    </w:pPr>
    <w:rPr>
      <w:sz w:val="20"/>
      <w:szCs w:val="20"/>
    </w:rPr>
  </w:style>
  <w:style w:type="paragraph" w:styleId="73">
    <w:name w:val="Body Text 2"/>
    <w:basedOn w:val="1"/>
    <w:link w:val="133"/>
    <w:qFormat/>
    <w:uiPriority w:val="0"/>
    <w:pPr>
      <w:spacing w:after="120" w:line="480" w:lineRule="auto"/>
    </w:pPr>
  </w:style>
  <w:style w:type="paragraph" w:styleId="74">
    <w:name w:val="List 4"/>
    <w:basedOn w:val="1"/>
    <w:qFormat/>
    <w:uiPriority w:val="0"/>
    <w:pPr>
      <w:ind w:left="1680" w:hanging="420"/>
    </w:pPr>
  </w:style>
  <w:style w:type="paragraph" w:styleId="75">
    <w:name w:val="List Continue 2"/>
    <w:basedOn w:val="1"/>
    <w:qFormat/>
    <w:uiPriority w:val="0"/>
    <w:pPr>
      <w:spacing w:after="120"/>
      <w:ind w:left="840"/>
    </w:pPr>
  </w:style>
  <w:style w:type="paragraph" w:styleId="76">
    <w:name w:val="Message Header"/>
    <w:basedOn w:val="1"/>
    <w:link w:val="134"/>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7">
    <w:name w:val="HTML Preformatted"/>
    <w:basedOn w:val="1"/>
    <w:link w:val="135"/>
    <w:qFormat/>
    <w:uiPriority w:val="0"/>
    <w:rPr>
      <w:rFonts w:ascii="Courier New" w:hAnsi="Courier New" w:cs="Courier New"/>
      <w:sz w:val="20"/>
      <w:szCs w:val="20"/>
    </w:rPr>
  </w:style>
  <w:style w:type="paragraph" w:styleId="78">
    <w:name w:val="Normal (Web)"/>
    <w:basedOn w:val="1"/>
    <w:qFormat/>
    <w:uiPriority w:val="0"/>
    <w:rPr>
      <w:sz w:val="24"/>
    </w:rPr>
  </w:style>
  <w:style w:type="paragraph" w:styleId="79">
    <w:name w:val="List Continue 3"/>
    <w:basedOn w:val="1"/>
    <w:qFormat/>
    <w:uiPriority w:val="0"/>
    <w:pPr>
      <w:spacing w:after="120"/>
      <w:ind w:left="1260"/>
    </w:pPr>
  </w:style>
  <w:style w:type="paragraph" w:styleId="80">
    <w:name w:val="index 2"/>
    <w:basedOn w:val="1"/>
    <w:next w:val="1"/>
    <w:qFormat/>
    <w:uiPriority w:val="0"/>
    <w:pPr>
      <w:ind w:left="200" w:leftChars="200"/>
    </w:pPr>
    <w:rPr>
      <w:rFonts w:eastAsia="仿宋_GB2312"/>
      <w:sz w:val="28"/>
    </w:rPr>
  </w:style>
  <w:style w:type="paragraph" w:styleId="81">
    <w:name w:val="Title"/>
    <w:basedOn w:val="1"/>
    <w:link w:val="136"/>
    <w:qFormat/>
    <w:uiPriority w:val="0"/>
    <w:pPr>
      <w:spacing w:before="240" w:after="60"/>
      <w:jc w:val="center"/>
      <w:outlineLvl w:val="0"/>
    </w:pPr>
    <w:rPr>
      <w:rFonts w:ascii="Arial" w:hAnsi="Arial" w:cs="Arial"/>
      <w:b/>
      <w:bCs/>
      <w:sz w:val="32"/>
      <w:szCs w:val="32"/>
    </w:rPr>
  </w:style>
  <w:style w:type="paragraph" w:styleId="82">
    <w:name w:val="annotation subject"/>
    <w:basedOn w:val="27"/>
    <w:next w:val="27"/>
    <w:link w:val="137"/>
    <w:qFormat/>
    <w:uiPriority w:val="0"/>
    <w:rPr>
      <w:b/>
      <w:bCs/>
    </w:rPr>
  </w:style>
  <w:style w:type="paragraph" w:styleId="83">
    <w:name w:val="Body Text First Indent"/>
    <w:basedOn w:val="2"/>
    <w:link w:val="138"/>
    <w:qFormat/>
    <w:uiPriority w:val="0"/>
    <w:pPr>
      <w:ind w:firstLine="420"/>
    </w:pPr>
  </w:style>
  <w:style w:type="paragraph" w:styleId="84">
    <w:name w:val="Body Text First Indent 2"/>
    <w:basedOn w:val="33"/>
    <w:link w:val="139"/>
    <w:qFormat/>
    <w:uiPriority w:val="0"/>
    <w:pPr>
      <w:ind w:firstLine="420"/>
    </w:pPr>
  </w:style>
  <w:style w:type="table" w:styleId="86">
    <w:name w:val="Table Grid"/>
    <w:basedOn w:val="8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8">
    <w:name w:val="Strong"/>
    <w:qFormat/>
    <w:uiPriority w:val="0"/>
    <w:rPr>
      <w:b/>
      <w:bCs/>
    </w:rPr>
  </w:style>
  <w:style w:type="character" w:styleId="89">
    <w:name w:val="page number"/>
    <w:basedOn w:val="87"/>
    <w:qFormat/>
    <w:uiPriority w:val="0"/>
  </w:style>
  <w:style w:type="character" w:styleId="90">
    <w:name w:val="FollowedHyperlink"/>
    <w:qFormat/>
    <w:uiPriority w:val="99"/>
    <w:rPr>
      <w:color w:val="800080"/>
      <w:u w:val="single"/>
    </w:rPr>
  </w:style>
  <w:style w:type="character" w:styleId="91">
    <w:name w:val="Emphasis"/>
    <w:qFormat/>
    <w:uiPriority w:val="0"/>
    <w:rPr>
      <w:i/>
      <w:iCs/>
    </w:rPr>
  </w:style>
  <w:style w:type="character" w:styleId="92">
    <w:name w:val="line number"/>
    <w:basedOn w:val="87"/>
    <w:qFormat/>
    <w:uiPriority w:val="0"/>
  </w:style>
  <w:style w:type="character" w:styleId="93">
    <w:name w:val="HTML Definition"/>
    <w:qFormat/>
    <w:uiPriority w:val="0"/>
    <w:rPr>
      <w:i/>
      <w:iCs/>
    </w:rPr>
  </w:style>
  <w:style w:type="character" w:styleId="94">
    <w:name w:val="HTML Typewriter"/>
    <w:qFormat/>
    <w:uiPriority w:val="0"/>
    <w:rPr>
      <w:rFonts w:ascii="Courier New" w:hAnsi="Courier New" w:cs="Courier New"/>
      <w:sz w:val="20"/>
      <w:szCs w:val="20"/>
    </w:rPr>
  </w:style>
  <w:style w:type="character" w:styleId="95">
    <w:name w:val="HTML Acronym"/>
    <w:basedOn w:val="87"/>
    <w:qFormat/>
    <w:uiPriority w:val="0"/>
  </w:style>
  <w:style w:type="character" w:styleId="96">
    <w:name w:val="HTML Variable"/>
    <w:qFormat/>
    <w:uiPriority w:val="0"/>
    <w:rPr>
      <w:i/>
      <w:iCs/>
    </w:rPr>
  </w:style>
  <w:style w:type="character" w:styleId="97">
    <w:name w:val="Hyperlink"/>
    <w:qFormat/>
    <w:uiPriority w:val="99"/>
    <w:rPr>
      <w:rFonts w:ascii="宋体" w:hAnsi="宋体" w:eastAsia="宋体"/>
      <w:b/>
      <w:color w:val="0000FF"/>
      <w:kern w:val="2"/>
      <w:sz w:val="24"/>
      <w:szCs w:val="24"/>
      <w:u w:val="single"/>
      <w:lang w:val="en-US" w:eastAsia="zh-CN" w:bidi="ar-SA"/>
    </w:rPr>
  </w:style>
  <w:style w:type="character" w:styleId="98">
    <w:name w:val="HTML Code"/>
    <w:qFormat/>
    <w:uiPriority w:val="0"/>
    <w:rPr>
      <w:rFonts w:ascii="Courier New" w:hAnsi="Courier New" w:cs="Courier New"/>
      <w:sz w:val="20"/>
      <w:szCs w:val="20"/>
    </w:rPr>
  </w:style>
  <w:style w:type="character" w:styleId="99">
    <w:name w:val="annotation reference"/>
    <w:qFormat/>
    <w:uiPriority w:val="0"/>
    <w:rPr>
      <w:sz w:val="21"/>
      <w:szCs w:val="21"/>
    </w:rPr>
  </w:style>
  <w:style w:type="character" w:styleId="100">
    <w:name w:val="HTML Cite"/>
    <w:qFormat/>
    <w:uiPriority w:val="0"/>
    <w:rPr>
      <w:i/>
      <w:iCs/>
    </w:rPr>
  </w:style>
  <w:style w:type="character" w:styleId="101">
    <w:name w:val="footnote reference"/>
    <w:qFormat/>
    <w:uiPriority w:val="0"/>
    <w:rPr>
      <w:vertAlign w:val="superscript"/>
    </w:rPr>
  </w:style>
  <w:style w:type="character" w:styleId="102">
    <w:name w:val="HTML Keyboard"/>
    <w:qFormat/>
    <w:uiPriority w:val="0"/>
    <w:rPr>
      <w:rFonts w:ascii="Courier New" w:hAnsi="Courier New" w:cs="Courier New"/>
      <w:sz w:val="20"/>
      <w:szCs w:val="20"/>
    </w:rPr>
  </w:style>
  <w:style w:type="character" w:styleId="103">
    <w:name w:val="HTML Sample"/>
    <w:qFormat/>
    <w:uiPriority w:val="0"/>
    <w:rPr>
      <w:rFonts w:ascii="Courier New" w:hAnsi="Courier New" w:cs="Courier New"/>
    </w:rPr>
  </w:style>
  <w:style w:type="character" w:customStyle="1" w:styleId="104">
    <w:name w:val="标题 1 字符"/>
    <w:link w:val="3"/>
    <w:qFormat/>
    <w:uiPriority w:val="0"/>
    <w:rPr>
      <w:rFonts w:eastAsia="汉仪大宋简"/>
      <w:kern w:val="44"/>
      <w:sz w:val="22"/>
      <w:szCs w:val="22"/>
    </w:rPr>
  </w:style>
  <w:style w:type="character" w:customStyle="1" w:styleId="105">
    <w:name w:val="标题 2 字符"/>
    <w:link w:val="4"/>
    <w:qFormat/>
    <w:uiPriority w:val="0"/>
    <w:rPr>
      <w:rFonts w:eastAsia="黑体"/>
      <w:bCs/>
      <w:kern w:val="2"/>
      <w:sz w:val="21"/>
      <w:szCs w:val="21"/>
    </w:rPr>
  </w:style>
  <w:style w:type="character" w:customStyle="1" w:styleId="106">
    <w:name w:val="标题 3 字符"/>
    <w:link w:val="5"/>
    <w:qFormat/>
    <w:uiPriority w:val="0"/>
    <w:rPr>
      <w:rFonts w:eastAsia="黑体"/>
      <w:bCs/>
      <w:kern w:val="2"/>
      <w:sz w:val="28"/>
      <w:szCs w:val="28"/>
    </w:rPr>
  </w:style>
  <w:style w:type="character" w:customStyle="1" w:styleId="107">
    <w:name w:val="标题 4 字符"/>
    <w:link w:val="7"/>
    <w:qFormat/>
    <w:uiPriority w:val="0"/>
    <w:rPr>
      <w:rFonts w:ascii="Arial" w:hAnsi="Arial" w:eastAsia="黑体"/>
      <w:b/>
      <w:bCs/>
      <w:kern w:val="2"/>
      <w:sz w:val="28"/>
      <w:szCs w:val="28"/>
    </w:rPr>
  </w:style>
  <w:style w:type="character" w:customStyle="1" w:styleId="108">
    <w:name w:val="标题 5 字符"/>
    <w:link w:val="8"/>
    <w:qFormat/>
    <w:uiPriority w:val="0"/>
    <w:rPr>
      <w:rFonts w:eastAsia="黑体"/>
      <w:bCs/>
      <w:kern w:val="2"/>
      <w:sz w:val="21"/>
      <w:szCs w:val="28"/>
    </w:rPr>
  </w:style>
  <w:style w:type="character" w:customStyle="1" w:styleId="109">
    <w:name w:val="标题 6 字符"/>
    <w:link w:val="9"/>
    <w:qFormat/>
    <w:uiPriority w:val="0"/>
    <w:rPr>
      <w:rFonts w:ascii="Arial" w:hAnsi="Arial" w:eastAsia="黑体"/>
      <w:b/>
      <w:bCs/>
      <w:kern w:val="2"/>
      <w:sz w:val="24"/>
      <w:szCs w:val="24"/>
    </w:rPr>
  </w:style>
  <w:style w:type="character" w:customStyle="1" w:styleId="110">
    <w:name w:val="标题 7 字符"/>
    <w:link w:val="10"/>
    <w:qFormat/>
    <w:uiPriority w:val="0"/>
    <w:rPr>
      <w:b/>
      <w:bCs/>
      <w:kern w:val="2"/>
      <w:sz w:val="24"/>
      <w:szCs w:val="24"/>
    </w:rPr>
  </w:style>
  <w:style w:type="character" w:customStyle="1" w:styleId="111">
    <w:name w:val="标题 8 字符"/>
    <w:link w:val="11"/>
    <w:qFormat/>
    <w:uiPriority w:val="0"/>
    <w:rPr>
      <w:rFonts w:ascii="Arial" w:hAnsi="Arial" w:eastAsia="黑体"/>
      <w:kern w:val="2"/>
      <w:sz w:val="24"/>
      <w:szCs w:val="24"/>
    </w:rPr>
  </w:style>
  <w:style w:type="character" w:customStyle="1" w:styleId="112">
    <w:name w:val="标题 9 字符"/>
    <w:link w:val="12"/>
    <w:qFormat/>
    <w:uiPriority w:val="0"/>
    <w:rPr>
      <w:rFonts w:ascii="Arial" w:hAnsi="Arial" w:eastAsia="黑体"/>
      <w:kern w:val="2"/>
      <w:sz w:val="21"/>
      <w:szCs w:val="21"/>
    </w:rPr>
  </w:style>
  <w:style w:type="character" w:customStyle="1" w:styleId="113">
    <w:name w:val="注释标题 字符"/>
    <w:link w:val="16"/>
    <w:qFormat/>
    <w:uiPriority w:val="0"/>
    <w:rPr>
      <w:kern w:val="2"/>
      <w:sz w:val="21"/>
      <w:szCs w:val="24"/>
    </w:rPr>
  </w:style>
  <w:style w:type="character" w:customStyle="1" w:styleId="114">
    <w:name w:val="电子邮件签名 字符"/>
    <w:link w:val="19"/>
    <w:qFormat/>
    <w:uiPriority w:val="0"/>
    <w:rPr>
      <w:kern w:val="2"/>
      <w:sz w:val="21"/>
      <w:szCs w:val="24"/>
    </w:rPr>
  </w:style>
  <w:style w:type="character" w:customStyle="1" w:styleId="115">
    <w:name w:val="正文缩进 字符"/>
    <w:link w:val="21"/>
    <w:qFormat/>
    <w:uiPriority w:val="0"/>
    <w:rPr>
      <w:rFonts w:eastAsia="宋体"/>
      <w:kern w:val="2"/>
      <w:sz w:val="21"/>
      <w:szCs w:val="24"/>
      <w:lang w:val="en-US" w:eastAsia="zh-CN" w:bidi="ar-SA"/>
    </w:rPr>
  </w:style>
  <w:style w:type="character" w:customStyle="1" w:styleId="116">
    <w:name w:val="文档结构图 字符"/>
    <w:link w:val="26"/>
    <w:qFormat/>
    <w:uiPriority w:val="0"/>
    <w:rPr>
      <w:kern w:val="2"/>
      <w:sz w:val="21"/>
      <w:szCs w:val="24"/>
      <w:shd w:val="clear" w:color="auto" w:fill="000080"/>
    </w:rPr>
  </w:style>
  <w:style w:type="character" w:customStyle="1" w:styleId="117">
    <w:name w:val="批注文字 字符"/>
    <w:link w:val="27"/>
    <w:qFormat/>
    <w:uiPriority w:val="99"/>
    <w:rPr>
      <w:kern w:val="2"/>
      <w:sz w:val="21"/>
      <w:szCs w:val="24"/>
    </w:rPr>
  </w:style>
  <w:style w:type="character" w:customStyle="1" w:styleId="118">
    <w:name w:val="称呼 字符"/>
    <w:link w:val="29"/>
    <w:qFormat/>
    <w:uiPriority w:val="0"/>
    <w:rPr>
      <w:kern w:val="2"/>
      <w:sz w:val="21"/>
      <w:szCs w:val="24"/>
    </w:rPr>
  </w:style>
  <w:style w:type="character" w:customStyle="1" w:styleId="119">
    <w:name w:val="正文文本 3 字符"/>
    <w:link w:val="30"/>
    <w:qFormat/>
    <w:uiPriority w:val="0"/>
    <w:rPr>
      <w:kern w:val="2"/>
      <w:sz w:val="16"/>
      <w:szCs w:val="16"/>
    </w:rPr>
  </w:style>
  <w:style w:type="character" w:customStyle="1" w:styleId="120">
    <w:name w:val="结束语 字符"/>
    <w:link w:val="31"/>
    <w:qFormat/>
    <w:uiPriority w:val="0"/>
    <w:rPr>
      <w:kern w:val="2"/>
      <w:sz w:val="21"/>
      <w:szCs w:val="24"/>
    </w:rPr>
  </w:style>
  <w:style w:type="character" w:customStyle="1" w:styleId="121">
    <w:name w:val="正文文本 字符"/>
    <w:link w:val="2"/>
    <w:qFormat/>
    <w:uiPriority w:val="0"/>
    <w:rPr>
      <w:kern w:val="2"/>
      <w:sz w:val="21"/>
      <w:szCs w:val="24"/>
    </w:rPr>
  </w:style>
  <w:style w:type="character" w:customStyle="1" w:styleId="122">
    <w:name w:val="正文文本缩进 字符"/>
    <w:link w:val="33"/>
    <w:qFormat/>
    <w:uiPriority w:val="99"/>
    <w:rPr>
      <w:kern w:val="2"/>
      <w:sz w:val="21"/>
      <w:szCs w:val="24"/>
    </w:rPr>
  </w:style>
  <w:style w:type="character" w:customStyle="1" w:styleId="123">
    <w:name w:val="HTML 地址 字符"/>
    <w:link w:val="39"/>
    <w:qFormat/>
    <w:uiPriority w:val="0"/>
    <w:rPr>
      <w:i/>
      <w:iCs/>
      <w:kern w:val="2"/>
      <w:sz w:val="21"/>
      <w:szCs w:val="24"/>
    </w:rPr>
  </w:style>
  <w:style w:type="character" w:customStyle="1" w:styleId="124">
    <w:name w:val="纯文本 字符"/>
    <w:link w:val="43"/>
    <w:qFormat/>
    <w:uiPriority w:val="0"/>
    <w:rPr>
      <w:rFonts w:ascii="宋体" w:hAnsi="Courier New" w:eastAsia="宋体" w:cs="Courier New"/>
      <w:kern w:val="2"/>
      <w:sz w:val="21"/>
      <w:szCs w:val="21"/>
      <w:lang w:val="en-US" w:eastAsia="zh-CN" w:bidi="ar-SA"/>
    </w:rPr>
  </w:style>
  <w:style w:type="character" w:customStyle="1" w:styleId="125">
    <w:name w:val="日期 字符"/>
    <w:link w:val="48"/>
    <w:qFormat/>
    <w:uiPriority w:val="0"/>
    <w:rPr>
      <w:kern w:val="2"/>
      <w:sz w:val="21"/>
      <w:szCs w:val="24"/>
    </w:rPr>
  </w:style>
  <w:style w:type="character" w:customStyle="1" w:styleId="126">
    <w:name w:val="正文文本缩进 2 字符"/>
    <w:link w:val="49"/>
    <w:qFormat/>
    <w:uiPriority w:val="0"/>
    <w:rPr>
      <w:kern w:val="2"/>
      <w:sz w:val="21"/>
      <w:szCs w:val="24"/>
    </w:rPr>
  </w:style>
  <w:style w:type="character" w:customStyle="1" w:styleId="127">
    <w:name w:val="批注框文本 字符"/>
    <w:link w:val="51"/>
    <w:qFormat/>
    <w:uiPriority w:val="0"/>
    <w:rPr>
      <w:kern w:val="2"/>
      <w:sz w:val="18"/>
      <w:szCs w:val="18"/>
    </w:rPr>
  </w:style>
  <w:style w:type="character" w:customStyle="1" w:styleId="128">
    <w:name w:val="页脚 字符"/>
    <w:link w:val="52"/>
    <w:qFormat/>
    <w:uiPriority w:val="99"/>
    <w:rPr>
      <w:rFonts w:eastAsia="宋体"/>
      <w:kern w:val="2"/>
      <w:sz w:val="18"/>
      <w:szCs w:val="18"/>
      <w:lang w:val="en-US" w:eastAsia="zh-CN" w:bidi="ar-SA"/>
    </w:rPr>
  </w:style>
  <w:style w:type="character" w:customStyle="1" w:styleId="129">
    <w:name w:val="页眉 字符"/>
    <w:link w:val="54"/>
    <w:qFormat/>
    <w:uiPriority w:val="0"/>
    <w:rPr>
      <w:rFonts w:eastAsia="宋体"/>
      <w:kern w:val="2"/>
      <w:sz w:val="18"/>
      <w:szCs w:val="18"/>
      <w:lang w:val="en-US" w:eastAsia="zh-CN" w:bidi="ar-SA"/>
    </w:rPr>
  </w:style>
  <w:style w:type="character" w:customStyle="1" w:styleId="130">
    <w:name w:val="签名 字符"/>
    <w:link w:val="55"/>
    <w:qFormat/>
    <w:uiPriority w:val="0"/>
    <w:rPr>
      <w:kern w:val="2"/>
      <w:sz w:val="21"/>
      <w:szCs w:val="24"/>
    </w:rPr>
  </w:style>
  <w:style w:type="character" w:customStyle="1" w:styleId="131">
    <w:name w:val="副标题 字符"/>
    <w:link w:val="61"/>
    <w:qFormat/>
    <w:uiPriority w:val="0"/>
    <w:rPr>
      <w:rFonts w:ascii="Arial" w:hAnsi="Arial" w:cs="Arial"/>
      <w:b/>
      <w:bCs/>
      <w:kern w:val="28"/>
      <w:sz w:val="32"/>
      <w:szCs w:val="32"/>
    </w:rPr>
  </w:style>
  <w:style w:type="character" w:customStyle="1" w:styleId="132">
    <w:name w:val="正文文本缩进 3 字符"/>
    <w:link w:val="67"/>
    <w:qFormat/>
    <w:uiPriority w:val="0"/>
    <w:rPr>
      <w:kern w:val="2"/>
      <w:sz w:val="16"/>
      <w:szCs w:val="16"/>
    </w:rPr>
  </w:style>
  <w:style w:type="character" w:customStyle="1" w:styleId="133">
    <w:name w:val="正文文本 2 字符"/>
    <w:link w:val="73"/>
    <w:qFormat/>
    <w:uiPriority w:val="0"/>
    <w:rPr>
      <w:kern w:val="2"/>
      <w:sz w:val="21"/>
      <w:szCs w:val="24"/>
    </w:rPr>
  </w:style>
  <w:style w:type="character" w:customStyle="1" w:styleId="134">
    <w:name w:val="信息标题 字符"/>
    <w:link w:val="76"/>
    <w:qFormat/>
    <w:uiPriority w:val="0"/>
    <w:rPr>
      <w:rFonts w:ascii="Arial" w:hAnsi="Arial" w:cs="Arial"/>
      <w:kern w:val="2"/>
      <w:sz w:val="24"/>
      <w:szCs w:val="24"/>
      <w:shd w:val="pct20" w:color="auto" w:fill="auto"/>
    </w:rPr>
  </w:style>
  <w:style w:type="character" w:customStyle="1" w:styleId="135">
    <w:name w:val="HTML 预设格式 字符"/>
    <w:link w:val="77"/>
    <w:qFormat/>
    <w:uiPriority w:val="0"/>
    <w:rPr>
      <w:rFonts w:ascii="Courier New" w:hAnsi="Courier New" w:cs="Courier New"/>
      <w:kern w:val="2"/>
    </w:rPr>
  </w:style>
  <w:style w:type="character" w:customStyle="1" w:styleId="136">
    <w:name w:val="标题 字符"/>
    <w:link w:val="81"/>
    <w:qFormat/>
    <w:uiPriority w:val="0"/>
    <w:rPr>
      <w:rFonts w:ascii="Arial" w:hAnsi="Arial" w:cs="Arial"/>
      <w:b/>
      <w:bCs/>
      <w:kern w:val="2"/>
      <w:sz w:val="32"/>
      <w:szCs w:val="32"/>
    </w:rPr>
  </w:style>
  <w:style w:type="character" w:customStyle="1" w:styleId="137">
    <w:name w:val="批注主题 字符"/>
    <w:link w:val="82"/>
    <w:qFormat/>
    <w:uiPriority w:val="0"/>
    <w:rPr>
      <w:b/>
      <w:bCs/>
      <w:kern w:val="2"/>
      <w:sz w:val="21"/>
      <w:szCs w:val="24"/>
    </w:rPr>
  </w:style>
  <w:style w:type="character" w:customStyle="1" w:styleId="138">
    <w:name w:val="正文首行缩进 字符"/>
    <w:basedOn w:val="121"/>
    <w:link w:val="83"/>
    <w:qFormat/>
    <w:uiPriority w:val="0"/>
    <w:rPr>
      <w:kern w:val="2"/>
      <w:sz w:val="21"/>
      <w:szCs w:val="24"/>
    </w:rPr>
  </w:style>
  <w:style w:type="character" w:customStyle="1" w:styleId="139">
    <w:name w:val="正文首行缩进 2 字符"/>
    <w:link w:val="84"/>
    <w:qFormat/>
    <w:uiPriority w:val="0"/>
    <w:rPr>
      <w:kern w:val="2"/>
      <w:sz w:val="21"/>
      <w:szCs w:val="24"/>
    </w:rPr>
  </w:style>
  <w:style w:type="character" w:customStyle="1" w:styleId="140">
    <w:name w:val="正文格式 Char"/>
    <w:link w:val="141"/>
    <w:qFormat/>
    <w:uiPriority w:val="0"/>
    <w:rPr>
      <w:rFonts w:ascii="宋体" w:hAnsi="宋体" w:eastAsia="宋体"/>
      <w:bCs/>
      <w:kern w:val="2"/>
      <w:sz w:val="21"/>
      <w:szCs w:val="21"/>
      <w:lang w:val="en-US" w:eastAsia="zh-CN" w:bidi="ar-SA"/>
    </w:rPr>
  </w:style>
  <w:style w:type="paragraph" w:customStyle="1" w:styleId="141">
    <w:name w:val="正文格式"/>
    <w:basedOn w:val="1"/>
    <w:link w:val="140"/>
    <w:qFormat/>
    <w:uiPriority w:val="0"/>
    <w:pPr>
      <w:topLinePunct/>
      <w:ind w:firstLine="420" w:firstLineChars="200"/>
    </w:pPr>
    <w:rPr>
      <w:rFonts w:ascii="宋体" w:hAnsi="宋体"/>
      <w:bCs/>
      <w:szCs w:val="21"/>
    </w:rPr>
  </w:style>
  <w:style w:type="character" w:customStyle="1" w:styleId="142">
    <w:name w:val="jl 正文 Char Char Char"/>
    <w:link w:val="143"/>
    <w:qFormat/>
    <w:uiPriority w:val="0"/>
    <w:rPr>
      <w:rFonts w:ascii="宋体" w:eastAsia="宋体"/>
      <w:kern w:val="2"/>
      <w:sz w:val="24"/>
      <w:szCs w:val="24"/>
      <w:lang w:val="en-US" w:eastAsia="zh-CN" w:bidi="ar-SA"/>
    </w:rPr>
  </w:style>
  <w:style w:type="paragraph" w:customStyle="1" w:styleId="143">
    <w:name w:val="jl 正文 Char Char"/>
    <w:basedOn w:val="1"/>
    <w:link w:val="142"/>
    <w:qFormat/>
    <w:uiPriority w:val="0"/>
    <w:pPr>
      <w:autoSpaceDE w:val="0"/>
      <w:autoSpaceDN w:val="0"/>
      <w:adjustRightInd w:val="0"/>
      <w:ind w:firstLine="200" w:firstLineChars="200"/>
      <w:jc w:val="left"/>
      <w:textAlignment w:val="baseline"/>
    </w:pPr>
    <w:rPr>
      <w:rFonts w:ascii="宋体"/>
      <w:sz w:val="24"/>
    </w:rPr>
  </w:style>
  <w:style w:type="character" w:customStyle="1" w:styleId="144">
    <w:name w:val="jl 三级 Char Char"/>
    <w:link w:val="145"/>
    <w:qFormat/>
    <w:uiPriority w:val="0"/>
    <w:rPr>
      <w:rFonts w:ascii="宋体" w:hAnsi="宋体" w:eastAsia="宋体"/>
      <w:b/>
      <w:color w:val="000000"/>
      <w:kern w:val="2"/>
      <w:sz w:val="24"/>
      <w:szCs w:val="24"/>
      <w:lang w:val="en-US" w:eastAsia="zh-CN" w:bidi="ar-SA"/>
    </w:rPr>
  </w:style>
  <w:style w:type="paragraph" w:customStyle="1" w:styleId="145">
    <w:name w:val="jl 三级 Char"/>
    <w:basedOn w:val="1"/>
    <w:link w:val="144"/>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46">
    <w:name w:val="Char Char2"/>
    <w:qFormat/>
    <w:uiPriority w:val="0"/>
    <w:rPr>
      <w:rFonts w:eastAsia="汉仪大宋简"/>
      <w:kern w:val="44"/>
      <w:sz w:val="22"/>
      <w:szCs w:val="22"/>
      <w:lang w:val="en-US" w:eastAsia="zh-CN" w:bidi="ar-SA"/>
    </w:rPr>
  </w:style>
  <w:style w:type="character" w:customStyle="1" w:styleId="147">
    <w:name w:val="Char Char16"/>
    <w:qFormat/>
    <w:uiPriority w:val="0"/>
    <w:rPr>
      <w:rFonts w:ascii="Arial" w:hAnsi="Arial" w:eastAsia="黑体"/>
      <w:b/>
      <w:bCs/>
      <w:kern w:val="2"/>
      <w:sz w:val="32"/>
      <w:szCs w:val="32"/>
      <w:lang w:val="en-US" w:eastAsia="zh-CN" w:bidi="ar-SA"/>
    </w:rPr>
  </w:style>
  <w:style w:type="character" w:customStyle="1" w:styleId="148">
    <w:name w:val="标题 1 Char Char"/>
    <w:qFormat/>
    <w:uiPriority w:val="0"/>
    <w:rPr>
      <w:rFonts w:ascii="宋体" w:eastAsia="宋体"/>
      <w:b/>
      <w:bCs/>
      <w:kern w:val="44"/>
      <w:sz w:val="21"/>
      <w:szCs w:val="21"/>
      <w:lang w:val="en-US" w:eastAsia="zh-CN" w:bidi="ar-SA"/>
    </w:rPr>
  </w:style>
  <w:style w:type="character" w:customStyle="1" w:styleId="149">
    <w:name w:val="articlebody21"/>
    <w:qFormat/>
    <w:uiPriority w:val="0"/>
    <w:rPr>
      <w:rFonts w:hint="default"/>
      <w:sz w:val="21"/>
    </w:rPr>
  </w:style>
  <w:style w:type="character" w:customStyle="1" w:styleId="150">
    <w:name w:val="样式 Arial"/>
    <w:qFormat/>
    <w:uiPriority w:val="0"/>
    <w:rPr>
      <w:rFonts w:hint="default" w:ascii="Times New Roman" w:hAnsi="Times New Roman" w:eastAsia="宋体" w:cs="Times New Roman"/>
      <w:sz w:val="21"/>
      <w:szCs w:val="21"/>
    </w:rPr>
  </w:style>
  <w:style w:type="character" w:customStyle="1" w:styleId="151">
    <w:name w:val="首行缩进 Char"/>
    <w:link w:val="152"/>
    <w:qFormat/>
    <w:uiPriority w:val="0"/>
    <w:rPr>
      <w:rFonts w:eastAsia="方正书宋简体" w:cs="宋体"/>
      <w:kern w:val="2"/>
      <w:sz w:val="21"/>
      <w:lang w:val="en-US" w:eastAsia="zh-CN" w:bidi="ar-SA"/>
    </w:rPr>
  </w:style>
  <w:style w:type="paragraph" w:customStyle="1" w:styleId="152">
    <w:name w:val="首行缩进"/>
    <w:basedOn w:val="1"/>
    <w:link w:val="151"/>
    <w:qFormat/>
    <w:uiPriority w:val="0"/>
    <w:pPr>
      <w:spacing w:line="300" w:lineRule="auto"/>
      <w:ind w:firstLine="420" w:firstLineChars="200"/>
    </w:pPr>
    <w:rPr>
      <w:rFonts w:eastAsia="方正书宋简体" w:cs="宋体"/>
      <w:szCs w:val="20"/>
    </w:rPr>
  </w:style>
  <w:style w:type="character" w:customStyle="1" w:styleId="153">
    <w:name w:val="表头 Char"/>
    <w:link w:val="154"/>
    <w:qFormat/>
    <w:uiPriority w:val="0"/>
    <w:rPr>
      <w:rFonts w:eastAsia="黑体"/>
      <w:kern w:val="2"/>
      <w:sz w:val="21"/>
      <w:szCs w:val="21"/>
      <w:lang w:val="en-US" w:eastAsia="zh-CN" w:bidi="ar-SA"/>
    </w:rPr>
  </w:style>
  <w:style w:type="paragraph" w:customStyle="1" w:styleId="154">
    <w:name w:val="表头"/>
    <w:basedOn w:val="1"/>
    <w:link w:val="153"/>
    <w:qFormat/>
    <w:uiPriority w:val="0"/>
    <w:pPr>
      <w:topLinePunct/>
      <w:spacing w:before="160" w:after="60"/>
      <w:jc w:val="center"/>
    </w:pPr>
    <w:rPr>
      <w:rFonts w:eastAsia="黑体"/>
      <w:szCs w:val="21"/>
    </w:rPr>
  </w:style>
  <w:style w:type="character" w:customStyle="1" w:styleId="155">
    <w:name w:val="Char Char4"/>
    <w:qFormat/>
    <w:uiPriority w:val="0"/>
    <w:rPr>
      <w:rFonts w:eastAsia="汉仪大宋简"/>
      <w:kern w:val="44"/>
      <w:sz w:val="22"/>
      <w:szCs w:val="22"/>
      <w:lang w:val="en-US" w:eastAsia="zh-CN" w:bidi="ar-SA"/>
    </w:rPr>
  </w:style>
  <w:style w:type="character" w:customStyle="1" w:styleId="156">
    <w:name w:val="样式6 Char"/>
    <w:link w:val="157"/>
    <w:qFormat/>
    <w:uiPriority w:val="0"/>
    <w:rPr>
      <w:kern w:val="2"/>
      <w:sz w:val="21"/>
      <w:szCs w:val="24"/>
    </w:rPr>
  </w:style>
  <w:style w:type="paragraph" w:customStyle="1" w:styleId="157">
    <w:name w:val="样式6"/>
    <w:basedOn w:val="1"/>
    <w:link w:val="156"/>
    <w:qFormat/>
    <w:uiPriority w:val="0"/>
    <w:pPr>
      <w:tabs>
        <w:tab w:val="left" w:pos="1571"/>
      </w:tabs>
      <w:ind w:left="1418" w:hanging="567"/>
    </w:pPr>
  </w:style>
  <w:style w:type="character" w:customStyle="1" w:styleId="158">
    <w:name w:val="节标题 1.1 Char"/>
    <w:qFormat/>
    <w:uiPriority w:val="0"/>
    <w:rPr>
      <w:rFonts w:eastAsia="黑体"/>
      <w:bCs/>
      <w:kern w:val="2"/>
      <w:sz w:val="21"/>
      <w:szCs w:val="21"/>
      <w:lang w:val="en-US" w:eastAsia="zh-CN" w:bidi="ar-SA"/>
    </w:rPr>
  </w:style>
  <w:style w:type="character" w:customStyle="1" w:styleId="159">
    <w:name w:val="一级条标题 Char"/>
    <w:link w:val="160"/>
    <w:qFormat/>
    <w:uiPriority w:val="0"/>
    <w:rPr>
      <w:rFonts w:ascii="黑体" w:eastAsia="黑体"/>
      <w:b/>
      <w:sz w:val="21"/>
    </w:rPr>
  </w:style>
  <w:style w:type="paragraph" w:customStyle="1" w:styleId="160">
    <w:name w:val="一级条标题"/>
    <w:basedOn w:val="161"/>
    <w:next w:val="162"/>
    <w:link w:val="159"/>
    <w:qFormat/>
    <w:uiPriority w:val="0"/>
    <w:pPr>
      <w:tabs>
        <w:tab w:val="left" w:pos="420"/>
        <w:tab w:val="left" w:pos="525"/>
        <w:tab w:val="left" w:pos="780"/>
        <w:tab w:val="left" w:pos="1260"/>
      </w:tabs>
      <w:spacing w:beforeLines="0" w:afterLines="0"/>
      <w:ind w:left="1260" w:hanging="420"/>
      <w:outlineLvl w:val="2"/>
    </w:pPr>
  </w:style>
  <w:style w:type="paragraph" w:customStyle="1" w:styleId="161">
    <w:name w:val="章标题"/>
    <w:next w:val="162"/>
    <w:qFormat/>
    <w:uiPriority w:val="0"/>
    <w:pPr>
      <w:tabs>
        <w:tab w:val="left" w:pos="420"/>
        <w:tab w:val="left" w:pos="78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6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63">
    <w:name w:val="样式 标题 3 + 宋体 Char"/>
    <w:link w:val="164"/>
    <w:qFormat/>
    <w:uiPriority w:val="0"/>
    <w:rPr>
      <w:rFonts w:ascii="宋体" w:hAnsi="宋体" w:eastAsia="宋体"/>
      <w:kern w:val="2"/>
      <w:sz w:val="21"/>
      <w:szCs w:val="21"/>
      <w:lang w:val="en-US" w:eastAsia="zh-CN" w:bidi="ar-SA"/>
    </w:rPr>
  </w:style>
  <w:style w:type="paragraph" w:customStyle="1" w:styleId="164">
    <w:name w:val="样式 标题 3 + 宋体"/>
    <w:basedOn w:val="5"/>
    <w:link w:val="163"/>
    <w:qFormat/>
    <w:uiPriority w:val="0"/>
    <w:pPr>
      <w:keepNext w:val="0"/>
      <w:keepLines w:val="0"/>
      <w:tabs>
        <w:tab w:val="left" w:pos="1560"/>
        <w:tab w:val="clear" w:pos="2126"/>
      </w:tabs>
      <w:spacing w:line="360" w:lineRule="auto"/>
      <w:ind w:left="360"/>
      <w:jc w:val="both"/>
    </w:pPr>
    <w:rPr>
      <w:rFonts w:ascii="宋体" w:hAnsi="宋体" w:eastAsia="宋体"/>
      <w:bCs w:val="0"/>
      <w:sz w:val="21"/>
      <w:szCs w:val="21"/>
    </w:rPr>
  </w:style>
  <w:style w:type="character" w:customStyle="1" w:styleId="165">
    <w:name w:val="图中文字"/>
    <w:qFormat/>
    <w:uiPriority w:val="0"/>
    <w:rPr>
      <w:rFonts w:ascii="Times New Roman" w:eastAsia="宋体"/>
      <w:sz w:val="15"/>
    </w:rPr>
  </w:style>
  <w:style w:type="character" w:customStyle="1" w:styleId="166">
    <w:name w:val="正文 Char"/>
    <w:qFormat/>
    <w:uiPriority w:val="0"/>
    <w:rPr>
      <w:rFonts w:eastAsia="宋体" w:cs="宋体"/>
      <w:kern w:val="2"/>
      <w:sz w:val="21"/>
      <w:lang w:val="en-US" w:eastAsia="zh-CN" w:bidi="ar-SA"/>
    </w:rPr>
  </w:style>
  <w:style w:type="character" w:customStyle="1" w:styleId="167">
    <w:name w:val="二级条标题 Char"/>
    <w:link w:val="168"/>
    <w:qFormat/>
    <w:uiPriority w:val="0"/>
    <w:rPr>
      <w:rFonts w:ascii="黑体" w:eastAsia="黑体"/>
      <w:b/>
      <w:sz w:val="21"/>
      <w:lang w:val="en-US" w:eastAsia="zh-CN" w:bidi="ar-SA"/>
    </w:rPr>
  </w:style>
  <w:style w:type="paragraph" w:customStyle="1" w:styleId="168">
    <w:name w:val="二级条标题"/>
    <w:basedOn w:val="1"/>
    <w:next w:val="1"/>
    <w:link w:val="167"/>
    <w:qFormat/>
    <w:uiPriority w:val="0"/>
    <w:pPr>
      <w:widowControl/>
      <w:outlineLvl w:val="3"/>
    </w:pPr>
    <w:rPr>
      <w:rFonts w:ascii="黑体" w:eastAsia="黑体"/>
      <w:b/>
      <w:kern w:val="0"/>
      <w:szCs w:val="20"/>
    </w:rPr>
  </w:style>
  <w:style w:type="character" w:customStyle="1" w:styleId="169">
    <w:name w:val="表内居中小五 Char"/>
    <w:link w:val="170"/>
    <w:qFormat/>
    <w:uiPriority w:val="0"/>
    <w:rPr>
      <w:rFonts w:eastAsia="宋体" w:cs="宋体"/>
      <w:kern w:val="2"/>
      <w:sz w:val="18"/>
      <w:szCs w:val="18"/>
      <w:lang w:val="en-US" w:eastAsia="zh-CN" w:bidi="ar-SA"/>
    </w:rPr>
  </w:style>
  <w:style w:type="paragraph" w:customStyle="1" w:styleId="170">
    <w:name w:val="表内居中小五"/>
    <w:basedOn w:val="1"/>
    <w:link w:val="169"/>
    <w:qFormat/>
    <w:uiPriority w:val="0"/>
    <w:pPr>
      <w:jc w:val="center"/>
    </w:pPr>
    <w:rPr>
      <w:rFonts w:cs="宋体"/>
      <w:sz w:val="18"/>
      <w:szCs w:val="18"/>
    </w:rPr>
  </w:style>
  <w:style w:type="character" w:customStyle="1" w:styleId="171">
    <w:name w:val="表内居两端对齐 Char"/>
    <w:link w:val="172"/>
    <w:qFormat/>
    <w:uiPriority w:val="0"/>
    <w:rPr>
      <w:rFonts w:eastAsia="宋体" w:cs="宋体"/>
      <w:kern w:val="2"/>
      <w:sz w:val="18"/>
      <w:szCs w:val="18"/>
      <w:lang w:val="en-US" w:eastAsia="zh-CN" w:bidi="ar-SA"/>
    </w:rPr>
  </w:style>
  <w:style w:type="paragraph" w:customStyle="1" w:styleId="172">
    <w:name w:val="表内居两端对齐"/>
    <w:basedOn w:val="170"/>
    <w:link w:val="171"/>
    <w:qFormat/>
    <w:uiPriority w:val="0"/>
    <w:pPr>
      <w:jc w:val="both"/>
    </w:pPr>
  </w:style>
  <w:style w:type="character" w:customStyle="1" w:styleId="173">
    <w:name w:val="样式 标题 4 + (符号) 宋体 Char"/>
    <w:link w:val="174"/>
    <w:qFormat/>
    <w:uiPriority w:val="0"/>
    <w:rPr>
      <w:rFonts w:ascii="宋体" w:hAnsi="Arial" w:eastAsia="黑体"/>
      <w:b/>
      <w:bCs/>
      <w:kern w:val="2"/>
      <w:sz w:val="21"/>
      <w:szCs w:val="21"/>
    </w:rPr>
  </w:style>
  <w:style w:type="paragraph" w:customStyle="1" w:styleId="174">
    <w:name w:val="样式 标题 4 + (符号) 宋体"/>
    <w:basedOn w:val="7"/>
    <w:link w:val="173"/>
    <w:qFormat/>
    <w:uiPriority w:val="0"/>
    <w:pPr>
      <w:keepNext w:val="0"/>
      <w:keepLines w:val="0"/>
      <w:adjustRightInd w:val="0"/>
      <w:snapToGrid w:val="0"/>
      <w:spacing w:before="0" w:after="0" w:line="360" w:lineRule="auto"/>
    </w:pPr>
    <w:rPr>
      <w:rFonts w:ascii="宋体"/>
      <w:sz w:val="21"/>
      <w:szCs w:val="21"/>
    </w:rPr>
  </w:style>
  <w:style w:type="paragraph" w:customStyle="1" w:styleId="175">
    <w:name w:val="样式 Arial 首行缩进:  2 字符"/>
    <w:basedOn w:val="1"/>
    <w:qFormat/>
    <w:uiPriority w:val="0"/>
    <w:pPr>
      <w:ind w:firstLine="403" w:firstLineChars="200"/>
    </w:pPr>
    <w:rPr>
      <w:rFonts w:cs="华文新魏"/>
      <w:szCs w:val="21"/>
    </w:rPr>
  </w:style>
  <w:style w:type="paragraph" w:customStyle="1" w:styleId="176">
    <w:name w:val="一级无标题条"/>
    <w:basedOn w:val="1"/>
    <w:qFormat/>
    <w:uiPriority w:val="0"/>
  </w:style>
  <w:style w:type="paragraph" w:customStyle="1" w:styleId="177">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7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79">
    <w:name w:val="样式 首行缩进:  0 厘米 行距: 单倍行距"/>
    <w:basedOn w:val="1"/>
    <w:qFormat/>
    <w:uiPriority w:val="0"/>
    <w:pPr>
      <w:adjustRightInd w:val="0"/>
      <w:textAlignment w:val="baseline"/>
    </w:pPr>
    <w:rPr>
      <w:kern w:val="0"/>
      <w:szCs w:val="20"/>
    </w:rPr>
  </w:style>
  <w:style w:type="paragraph" w:customStyle="1" w:styleId="180">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81">
    <w:name w:val="标准书眉一"/>
    <w:qFormat/>
    <w:uiPriority w:val="0"/>
    <w:pPr>
      <w:jc w:val="both"/>
    </w:pPr>
    <w:rPr>
      <w:rFonts w:ascii="Times New Roman" w:hAnsi="Times New Roman" w:eastAsia="宋体" w:cs="Times New Roman"/>
      <w:lang w:val="en-US" w:eastAsia="zh-CN" w:bidi="ar-SA"/>
    </w:rPr>
  </w:style>
  <w:style w:type="paragraph" w:customStyle="1" w:styleId="182">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18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84">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5">
    <w:name w:val="Char Char Char1"/>
    <w:basedOn w:val="1"/>
    <w:qFormat/>
    <w:uiPriority w:val="0"/>
  </w:style>
  <w:style w:type="paragraph" w:customStyle="1" w:styleId="186">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7">
    <w:name w:val="Char3"/>
    <w:basedOn w:val="1"/>
    <w:qFormat/>
    <w:uiPriority w:val="0"/>
    <w:rPr>
      <w:szCs w:val="20"/>
    </w:rPr>
  </w:style>
  <w:style w:type="paragraph" w:customStyle="1" w:styleId="188">
    <w:name w:val="样式1"/>
    <w:basedOn w:val="1"/>
    <w:qFormat/>
    <w:uiPriority w:val="0"/>
    <w:pPr>
      <w:keepNext/>
      <w:keepLines/>
      <w:topLinePunct/>
      <w:spacing w:line="1200" w:lineRule="auto"/>
      <w:jc w:val="center"/>
      <w:outlineLvl w:val="0"/>
    </w:pPr>
    <w:rPr>
      <w:rFonts w:cs="宋体"/>
      <w:b/>
      <w:kern w:val="44"/>
      <w:sz w:val="52"/>
      <w:szCs w:val="52"/>
    </w:rPr>
  </w:style>
  <w:style w:type="paragraph" w:customStyle="1" w:styleId="189">
    <w:name w:val="样式 标题 3 + 宋体 段前: 7.8 磅"/>
    <w:basedOn w:val="5"/>
    <w:qFormat/>
    <w:uiPriority w:val="0"/>
    <w:pPr>
      <w:keepNext w:val="0"/>
      <w:keepLines w:val="0"/>
      <w:tabs>
        <w:tab w:val="left" w:pos="1560"/>
        <w:tab w:val="left" w:pos="1740"/>
        <w:tab w:val="clear" w:pos="2126"/>
      </w:tabs>
      <w:spacing w:before="156" w:line="360" w:lineRule="auto"/>
      <w:ind w:left="1740" w:hanging="420"/>
      <w:jc w:val="both"/>
    </w:pPr>
    <w:rPr>
      <w:rFonts w:ascii="宋体" w:hAnsi="宋体" w:eastAsia="宋体" w:cs="宋体"/>
      <w:bCs w:val="0"/>
      <w:sz w:val="21"/>
      <w:szCs w:val="20"/>
    </w:rPr>
  </w:style>
  <w:style w:type="paragraph" w:customStyle="1" w:styleId="190">
    <w:name w:val="样式7"/>
    <w:basedOn w:val="1"/>
    <w:qFormat/>
    <w:uiPriority w:val="0"/>
    <w:pPr>
      <w:tabs>
        <w:tab w:val="left" w:pos="840"/>
      </w:tabs>
      <w:ind w:left="840" w:hanging="420"/>
    </w:pPr>
  </w:style>
  <w:style w:type="paragraph" w:customStyle="1" w:styleId="191">
    <w:name w:val="目次、标准名称标题"/>
    <w:basedOn w:val="1"/>
    <w:next w:val="162"/>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szCs w:val="20"/>
    </w:rPr>
  </w:style>
  <w:style w:type="paragraph" w:customStyle="1" w:styleId="19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19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94">
    <w:name w:val="三级无标题条"/>
    <w:basedOn w:val="1"/>
    <w:qFormat/>
    <w:uiPriority w:val="0"/>
  </w:style>
  <w:style w:type="paragraph" w:customStyle="1" w:styleId="195">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96">
    <w:name w:val="四级条标题"/>
    <w:basedOn w:val="197"/>
    <w:next w:val="162"/>
    <w:qFormat/>
    <w:uiPriority w:val="0"/>
    <w:pPr>
      <w:tabs>
        <w:tab w:val="left" w:pos="945"/>
        <w:tab w:val="left" w:pos="1021"/>
        <w:tab w:val="left" w:pos="1080"/>
        <w:tab w:val="left" w:pos="1155"/>
      </w:tabs>
      <w:outlineLvl w:val="5"/>
    </w:pPr>
  </w:style>
  <w:style w:type="paragraph" w:customStyle="1" w:styleId="197">
    <w:name w:val="三级条标题"/>
    <w:basedOn w:val="168"/>
    <w:next w:val="162"/>
    <w:qFormat/>
    <w:uiPriority w:val="0"/>
    <w:pPr>
      <w:tabs>
        <w:tab w:val="left" w:pos="945"/>
        <w:tab w:val="left" w:pos="1080"/>
      </w:tabs>
      <w:outlineLvl w:val="4"/>
    </w:pPr>
  </w:style>
  <w:style w:type="paragraph" w:customStyle="1" w:styleId="19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9">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0">
    <w:name w:val="样式 首行缩进:  0 厘米 行距: 单倍行距 Char"/>
    <w:basedOn w:val="1"/>
    <w:qFormat/>
    <w:uiPriority w:val="0"/>
    <w:pPr>
      <w:adjustRightInd w:val="0"/>
      <w:textAlignment w:val="baseline"/>
    </w:pPr>
    <w:rPr>
      <w:kern w:val="0"/>
      <w:szCs w:val="21"/>
    </w:rPr>
  </w:style>
  <w:style w:type="paragraph" w:customStyle="1" w:styleId="201">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5">
    <w:name w:val="无标题条"/>
    <w:next w:val="162"/>
    <w:qFormat/>
    <w:uiPriority w:val="0"/>
    <w:pPr>
      <w:jc w:val="both"/>
    </w:pPr>
    <w:rPr>
      <w:rFonts w:ascii="Times New Roman" w:hAnsi="Times New Roman" w:eastAsia="宋体" w:cs="Times New Roman"/>
      <w:sz w:val="21"/>
      <w:lang w:val="en-US" w:eastAsia="zh-CN" w:bidi="ar-SA"/>
    </w:rPr>
  </w:style>
  <w:style w:type="paragraph" w:customStyle="1" w:styleId="206">
    <w:name w:val="五级条标题"/>
    <w:basedOn w:val="196"/>
    <w:next w:val="162"/>
    <w:qFormat/>
    <w:uiPriority w:val="0"/>
    <w:pPr>
      <w:tabs>
        <w:tab w:val="left" w:pos="1407"/>
        <w:tab w:val="left" w:pos="1440"/>
        <w:tab w:val="clear" w:pos="1021"/>
        <w:tab w:val="clear" w:pos="1155"/>
      </w:tabs>
      <w:outlineLvl w:val="6"/>
    </w:pPr>
  </w:style>
  <w:style w:type="paragraph" w:customStyle="1" w:styleId="207">
    <w:name w:val="样式4"/>
    <w:basedOn w:val="7"/>
    <w:qFormat/>
    <w:uiPriority w:val="0"/>
    <w:pPr>
      <w:topLinePunct/>
      <w:spacing w:before="0" w:after="0" w:line="480" w:lineRule="auto"/>
      <w:ind w:firstLine="420"/>
    </w:pPr>
    <w:rPr>
      <w:rFonts w:ascii="Times New Roman" w:hAnsi="Times New Roman" w:eastAsia="楷体_GB2312"/>
      <w:b w:val="0"/>
      <w:bCs w:val="0"/>
      <w:sz w:val="24"/>
      <w:szCs w:val="20"/>
    </w:rPr>
  </w:style>
  <w:style w:type="paragraph" w:customStyle="1" w:styleId="20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0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0">
    <w:name w:val="p15"/>
    <w:basedOn w:val="1"/>
    <w:qFormat/>
    <w:uiPriority w:val="0"/>
    <w:pPr>
      <w:widowControl/>
      <w:jc w:val="left"/>
    </w:pPr>
    <w:rPr>
      <w:kern w:val="0"/>
      <w:szCs w:val="21"/>
    </w:rPr>
  </w:style>
  <w:style w:type="paragraph" w:customStyle="1" w:styleId="211">
    <w:name w:val="默认段落字体 Para Char Char Char Char Char"/>
    <w:basedOn w:val="1"/>
    <w:qFormat/>
    <w:uiPriority w:val="0"/>
    <w:rPr>
      <w:rFonts w:ascii="宋体" w:hAnsi="宋体"/>
      <w:b/>
      <w:color w:val="000000"/>
      <w:sz w:val="24"/>
    </w:rPr>
  </w:style>
  <w:style w:type="paragraph" w:customStyle="1" w:styleId="212">
    <w:name w:val="标题 3 + 小四 段前: 0 磅 段后: 0 磅 行距: 1.5 倍行距"/>
    <w:basedOn w:val="5"/>
    <w:next w:val="5"/>
    <w:qFormat/>
    <w:uiPriority w:val="0"/>
    <w:pPr>
      <w:spacing w:line="360" w:lineRule="auto"/>
    </w:pPr>
    <w:rPr>
      <w:rFonts w:cs="宋体"/>
      <w:sz w:val="24"/>
      <w:szCs w:val="20"/>
    </w:rPr>
  </w:style>
  <w:style w:type="paragraph" w:customStyle="1" w:styleId="213">
    <w:name w:val="Char"/>
    <w:basedOn w:val="1"/>
    <w:qFormat/>
    <w:uiPriority w:val="0"/>
  </w:style>
  <w:style w:type="paragraph" w:customStyle="1" w:styleId="214">
    <w:name w:val="样式 标题 1 + 首行缩进:  2 字符 段前: 1 行 段后: 1 行"/>
    <w:basedOn w:val="3"/>
    <w:qFormat/>
    <w:uiPriority w:val="0"/>
    <w:pPr>
      <w:topLinePunct w:val="0"/>
      <w:spacing w:beforeLines="100" w:afterLines="100" w:line="360" w:lineRule="auto"/>
      <w:textAlignment w:val="auto"/>
    </w:pPr>
    <w:rPr>
      <w:rFonts w:eastAsia="宋体"/>
      <w:b/>
      <w:sz w:val="28"/>
      <w:szCs w:val="20"/>
    </w:rPr>
  </w:style>
  <w:style w:type="paragraph" w:customStyle="1" w:styleId="215">
    <w:name w:val="Char Char Char Char Char Char Char Char Char Char Char Char Char"/>
    <w:basedOn w:val="1"/>
    <w:qFormat/>
    <w:uiPriority w:val="0"/>
    <w:pPr>
      <w:spacing w:line="360" w:lineRule="auto"/>
      <w:ind w:firstLine="200" w:firstLineChars="200"/>
    </w:pPr>
    <w:rPr>
      <w:rFonts w:ascii="宋体" w:hAnsi="宋体" w:cs="宋体"/>
      <w:sz w:val="24"/>
    </w:rPr>
  </w:style>
  <w:style w:type="paragraph" w:customStyle="1" w:styleId="216">
    <w:name w:val="样式 标题 5 + 右侧:  1 字符"/>
    <w:basedOn w:val="8"/>
    <w:qFormat/>
    <w:uiPriority w:val="0"/>
    <w:pPr>
      <w:adjustRightInd w:val="0"/>
      <w:ind w:right="210" w:rightChars="100"/>
      <w:textAlignment w:val="baseline"/>
    </w:pPr>
    <w:rPr>
      <w:rFonts w:eastAsia="宋体" w:cs="宋体"/>
      <w:bCs w:val="0"/>
      <w:kern w:val="0"/>
      <w:szCs w:val="20"/>
    </w:rPr>
  </w:style>
  <w:style w:type="paragraph" w:customStyle="1" w:styleId="21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1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9">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21">
    <w:name w:val="图形标题"/>
    <w:basedOn w:val="22"/>
    <w:qFormat/>
    <w:uiPriority w:val="0"/>
    <w:pPr>
      <w:spacing w:before="0" w:after="0"/>
      <w:jc w:val="center"/>
    </w:pPr>
    <w:rPr>
      <w:rFonts w:ascii="宋体" w:hAnsi="Plotter" w:eastAsia="宋体"/>
      <w:sz w:val="21"/>
    </w:rPr>
  </w:style>
  <w:style w:type="paragraph" w:customStyle="1" w:styleId="222">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23">
    <w:name w:val="实施日期"/>
    <w:basedOn w:val="1"/>
    <w:qFormat/>
    <w:uiPriority w:val="0"/>
    <w:pPr>
      <w:widowControl/>
      <w:jc w:val="right"/>
    </w:pPr>
    <w:rPr>
      <w:rFonts w:eastAsia="黑体"/>
      <w:kern w:val="0"/>
      <w:sz w:val="28"/>
      <w:szCs w:val="20"/>
    </w:rPr>
  </w:style>
  <w:style w:type="paragraph" w:customStyle="1" w:styleId="224">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25">
    <w:name w:val="附录"/>
    <w:basedOn w:val="3"/>
    <w:qFormat/>
    <w:uiPriority w:val="0"/>
    <w:pPr>
      <w:spacing w:line="960" w:lineRule="auto"/>
      <w:ind w:firstLine="420"/>
      <w:jc w:val="center"/>
    </w:pPr>
    <w:rPr>
      <w:rFonts w:eastAsia="黑体"/>
      <w:kern w:val="2"/>
      <w:sz w:val="28"/>
      <w:szCs w:val="28"/>
    </w:rPr>
  </w:style>
  <w:style w:type="paragraph" w:customStyle="1" w:styleId="226">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2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29">
    <w:name w:val="样式3"/>
    <w:basedOn w:val="5"/>
    <w:qFormat/>
    <w:uiPriority w:val="0"/>
    <w:pPr>
      <w:tabs>
        <w:tab w:val="left" w:pos="709"/>
        <w:tab w:val="clear" w:pos="2126"/>
      </w:tabs>
      <w:topLinePunct/>
      <w:spacing w:line="720" w:lineRule="auto"/>
      <w:jc w:val="left"/>
    </w:pPr>
    <w:rPr>
      <w:rFonts w:ascii="Arial" w:hAnsi="Arial"/>
      <w:b/>
      <w:bCs w:val="0"/>
      <w:sz w:val="30"/>
      <w:szCs w:val="30"/>
    </w:rPr>
  </w:style>
  <w:style w:type="paragraph" w:customStyle="1" w:styleId="23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31">
    <w:name w:val="图说"/>
    <w:basedOn w:val="1"/>
    <w:qFormat/>
    <w:uiPriority w:val="0"/>
    <w:pPr>
      <w:topLinePunct/>
      <w:spacing w:before="40" w:after="160"/>
      <w:jc w:val="center"/>
    </w:pPr>
    <w:rPr>
      <w:rFonts w:cs="宋体"/>
      <w:sz w:val="18"/>
      <w:szCs w:val="20"/>
    </w:r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34">
    <w:name w:val="样式 标题 2 + 黑体 段前: 10.25 磅 段后: 10.25 磅 行距: 单倍行距"/>
    <w:basedOn w:val="4"/>
    <w:qFormat/>
    <w:uiPriority w:val="0"/>
    <w:pPr>
      <w:topLinePunct w:val="0"/>
      <w:adjustRightInd w:val="0"/>
      <w:spacing w:beforeLines="50" w:afterLines="50"/>
      <w:jc w:val="left"/>
      <w:textAlignment w:val="baseline"/>
    </w:pPr>
    <w:rPr>
      <w:rFonts w:ascii="黑体" w:hAnsi="黑体"/>
      <w:b/>
      <w:bCs w:val="0"/>
      <w:kern w:val="0"/>
      <w:sz w:val="24"/>
      <w:szCs w:val="20"/>
    </w:rPr>
  </w:style>
  <w:style w:type="paragraph" w:customStyle="1" w:styleId="23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36">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37">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38">
    <w:name w:val="正文1"/>
    <w:basedOn w:val="1"/>
    <w:qFormat/>
    <w:uiPriority w:val="0"/>
    <w:pPr>
      <w:adjustRightInd w:val="0"/>
      <w:spacing w:line="360" w:lineRule="auto"/>
      <w:ind w:firstLine="200" w:firstLineChars="200"/>
      <w:jc w:val="left"/>
      <w:textAlignment w:val="baseline"/>
    </w:pPr>
    <w:rPr>
      <w:rFonts w:ascii="宋体"/>
      <w:kern w:val="0"/>
      <w:sz w:val="24"/>
      <w:szCs w:val="20"/>
    </w:rPr>
  </w:style>
  <w:style w:type="paragraph" w:customStyle="1" w:styleId="239">
    <w:name w:val="附录三级条标题"/>
    <w:basedOn w:val="240"/>
    <w:next w:val="162"/>
    <w:qFormat/>
    <w:uiPriority w:val="0"/>
    <w:pPr>
      <w:tabs>
        <w:tab w:val="left" w:pos="360"/>
      </w:tabs>
      <w:outlineLvl w:val="4"/>
    </w:pPr>
  </w:style>
  <w:style w:type="paragraph" w:customStyle="1" w:styleId="240">
    <w:name w:val="附录二级条标题"/>
    <w:basedOn w:val="241"/>
    <w:next w:val="162"/>
    <w:qFormat/>
    <w:uiPriority w:val="0"/>
    <w:pPr>
      <w:tabs>
        <w:tab w:val="left" w:pos="360"/>
      </w:tabs>
      <w:outlineLvl w:val="3"/>
    </w:pPr>
  </w:style>
  <w:style w:type="paragraph" w:customStyle="1" w:styleId="241">
    <w:name w:val="附录一级条标题"/>
    <w:basedOn w:val="242"/>
    <w:next w:val="162"/>
    <w:qFormat/>
    <w:uiPriority w:val="0"/>
    <w:pPr>
      <w:tabs>
        <w:tab w:val="left" w:pos="360"/>
      </w:tabs>
      <w:autoSpaceDN w:val="0"/>
      <w:spacing w:beforeLines="0" w:afterLines="0"/>
      <w:outlineLvl w:val="2"/>
    </w:pPr>
  </w:style>
  <w:style w:type="paragraph" w:customStyle="1" w:styleId="242">
    <w:name w:val="附录章标题"/>
    <w:next w:val="162"/>
    <w:qFormat/>
    <w:uiPriority w:val="0"/>
    <w:pPr>
      <w:tabs>
        <w:tab w:val="left" w:pos="360"/>
      </w:tabs>
      <w:wordWrap w:val="0"/>
      <w:overflowPunct w:val="0"/>
      <w:autoSpaceDE w:val="0"/>
      <w:spacing w:beforeLines="50" w:afterLines="50"/>
      <w:ind w:left="5355"/>
      <w:jc w:val="both"/>
      <w:textAlignment w:val="baseline"/>
      <w:outlineLvl w:val="1"/>
    </w:pPr>
    <w:rPr>
      <w:rFonts w:ascii="黑体" w:hAnsi="Times New Roman" w:eastAsia="黑体" w:cs="Times New Roman"/>
      <w:kern w:val="21"/>
      <w:sz w:val="21"/>
      <w:lang w:val="en-US" w:eastAsia="zh-CN" w:bidi="ar-SA"/>
    </w:rPr>
  </w:style>
  <w:style w:type="paragraph" w:customStyle="1" w:styleId="243">
    <w:name w:val="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244">
    <w:name w:val="Char1"/>
    <w:basedOn w:val="1"/>
    <w:qFormat/>
    <w:uiPriority w:val="0"/>
  </w:style>
  <w:style w:type="paragraph" w:customStyle="1" w:styleId="245">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6">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4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49">
    <w:name w:val="前言首行"/>
    <w:basedOn w:val="1"/>
    <w:qFormat/>
    <w:uiPriority w:val="0"/>
    <w:pPr>
      <w:spacing w:after="120"/>
      <w:jc w:val="center"/>
    </w:pPr>
    <w:rPr>
      <w:rFonts w:eastAsia="黑体" w:cs="宋体"/>
      <w:b/>
      <w:bCs/>
      <w:sz w:val="32"/>
      <w:szCs w:val="20"/>
    </w:rPr>
  </w:style>
  <w:style w:type="paragraph" w:customStyle="1" w:styleId="250">
    <w:name w:val="Char Char Char"/>
    <w:basedOn w:val="1"/>
    <w:qFormat/>
    <w:uiPriority w:val="0"/>
  </w:style>
  <w:style w:type="paragraph" w:customStyle="1" w:styleId="251">
    <w:name w:val="数字编号列项（二级）"/>
    <w:qFormat/>
    <w:uiPriority w:val="0"/>
    <w:pPr>
      <w:jc w:val="both"/>
    </w:pPr>
    <w:rPr>
      <w:rFonts w:ascii="宋体" w:hAnsi="Times New Roman" w:eastAsia="宋体" w:cs="Times New Roman"/>
      <w:sz w:val="21"/>
      <w:lang w:val="en-US" w:eastAsia="zh-CN" w:bidi="ar-SA"/>
    </w:rPr>
  </w:style>
  <w:style w:type="paragraph" w:customStyle="1" w:styleId="252">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53">
    <w:name w:val="样式5"/>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54">
    <w:name w:val="发布日期"/>
    <w:qFormat/>
    <w:uiPriority w:val="0"/>
    <w:rPr>
      <w:rFonts w:ascii="Times New Roman" w:hAnsi="Times New Roman" w:eastAsia="黑体" w:cs="Times New Roman"/>
      <w:sz w:val="28"/>
      <w:lang w:val="en-US" w:eastAsia="zh-CN" w:bidi="ar-SA"/>
    </w:rPr>
  </w:style>
  <w:style w:type="paragraph" w:customStyle="1" w:styleId="255">
    <w:name w:val="Char Char Char Char Char Char Char"/>
    <w:basedOn w:val="1"/>
    <w:qFormat/>
    <w:uiPriority w:val="0"/>
  </w:style>
  <w:style w:type="paragraph" w:customStyle="1" w:styleId="256">
    <w:name w:val="二级无标题条"/>
    <w:basedOn w:val="1"/>
    <w:qFormat/>
    <w:uiPriority w:val="0"/>
  </w:style>
  <w:style w:type="paragraph" w:customStyle="1" w:styleId="257">
    <w:name w:val="_Style 225"/>
    <w:basedOn w:val="3"/>
    <w:next w:val="1"/>
    <w:qFormat/>
    <w:uiPriority w:val="0"/>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25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59">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60">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styleId="262">
    <w:name w:val="List Paragraph"/>
    <w:basedOn w:val="1"/>
    <w:qFormat/>
    <w:uiPriority w:val="0"/>
    <w:pPr>
      <w:ind w:firstLine="420" w:firstLineChars="200"/>
    </w:pPr>
  </w:style>
  <w:style w:type="paragraph" w:customStyle="1" w:styleId="263">
    <w:name w:val="封面正文"/>
    <w:qFormat/>
    <w:uiPriority w:val="0"/>
    <w:pPr>
      <w:jc w:val="both"/>
    </w:pPr>
    <w:rPr>
      <w:rFonts w:ascii="Times New Roman" w:hAnsi="Times New Roman" w:eastAsia="宋体" w:cs="Times New Roman"/>
      <w:lang w:val="en-US" w:eastAsia="zh-CN" w:bidi="ar-SA"/>
    </w:rPr>
  </w:style>
  <w:style w:type="paragraph" w:customStyle="1" w:styleId="264">
    <w:name w:val="表文"/>
    <w:basedOn w:val="1"/>
    <w:qFormat/>
    <w:uiPriority w:val="0"/>
    <w:pPr>
      <w:topLinePunct/>
      <w:spacing w:before="40" w:after="40"/>
    </w:pPr>
    <w:rPr>
      <w:sz w:val="18"/>
      <w:szCs w:val="18"/>
    </w:rPr>
  </w:style>
  <w:style w:type="paragraph" w:customStyle="1" w:styleId="265">
    <w:name w:val="五级无标题条"/>
    <w:basedOn w:val="1"/>
    <w:qFormat/>
    <w:uiPriority w:val="0"/>
  </w:style>
  <w:style w:type="paragraph" w:customStyle="1" w:styleId="26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67">
    <w:name w:val="样式2"/>
    <w:basedOn w:val="4"/>
    <w:qFormat/>
    <w:uiPriority w:val="0"/>
    <w:pPr>
      <w:tabs>
        <w:tab w:val="left" w:pos="567"/>
        <w:tab w:val="left" w:pos="850"/>
        <w:tab w:val="clear" w:pos="1276"/>
      </w:tabs>
      <w:spacing w:line="960" w:lineRule="auto"/>
      <w:jc w:val="left"/>
    </w:pPr>
    <w:rPr>
      <w:b/>
      <w:bCs w:val="0"/>
      <w:sz w:val="36"/>
      <w:szCs w:val="36"/>
    </w:rPr>
  </w:style>
  <w:style w:type="paragraph" w:customStyle="1" w:styleId="268">
    <w:name w:val="样式 标题 2标题 2 Char + 宋体"/>
    <w:basedOn w:val="4"/>
    <w:qFormat/>
    <w:uiPriority w:val="0"/>
    <w:pPr>
      <w:keepNext w:val="0"/>
      <w:tabs>
        <w:tab w:val="left" w:pos="1320"/>
        <w:tab w:val="clear" w:pos="1276"/>
      </w:tabs>
      <w:topLinePunct w:val="0"/>
      <w:adjustRightInd w:val="0"/>
      <w:snapToGrid w:val="0"/>
      <w:spacing w:line="360" w:lineRule="auto"/>
      <w:ind w:left="1320" w:hanging="420"/>
    </w:pPr>
    <w:rPr>
      <w:rFonts w:ascii="宋体" w:eastAsia="宋体"/>
      <w:bCs w:val="0"/>
    </w:rPr>
  </w:style>
  <w:style w:type="paragraph" w:customStyle="1" w:styleId="269">
    <w:name w:val="四级无标题条"/>
    <w:basedOn w:val="1"/>
    <w:qFormat/>
    <w:uiPriority w:val="0"/>
  </w:style>
  <w:style w:type="paragraph" w:customStyle="1" w:styleId="27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71">
    <w:name w:val="附录表标题"/>
    <w:next w:val="16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72">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7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74">
    <w:name w:val="表格"/>
    <w:basedOn w:val="1"/>
    <w:qFormat/>
    <w:uiPriority w:val="0"/>
    <w:pPr>
      <w:adjustRightInd w:val="0"/>
      <w:snapToGrid w:val="0"/>
      <w:spacing w:line="240" w:lineRule="atLeast"/>
    </w:pPr>
    <w:rPr>
      <w:rFonts w:ascii="宋体"/>
      <w:kern w:val="0"/>
      <w:szCs w:val="20"/>
    </w:rPr>
  </w:style>
  <w:style w:type="paragraph" w:customStyle="1" w:styleId="275">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7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78">
    <w:name w:val="附录图标题"/>
    <w:next w:val="162"/>
    <w:qFormat/>
    <w:uiPriority w:val="0"/>
    <w:pPr>
      <w:jc w:val="center"/>
    </w:pPr>
    <w:rPr>
      <w:rFonts w:ascii="黑体" w:hAnsi="Times New Roman" w:eastAsia="黑体" w:cs="Times New Roman"/>
      <w:sz w:val="21"/>
      <w:lang w:val="en-US" w:eastAsia="zh-CN" w:bidi="ar-SA"/>
    </w:rPr>
  </w:style>
  <w:style w:type="paragraph" w:customStyle="1" w:styleId="279">
    <w:name w:val="节小标题"/>
    <w:basedOn w:val="11"/>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280">
    <w:name w:val="默认段落字体 Para Char Char Char Char"/>
    <w:basedOn w:val="1"/>
    <w:qFormat/>
    <w:uiPriority w:val="0"/>
    <w:rPr>
      <w:rFonts w:ascii="宋体" w:hAnsi="宋体"/>
      <w:b/>
      <w:color w:val="000000"/>
      <w:sz w:val="24"/>
    </w:rPr>
  </w:style>
  <w:style w:type="paragraph" w:customStyle="1" w:styleId="281">
    <w:name w:val="正文2"/>
    <w:basedOn w:val="188"/>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cs="Times New Roman"/>
      <w:b w:val="0"/>
      <w:kern w:val="0"/>
      <w:sz w:val="34"/>
      <w:szCs w:val="20"/>
    </w:rPr>
  </w:style>
  <w:style w:type="paragraph" w:customStyle="1" w:styleId="282">
    <w:name w:val="p0"/>
    <w:basedOn w:val="1"/>
    <w:qFormat/>
    <w:uiPriority w:val="0"/>
    <w:pPr>
      <w:widowControl/>
    </w:pPr>
    <w:rPr>
      <w:kern w:val="0"/>
      <w:szCs w:val="21"/>
    </w:rPr>
  </w:style>
  <w:style w:type="character" w:customStyle="1" w:styleId="283">
    <w:name w:val="页眉 Char"/>
    <w:qFormat/>
    <w:uiPriority w:val="99"/>
    <w:rPr>
      <w:sz w:val="18"/>
      <w:szCs w:val="18"/>
    </w:rPr>
  </w:style>
  <w:style w:type="paragraph" w:customStyle="1" w:styleId="284">
    <w:name w:val="0 1级标题"/>
    <w:basedOn w:val="3"/>
    <w:link w:val="285"/>
    <w:qFormat/>
    <w:uiPriority w:val="0"/>
    <w:pPr>
      <w:ind w:left="425" w:hanging="425"/>
    </w:pPr>
    <w:rPr>
      <w:rFonts w:ascii="黑体" w:hAnsi="黑体" w:eastAsia="黑体"/>
      <w:b/>
      <w:sz w:val="21"/>
      <w:szCs w:val="21"/>
    </w:rPr>
  </w:style>
  <w:style w:type="character" w:customStyle="1" w:styleId="285">
    <w:name w:val="0 1级标题 字符"/>
    <w:basedOn w:val="104"/>
    <w:link w:val="284"/>
    <w:qFormat/>
    <w:uiPriority w:val="0"/>
    <w:rPr>
      <w:rFonts w:ascii="黑体" w:hAnsi="黑体" w:eastAsia="黑体"/>
      <w:b/>
      <w:kern w:val="44"/>
      <w:sz w:val="21"/>
      <w:szCs w:val="21"/>
    </w:rPr>
  </w:style>
  <w:style w:type="paragraph" w:customStyle="1" w:styleId="286">
    <w:name w:val="0 2级标题"/>
    <w:basedOn w:val="4"/>
    <w:link w:val="287"/>
    <w:qFormat/>
    <w:uiPriority w:val="0"/>
    <w:pPr>
      <w:keepNext w:val="0"/>
      <w:tabs>
        <w:tab w:val="left" w:pos="576"/>
      </w:tabs>
      <w:topLinePunct w:val="0"/>
      <w:adjustRightInd w:val="0"/>
      <w:snapToGrid w:val="0"/>
      <w:spacing w:line="360" w:lineRule="auto"/>
      <w:ind w:left="0"/>
    </w:pPr>
    <w:rPr>
      <w:rFonts w:ascii="黑体" w:hAnsi="黑体"/>
    </w:rPr>
  </w:style>
  <w:style w:type="character" w:customStyle="1" w:styleId="287">
    <w:name w:val="0 2级标题 字符"/>
    <w:basedOn w:val="105"/>
    <w:link w:val="286"/>
    <w:qFormat/>
    <w:uiPriority w:val="0"/>
    <w:rPr>
      <w:rFonts w:ascii="黑体" w:hAnsi="黑体" w:eastAsia="黑体"/>
      <w:kern w:val="2"/>
      <w:sz w:val="21"/>
      <w:szCs w:val="21"/>
    </w:rPr>
  </w:style>
  <w:style w:type="paragraph" w:customStyle="1" w:styleId="288">
    <w:name w:val="0 正文"/>
    <w:basedOn w:val="152"/>
    <w:link w:val="289"/>
    <w:qFormat/>
    <w:uiPriority w:val="0"/>
    <w:pPr>
      <w:adjustRightInd w:val="0"/>
      <w:snapToGrid w:val="0"/>
      <w:spacing w:line="360" w:lineRule="auto"/>
    </w:pPr>
    <w:rPr>
      <w:rFonts w:eastAsia="宋体" w:cs="Times New Roman"/>
      <w:szCs w:val="21"/>
    </w:rPr>
  </w:style>
  <w:style w:type="character" w:customStyle="1" w:styleId="289">
    <w:name w:val="0 正文 字符"/>
    <w:basedOn w:val="151"/>
    <w:link w:val="288"/>
    <w:qFormat/>
    <w:uiPriority w:val="0"/>
    <w:rPr>
      <w:rFonts w:eastAsia="方正书宋简体" w:cs="宋体"/>
      <w:kern w:val="2"/>
      <w:sz w:val="21"/>
      <w:szCs w:val="21"/>
      <w:lang w:val="en-US" w:eastAsia="zh-CN" w:bidi="ar-SA"/>
    </w:rPr>
  </w:style>
  <w:style w:type="paragraph" w:customStyle="1" w:styleId="290">
    <w:name w:val="0 3级标题"/>
    <w:basedOn w:val="1"/>
    <w:link w:val="291"/>
    <w:qFormat/>
    <w:uiPriority w:val="0"/>
    <w:pPr>
      <w:adjustRightInd w:val="0"/>
      <w:snapToGrid w:val="0"/>
      <w:spacing w:line="360" w:lineRule="auto"/>
    </w:pPr>
  </w:style>
  <w:style w:type="character" w:customStyle="1" w:styleId="291">
    <w:name w:val="0 3级标题 字符"/>
    <w:basedOn w:val="87"/>
    <w:link w:val="290"/>
    <w:qFormat/>
    <w:uiPriority w:val="0"/>
    <w:rPr>
      <w:kern w:val="2"/>
      <w:sz w:val="21"/>
      <w:szCs w:val="24"/>
    </w:rPr>
  </w:style>
  <w:style w:type="character" w:customStyle="1" w:styleId="292">
    <w:name w:val="二级条标题 Char Char"/>
    <w:basedOn w:val="87"/>
    <w:qFormat/>
    <w:uiPriority w:val="0"/>
    <w:rPr>
      <w:rFonts w:ascii="黑体" w:eastAsia="黑体"/>
      <w:sz w:val="21"/>
      <w:lang w:val="en-US" w:eastAsia="zh-CN" w:bidi="ar-SA"/>
    </w:rPr>
  </w:style>
  <w:style w:type="character" w:customStyle="1" w:styleId="293">
    <w:name w:val="脚注文本 字符"/>
    <w:basedOn w:val="87"/>
    <w:link w:val="64"/>
    <w:qFormat/>
    <w:uiPriority w:val="0"/>
    <w:rPr>
      <w:rFonts w:ascii="Calibri" w:hAnsi="Calibri"/>
      <w:kern w:val="2"/>
      <w:sz w:val="18"/>
    </w:rPr>
  </w:style>
  <w:style w:type="character" w:customStyle="1" w:styleId="294">
    <w:name w:val="个人撰写风格"/>
    <w:qFormat/>
    <w:uiPriority w:val="0"/>
    <w:rPr>
      <w:rFonts w:ascii="Arial" w:hAnsi="Arial" w:eastAsia="宋体"/>
      <w:color w:val="auto"/>
      <w:sz w:val="20"/>
    </w:rPr>
  </w:style>
  <w:style w:type="character" w:customStyle="1" w:styleId="295">
    <w:name w:val="个人答复风格"/>
    <w:qFormat/>
    <w:uiPriority w:val="0"/>
    <w:rPr>
      <w:rFonts w:ascii="Arial" w:hAnsi="Arial" w:eastAsia="宋体"/>
      <w:color w:val="auto"/>
      <w:sz w:val="20"/>
    </w:rPr>
  </w:style>
  <w:style w:type="character" w:customStyle="1" w:styleId="296">
    <w:name w:val="Normal1 Char"/>
    <w:link w:val="297"/>
    <w:qFormat/>
    <w:uiPriority w:val="0"/>
    <w:rPr>
      <w:rFonts w:ascii="宋体"/>
      <w:sz w:val="24"/>
    </w:rPr>
  </w:style>
  <w:style w:type="paragraph" w:customStyle="1" w:styleId="297">
    <w:name w:val="Normal1"/>
    <w:link w:val="296"/>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298">
    <w:name w:val="标题1.1.1.1.1 Char"/>
    <w:qFormat/>
    <w:uiPriority w:val="0"/>
    <w:rPr>
      <w:rFonts w:eastAsia="宋体"/>
      <w:b/>
      <w:kern w:val="2"/>
      <w:sz w:val="28"/>
      <w:lang w:val="en-US" w:eastAsia="zh-CN"/>
    </w:rPr>
  </w:style>
  <w:style w:type="character" w:customStyle="1" w:styleId="299">
    <w:name w:val="发布"/>
    <w:qFormat/>
    <w:uiPriority w:val="0"/>
    <w:rPr>
      <w:rFonts w:ascii="黑体" w:eastAsia="黑体"/>
      <w:spacing w:val="22"/>
      <w:w w:val="100"/>
      <w:position w:val="3"/>
      <w:sz w:val="28"/>
    </w:rPr>
  </w:style>
  <w:style w:type="character" w:customStyle="1" w:styleId="300">
    <w:name w:val="Char Char14"/>
    <w:qFormat/>
    <w:uiPriority w:val="0"/>
    <w:rPr>
      <w:rFonts w:eastAsia="宋体"/>
      <w:kern w:val="2"/>
      <w:sz w:val="21"/>
      <w:lang w:val="en-US" w:eastAsia="zh-CN"/>
    </w:rPr>
  </w:style>
  <w:style w:type="paragraph" w:customStyle="1" w:styleId="301">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02">
    <w:name w:val="xl68"/>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03">
    <w:name w:val="正文图标题"/>
    <w:next w:val="162"/>
    <w:qFormat/>
    <w:uiPriority w:val="0"/>
    <w:pPr>
      <w:tabs>
        <w:tab w:val="left" w:pos="360"/>
      </w:tabs>
      <w:jc w:val="center"/>
    </w:pPr>
    <w:rPr>
      <w:rFonts w:ascii="黑体" w:hAnsi="Calibri" w:eastAsia="黑体" w:cs="Times New Roman"/>
      <w:sz w:val="21"/>
      <w:lang w:val="en-US" w:eastAsia="zh-CN" w:bidi="ar-SA"/>
    </w:rPr>
  </w:style>
  <w:style w:type="paragraph" w:customStyle="1" w:styleId="304">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05">
    <w:name w:val="附录五级条标题"/>
    <w:basedOn w:val="306"/>
    <w:next w:val="162"/>
    <w:qFormat/>
    <w:uiPriority w:val="0"/>
    <w:pPr>
      <w:numPr>
        <w:ilvl w:val="6"/>
      </w:numPr>
      <w:tabs>
        <w:tab w:val="left" w:pos="360"/>
        <w:tab w:val="left" w:pos="1620"/>
      </w:tabs>
      <w:outlineLvl w:val="6"/>
    </w:pPr>
  </w:style>
  <w:style w:type="paragraph" w:customStyle="1" w:styleId="306">
    <w:name w:val="附录四级条标题"/>
    <w:basedOn w:val="239"/>
    <w:next w:val="162"/>
    <w:qFormat/>
    <w:uiPriority w:val="0"/>
    <w:pPr>
      <w:numPr>
        <w:ilvl w:val="5"/>
        <w:numId w:val="1"/>
      </w:numPr>
      <w:tabs>
        <w:tab w:val="left" w:pos="1620"/>
      </w:tabs>
      <w:outlineLvl w:val="5"/>
    </w:pPr>
    <w:rPr>
      <w:rFonts w:hAnsi="Calibri"/>
    </w:rPr>
  </w:style>
  <w:style w:type="paragraph" w:customStyle="1" w:styleId="307">
    <w:name w:val="Char Char Char1 Char Char Char Char Char Char Char"/>
    <w:basedOn w:val="1"/>
    <w:qFormat/>
    <w:uiPriority w:val="0"/>
    <w:rPr>
      <w:rFonts w:ascii="Calibri" w:hAnsi="Calibri"/>
      <w:szCs w:val="20"/>
    </w:rPr>
  </w:style>
  <w:style w:type="paragraph" w:customStyle="1" w:styleId="308">
    <w:name w:val="CM23"/>
    <w:basedOn w:val="247"/>
    <w:next w:val="247"/>
    <w:qFormat/>
    <w:uiPriority w:val="0"/>
    <w:pPr>
      <w:spacing w:line="468" w:lineRule="atLeast"/>
    </w:pPr>
    <w:rPr>
      <w:rFonts w:ascii="黑体" w:hAnsi="Calibri" w:eastAsia="黑体" w:cs="Times New Roman"/>
      <w:color w:val="auto"/>
      <w:szCs w:val="20"/>
    </w:rPr>
  </w:style>
  <w:style w:type="paragraph" w:customStyle="1" w:styleId="309">
    <w:name w:val="font11"/>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310">
    <w:name w:val="正文表标题"/>
    <w:next w:val="162"/>
    <w:qFormat/>
    <w:uiPriority w:val="0"/>
    <w:pPr>
      <w:numPr>
        <w:ilvl w:val="0"/>
        <w:numId w:val="2"/>
      </w:numPr>
      <w:tabs>
        <w:tab w:val="left" w:pos="360"/>
        <w:tab w:val="clear" w:pos="425"/>
      </w:tabs>
      <w:jc w:val="center"/>
    </w:pPr>
    <w:rPr>
      <w:rFonts w:ascii="黑体" w:hAnsi="Calibri" w:eastAsia="黑体" w:cs="Times New Roman"/>
      <w:sz w:val="21"/>
      <w:lang w:val="en-US" w:eastAsia="zh-CN" w:bidi="ar-SA"/>
    </w:rPr>
  </w:style>
  <w:style w:type="paragraph" w:customStyle="1" w:styleId="311">
    <w:name w:val="列项·"/>
    <w:qFormat/>
    <w:uiPriority w:val="0"/>
    <w:pPr>
      <w:numPr>
        <w:ilvl w:val="0"/>
        <w:numId w:val="3"/>
      </w:numPr>
      <w:tabs>
        <w:tab w:val="left" w:pos="360"/>
        <w:tab w:val="left" w:pos="840"/>
        <w:tab w:val="clear" w:pos="425"/>
      </w:tabs>
      <w:jc w:val="both"/>
    </w:pPr>
    <w:rPr>
      <w:rFonts w:ascii="宋体" w:hAnsi="Calibri" w:eastAsia="宋体" w:cs="Times New Roman"/>
      <w:sz w:val="21"/>
      <w:lang w:val="en-US" w:eastAsia="zh-CN" w:bidi="ar-SA"/>
    </w:rPr>
  </w:style>
  <w:style w:type="paragraph" w:customStyle="1" w:styleId="312">
    <w:name w:val="Char Char Char Char Char Char Char Char Char Char Char Char Char Char"/>
    <w:basedOn w:val="1"/>
    <w:qFormat/>
    <w:uiPriority w:val="0"/>
    <w:rPr>
      <w:rFonts w:ascii="Calibri" w:hAnsi="Calibri"/>
      <w:szCs w:val="20"/>
    </w:rPr>
  </w:style>
  <w:style w:type="paragraph" w:customStyle="1" w:styleId="313">
    <w:name w:val="字母编号列项（一级）"/>
    <w:qFormat/>
    <w:uiPriority w:val="0"/>
    <w:pPr>
      <w:tabs>
        <w:tab w:val="left" w:pos="1200"/>
      </w:tabs>
      <w:ind w:left="840" w:leftChars="200" w:hanging="420" w:hangingChars="200"/>
      <w:jc w:val="both"/>
    </w:pPr>
    <w:rPr>
      <w:rFonts w:ascii="宋体" w:hAnsi="Calibri" w:eastAsia="宋体" w:cs="Times New Roman"/>
      <w:sz w:val="21"/>
      <w:lang w:val="en-US" w:eastAsia="zh-CN" w:bidi="ar-SA"/>
    </w:rPr>
  </w:style>
  <w:style w:type="paragraph" w:customStyle="1" w:styleId="314">
    <w:name w:val="目次、索引正文"/>
    <w:qFormat/>
    <w:uiPriority w:val="0"/>
    <w:pPr>
      <w:spacing w:line="320" w:lineRule="exact"/>
      <w:jc w:val="both"/>
    </w:pPr>
    <w:rPr>
      <w:rFonts w:ascii="宋体" w:hAnsi="Calibri" w:eastAsia="宋体" w:cs="Times New Roman"/>
      <w:sz w:val="21"/>
      <w:lang w:val="en-US" w:eastAsia="zh-CN" w:bidi="ar-SA"/>
    </w:rPr>
  </w:style>
  <w:style w:type="paragraph" w:customStyle="1" w:styleId="315">
    <w:name w:val="CM33"/>
    <w:basedOn w:val="247"/>
    <w:next w:val="247"/>
    <w:qFormat/>
    <w:uiPriority w:val="0"/>
    <w:pPr>
      <w:spacing w:after="205"/>
    </w:pPr>
    <w:rPr>
      <w:rFonts w:ascii="黑体" w:hAnsi="Calibri" w:eastAsia="黑体" w:cs="Times New Roman"/>
      <w:color w:val="auto"/>
      <w:szCs w:val="20"/>
    </w:rPr>
  </w:style>
  <w:style w:type="paragraph" w:customStyle="1" w:styleId="316">
    <w:name w:val="CM9"/>
    <w:basedOn w:val="247"/>
    <w:next w:val="247"/>
    <w:qFormat/>
    <w:uiPriority w:val="0"/>
    <w:pPr>
      <w:spacing w:line="468" w:lineRule="atLeast"/>
    </w:pPr>
    <w:rPr>
      <w:rFonts w:ascii="黑体" w:hAnsi="Calibri" w:eastAsia="黑体" w:cs="Times New Roman"/>
      <w:color w:val="auto"/>
      <w:szCs w:val="20"/>
    </w:rPr>
  </w:style>
  <w:style w:type="paragraph" w:customStyle="1" w:styleId="31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rPr>
  </w:style>
  <w:style w:type="paragraph" w:customStyle="1" w:styleId="318">
    <w:name w:val="参考文献、索引标题"/>
    <w:basedOn w:val="1"/>
    <w:next w:val="1"/>
    <w:qFormat/>
    <w:uiPriority w:val="0"/>
    <w:pPr>
      <w:widowControl/>
      <w:shd w:val="clear" w:color="FFFFFF" w:fill="FFFFFF"/>
      <w:spacing w:before="640" w:after="200"/>
      <w:jc w:val="center"/>
      <w:outlineLvl w:val="0"/>
    </w:pPr>
    <w:rPr>
      <w:rFonts w:ascii="黑体" w:hAnsi="Calibri" w:eastAsia="黑体"/>
      <w:kern w:val="0"/>
      <w:szCs w:val="20"/>
    </w:rPr>
  </w:style>
  <w:style w:type="paragraph" w:customStyle="1" w:styleId="319">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20">
    <w:name w:val="封面标准代替信息"/>
    <w:basedOn w:val="321"/>
    <w:qFormat/>
    <w:uiPriority w:val="0"/>
    <w:pPr>
      <w:spacing w:before="57"/>
    </w:pPr>
    <w:rPr>
      <w:rFonts w:ascii="宋体"/>
      <w:sz w:val="21"/>
    </w:rPr>
  </w:style>
  <w:style w:type="paragraph" w:customStyle="1" w:styleId="321">
    <w:name w:val="封面标准号2"/>
    <w:basedOn w:val="322"/>
    <w:qFormat/>
    <w:uiPriority w:val="0"/>
    <w:pPr>
      <w:adjustRightInd w:val="0"/>
      <w:spacing w:before="357" w:line="280" w:lineRule="exact"/>
    </w:pPr>
  </w:style>
  <w:style w:type="paragraph" w:customStyle="1" w:styleId="322">
    <w:name w:val="封面标准号1"/>
    <w:qFormat/>
    <w:uiPriority w:val="0"/>
    <w:pPr>
      <w:widowControl w:val="0"/>
      <w:kinsoku w:val="0"/>
      <w:overflowPunct w:val="0"/>
      <w:autoSpaceDE w:val="0"/>
      <w:autoSpaceDN w:val="0"/>
      <w:spacing w:before="308"/>
      <w:jc w:val="right"/>
      <w:textAlignment w:val="center"/>
    </w:pPr>
    <w:rPr>
      <w:rFonts w:ascii="Calibri" w:hAnsi="Calibri" w:eastAsia="宋体" w:cs="Times New Roman"/>
      <w:sz w:val="28"/>
      <w:lang w:val="en-US" w:eastAsia="zh-CN" w:bidi="ar-SA"/>
    </w:rPr>
  </w:style>
  <w:style w:type="paragraph" w:customStyle="1" w:styleId="323">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rPr>
  </w:style>
  <w:style w:type="paragraph" w:customStyle="1" w:styleId="324">
    <w:name w:val="_Style 229"/>
    <w:basedOn w:val="3"/>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2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Times New Roman"/>
      <w:kern w:val="0"/>
      <w:sz w:val="24"/>
    </w:rPr>
  </w:style>
  <w:style w:type="paragraph" w:customStyle="1" w:styleId="326">
    <w:name w:val="发布部门"/>
    <w:next w:val="162"/>
    <w:qFormat/>
    <w:uiPriority w:val="0"/>
    <w:pPr>
      <w:jc w:val="center"/>
    </w:pPr>
    <w:rPr>
      <w:rFonts w:ascii="宋体" w:hAnsi="Calibri" w:eastAsia="宋体" w:cs="Times New Roman"/>
      <w:b/>
      <w:spacing w:val="20"/>
      <w:w w:val="135"/>
      <w:sz w:val="36"/>
      <w:lang w:val="en-US" w:eastAsia="zh-CN" w:bidi="ar-SA"/>
    </w:rPr>
  </w:style>
  <w:style w:type="paragraph" w:customStyle="1" w:styleId="3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28">
    <w:name w:val="注："/>
    <w:next w:val="162"/>
    <w:qFormat/>
    <w:uiPriority w:val="0"/>
    <w:pPr>
      <w:widowControl w:val="0"/>
      <w:tabs>
        <w:tab w:val="left" w:pos="360"/>
      </w:tabs>
      <w:autoSpaceDE w:val="0"/>
      <w:autoSpaceDN w:val="0"/>
      <w:ind w:left="1620" w:hanging="360"/>
      <w:jc w:val="both"/>
    </w:pPr>
    <w:rPr>
      <w:rFonts w:ascii="宋体" w:hAnsi="Calibri" w:eastAsia="宋体" w:cs="Times New Roman"/>
      <w:sz w:val="18"/>
      <w:lang w:val="en-US" w:eastAsia="zh-CN" w:bidi="ar-SA"/>
    </w:rPr>
  </w:style>
  <w:style w:type="paragraph" w:customStyle="1" w:styleId="329">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33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rPr>
  </w:style>
  <w:style w:type="paragraph" w:customStyle="1" w:styleId="331">
    <w:name w:val="CM17"/>
    <w:basedOn w:val="247"/>
    <w:next w:val="247"/>
    <w:qFormat/>
    <w:uiPriority w:val="0"/>
    <w:pPr>
      <w:spacing w:line="468" w:lineRule="atLeast"/>
    </w:pPr>
    <w:rPr>
      <w:rFonts w:ascii="黑体" w:hAnsi="Calibri" w:eastAsia="黑体" w:cs="Times New Roman"/>
      <w:color w:val="auto"/>
      <w:szCs w:val="20"/>
    </w:rPr>
  </w:style>
  <w:style w:type="paragraph" w:customStyle="1" w:styleId="332">
    <w:name w:val="xl67"/>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33">
    <w:name w:val="Normal2"/>
    <w:basedOn w:val="188"/>
    <w:qFormat/>
    <w:uiPriority w:val="0"/>
    <w:pPr>
      <w:keepNext w:val="0"/>
      <w:keepLines w:val="0"/>
      <w:tabs>
        <w:tab w:val="left" w:pos="2160"/>
      </w:tabs>
      <w:topLinePunct w:val="0"/>
      <w:adjustRightInd w:val="0"/>
      <w:spacing w:line="490" w:lineRule="exact"/>
      <w:textAlignment w:val="baseline"/>
      <w:outlineLvl w:val="9"/>
    </w:pPr>
    <w:rPr>
      <w:rFonts w:ascii="仿宋_GB2312" w:hAnsi="Calibri" w:eastAsia="仿宋_GB2312" w:cs="Times New Roman"/>
      <w:b w:val="0"/>
      <w:kern w:val="0"/>
      <w:sz w:val="34"/>
      <w:szCs w:val="20"/>
    </w:rPr>
  </w:style>
  <w:style w:type="paragraph" w:customStyle="1" w:styleId="334">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335">
    <w:name w:val="文献分类号"/>
    <w:qFormat/>
    <w:uiPriority w:val="0"/>
    <w:pPr>
      <w:widowControl w:val="0"/>
      <w:textAlignment w:val="center"/>
    </w:pPr>
    <w:rPr>
      <w:rFonts w:ascii="Calibri" w:hAnsi="Calibri" w:eastAsia="黑体" w:cs="Times New Roman"/>
      <w:sz w:val="21"/>
      <w:lang w:val="en-US" w:eastAsia="zh-CN" w:bidi="ar-SA"/>
    </w:rPr>
  </w:style>
  <w:style w:type="paragraph" w:customStyle="1" w:styleId="336">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37">
    <w:name w:val="注×："/>
    <w:qFormat/>
    <w:uiPriority w:val="0"/>
    <w:pPr>
      <w:widowControl w:val="0"/>
      <w:tabs>
        <w:tab w:val="left" w:pos="360"/>
        <w:tab w:val="left" w:pos="630"/>
      </w:tabs>
      <w:autoSpaceDE w:val="0"/>
      <w:autoSpaceDN w:val="0"/>
      <w:jc w:val="both"/>
    </w:pPr>
    <w:rPr>
      <w:rFonts w:ascii="宋体" w:hAnsi="Calibri" w:eastAsia="宋体" w:cs="Times New Roman"/>
      <w:sz w:val="18"/>
      <w:lang w:val="en-US" w:eastAsia="zh-CN" w:bidi="ar-SA"/>
    </w:rPr>
  </w:style>
  <w:style w:type="paragraph" w:customStyle="1" w:styleId="33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rPr>
  </w:style>
  <w:style w:type="paragraph" w:customStyle="1" w:styleId="339">
    <w:name w:val="font10"/>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340">
    <w:name w:val="CM10"/>
    <w:basedOn w:val="247"/>
    <w:next w:val="247"/>
    <w:qFormat/>
    <w:uiPriority w:val="0"/>
    <w:pPr>
      <w:spacing w:line="468" w:lineRule="atLeast"/>
    </w:pPr>
    <w:rPr>
      <w:rFonts w:ascii="黑体" w:hAnsi="Calibri" w:eastAsia="黑体" w:cs="Times New Roman"/>
      <w:color w:val="auto"/>
      <w:szCs w:val="20"/>
    </w:rPr>
  </w:style>
  <w:style w:type="paragraph" w:customStyle="1" w:styleId="341">
    <w:name w:val="默认段落字体 Para Char"/>
    <w:basedOn w:val="1"/>
    <w:qFormat/>
    <w:uiPriority w:val="0"/>
    <w:pPr>
      <w:spacing w:line="360" w:lineRule="auto"/>
    </w:pPr>
    <w:rPr>
      <w:rFonts w:ascii="Tahoma" w:hAnsi="Tahoma"/>
      <w:sz w:val="24"/>
      <w:szCs w:val="20"/>
    </w:rPr>
  </w:style>
  <w:style w:type="paragraph" w:customStyle="1" w:styleId="342">
    <w:name w:val="标准书眉_偶数页"/>
    <w:basedOn w:val="343"/>
    <w:next w:val="1"/>
    <w:qFormat/>
    <w:uiPriority w:val="0"/>
    <w:pPr>
      <w:tabs>
        <w:tab w:val="center" w:pos="4154"/>
        <w:tab w:val="right" w:pos="8306"/>
      </w:tabs>
      <w:jc w:val="left"/>
    </w:pPr>
  </w:style>
  <w:style w:type="paragraph" w:customStyle="1" w:styleId="343">
    <w:name w:val="标准书眉_奇数页"/>
    <w:next w:val="1"/>
    <w:qFormat/>
    <w:uiPriority w:val="0"/>
    <w:pPr>
      <w:tabs>
        <w:tab w:val="center" w:pos="4154"/>
        <w:tab w:val="right" w:pos="8306"/>
      </w:tabs>
      <w:spacing w:after="120"/>
      <w:jc w:val="right"/>
    </w:pPr>
    <w:rPr>
      <w:rFonts w:ascii="Calibri" w:hAnsi="Calibri" w:eastAsia="宋体" w:cs="Times New Roman"/>
      <w:sz w:val="21"/>
      <w:lang w:val="en-US" w:eastAsia="zh-CN" w:bidi="ar-SA"/>
    </w:rPr>
  </w:style>
  <w:style w:type="paragraph" w:customStyle="1" w:styleId="344">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45">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346">
    <w:name w:val="CM3"/>
    <w:basedOn w:val="247"/>
    <w:next w:val="247"/>
    <w:qFormat/>
    <w:uiPriority w:val="0"/>
    <w:pPr>
      <w:spacing w:line="468" w:lineRule="atLeast"/>
    </w:pPr>
    <w:rPr>
      <w:rFonts w:ascii="黑体" w:hAnsi="Calibri" w:eastAsia="黑体" w:cs="Times New Roman"/>
      <w:color w:val="auto"/>
      <w:szCs w:val="20"/>
    </w:rPr>
  </w:style>
  <w:style w:type="paragraph" w:customStyle="1" w:styleId="347">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customStyle="1" w:styleId="34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49">
    <w:name w:val="_Style 290"/>
    <w:qFormat/>
    <w:uiPriority w:val="0"/>
    <w:rPr>
      <w:rFonts w:ascii="Calibri" w:hAnsi="Calibri" w:eastAsia="宋体" w:cs="Times New Roman"/>
      <w:kern w:val="2"/>
      <w:sz w:val="21"/>
      <w:lang w:val="en-US" w:eastAsia="zh-CN" w:bidi="ar-SA"/>
    </w:rPr>
  </w:style>
  <w:style w:type="paragraph" w:customStyle="1" w:styleId="350">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51">
    <w:name w:val="示例"/>
    <w:next w:val="162"/>
    <w:qFormat/>
    <w:uiPriority w:val="0"/>
    <w:pPr>
      <w:numPr>
        <w:ilvl w:val="0"/>
        <w:numId w:val="4"/>
      </w:numPr>
      <w:ind w:firstLine="0"/>
      <w:jc w:val="both"/>
    </w:pPr>
    <w:rPr>
      <w:rFonts w:ascii="宋体" w:hAnsi="Calibri" w:eastAsia="宋体" w:cs="Times New Roman"/>
      <w:sz w:val="18"/>
      <w:lang w:val="en-US" w:eastAsia="zh-CN" w:bidi="ar-SA"/>
    </w:rPr>
  </w:style>
  <w:style w:type="paragraph" w:customStyle="1" w:styleId="35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53">
    <w:name w:val="附录标识"/>
    <w:basedOn w:val="354"/>
    <w:qFormat/>
    <w:uiPriority w:val="0"/>
    <w:pPr>
      <w:tabs>
        <w:tab w:val="left" w:pos="360"/>
        <w:tab w:val="left" w:pos="6405"/>
      </w:tabs>
      <w:spacing w:after="200"/>
      <w:ind w:left="0" w:firstLine="0"/>
    </w:pPr>
    <w:rPr>
      <w:sz w:val="21"/>
    </w:rPr>
  </w:style>
  <w:style w:type="paragraph" w:customStyle="1" w:styleId="354">
    <w:name w:val="前言、引言标题"/>
    <w:next w:val="1"/>
    <w:qFormat/>
    <w:uiPriority w:val="0"/>
    <w:pPr>
      <w:shd w:val="clear" w:color="FFFFFF" w:fill="FFFFFF"/>
      <w:tabs>
        <w:tab w:val="left" w:pos="360"/>
      </w:tabs>
      <w:spacing w:before="640" w:after="560"/>
      <w:ind w:left="360" w:hanging="360"/>
      <w:jc w:val="center"/>
      <w:outlineLvl w:val="0"/>
    </w:pPr>
    <w:rPr>
      <w:rFonts w:ascii="黑体" w:hAnsi="Calibri" w:eastAsia="黑体" w:cs="Times New Roman"/>
      <w:sz w:val="32"/>
      <w:lang w:val="en-US" w:eastAsia="zh-CN" w:bidi="ar-SA"/>
    </w:rPr>
  </w:style>
  <w:style w:type="paragraph" w:customStyle="1" w:styleId="355">
    <w:name w:val="标准标志"/>
    <w:next w:val="1"/>
    <w:qFormat/>
    <w:uiPriority w:val="0"/>
    <w:pPr>
      <w:shd w:val="solid" w:color="FFFFFF" w:fill="FFFFFF"/>
      <w:spacing w:line="0" w:lineRule="atLeast"/>
      <w:jc w:val="right"/>
    </w:pPr>
    <w:rPr>
      <w:rFonts w:ascii="Calibri" w:hAnsi="Calibri" w:eastAsia="宋体" w:cs="Times New Roman"/>
      <w:b/>
      <w:w w:val="130"/>
      <w:sz w:val="96"/>
      <w:lang w:val="en-US" w:eastAsia="zh-CN" w:bidi="ar-SA"/>
    </w:rPr>
  </w:style>
  <w:style w:type="paragraph" w:customStyle="1" w:styleId="35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rPr>
  </w:style>
  <w:style w:type="paragraph" w:customStyle="1" w:styleId="35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Cs w:val="21"/>
    </w:rPr>
  </w:style>
  <w:style w:type="paragraph" w:customStyle="1" w:styleId="35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sz w:val="24"/>
    </w:rPr>
  </w:style>
  <w:style w:type="paragraph" w:customStyle="1" w:styleId="359">
    <w:name w:val="条文脚注"/>
    <w:basedOn w:val="64"/>
    <w:qFormat/>
    <w:uiPriority w:val="0"/>
    <w:pPr>
      <w:ind w:left="780" w:leftChars="200" w:hanging="360" w:hangingChars="200"/>
      <w:jc w:val="both"/>
    </w:pPr>
    <w:rPr>
      <w:rFonts w:ascii="宋体"/>
    </w:rPr>
  </w:style>
  <w:style w:type="paragraph" w:customStyle="1" w:styleId="360">
    <w:name w:val="font8"/>
    <w:basedOn w:val="1"/>
    <w:qFormat/>
    <w:uiPriority w:val="0"/>
    <w:pPr>
      <w:widowControl/>
      <w:spacing w:before="100" w:beforeAutospacing="1" w:after="100" w:afterAutospacing="1"/>
      <w:jc w:val="left"/>
    </w:pPr>
    <w:rPr>
      <w:rFonts w:ascii="微软雅黑" w:hAnsi="微软雅黑" w:eastAsia="微软雅黑"/>
      <w:color w:val="000000"/>
      <w:kern w:val="0"/>
      <w:szCs w:val="21"/>
    </w:rPr>
  </w:style>
  <w:style w:type="paragraph" w:customStyle="1" w:styleId="361">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2">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sz w:val="24"/>
    </w:rPr>
  </w:style>
  <w:style w:type="paragraph" w:customStyle="1" w:styleId="36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Times New Roman"/>
      <w:kern w:val="0"/>
      <w:sz w:val="24"/>
    </w:rPr>
  </w:style>
  <w:style w:type="paragraph" w:customStyle="1" w:styleId="364">
    <w:name w:val="Char Char9"/>
    <w:basedOn w:val="1"/>
    <w:qFormat/>
    <w:uiPriority w:val="0"/>
    <w:rPr>
      <w:rFonts w:ascii="宋体" w:hAnsi="宋体"/>
      <w:b/>
      <w:color w:val="000000"/>
      <w:sz w:val="24"/>
    </w:rPr>
  </w:style>
  <w:style w:type="paragraph" w:customStyle="1" w:styleId="365">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szCs w:val="20"/>
    </w:rPr>
  </w:style>
  <w:style w:type="paragraph" w:customStyle="1" w:styleId="366">
    <w:name w:val="Char Char1 Char"/>
    <w:basedOn w:val="1"/>
    <w:qFormat/>
    <w:uiPriority w:val="0"/>
    <w:pPr>
      <w:widowControl/>
      <w:numPr>
        <w:ilvl w:val="0"/>
        <w:numId w:val="5"/>
      </w:numPr>
      <w:tabs>
        <w:tab w:val="clear" w:pos="900"/>
      </w:tabs>
      <w:spacing w:before="100" w:beforeAutospacing="1" w:after="100" w:afterAutospacing="1" w:line="330" w:lineRule="atLeast"/>
      <w:ind w:left="360" w:firstLine="0"/>
      <w:jc w:val="left"/>
    </w:pPr>
    <w:rPr>
      <w:rFonts w:ascii="ˎ̥" w:hAnsi="ˎ̥"/>
      <w:color w:val="51585D"/>
      <w:kern w:val="0"/>
      <w:sz w:val="24"/>
      <w:szCs w:val="20"/>
    </w:rPr>
  </w:style>
  <w:style w:type="paragraph" w:customStyle="1" w:styleId="367">
    <w:name w:val="font12"/>
    <w:basedOn w:val="1"/>
    <w:qFormat/>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36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sz w:val="24"/>
    </w:rPr>
  </w:style>
  <w:style w:type="paragraph" w:customStyle="1" w:styleId="369">
    <w:name w:val="列项——"/>
    <w:qFormat/>
    <w:uiPriority w:val="0"/>
    <w:pPr>
      <w:widowControl w:val="0"/>
      <w:tabs>
        <w:tab w:val="left" w:pos="360"/>
      </w:tabs>
      <w:ind w:left="425" w:hanging="425"/>
      <w:jc w:val="both"/>
    </w:pPr>
    <w:rPr>
      <w:rFonts w:ascii="宋体" w:hAnsi="Calibri" w:eastAsia="宋体" w:cs="Times New Roman"/>
      <w:sz w:val="21"/>
      <w:lang w:val="en-US" w:eastAsia="zh-CN" w:bidi="ar-SA"/>
    </w:rPr>
  </w:style>
  <w:style w:type="paragraph" w:customStyle="1" w:styleId="37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71">
    <w:name w:val="Char Char Char Char Char Char Char Char Char Char Char Char"/>
    <w:basedOn w:val="1"/>
    <w:qFormat/>
    <w:uiPriority w:val="0"/>
    <w:pPr>
      <w:spacing w:line="360" w:lineRule="auto"/>
    </w:pPr>
    <w:rPr>
      <w:rFonts w:ascii="Tahoma" w:hAnsi="Tahoma"/>
      <w:sz w:val="24"/>
      <w:szCs w:val="20"/>
    </w:rPr>
  </w:style>
  <w:style w:type="paragraph" w:customStyle="1" w:styleId="372">
    <w:name w:val="CM22"/>
    <w:basedOn w:val="247"/>
    <w:next w:val="247"/>
    <w:qFormat/>
    <w:uiPriority w:val="0"/>
    <w:pPr>
      <w:spacing w:line="468" w:lineRule="atLeast"/>
    </w:pPr>
    <w:rPr>
      <w:rFonts w:ascii="黑体" w:hAnsi="Calibri" w:eastAsia="黑体" w:cs="Times New Roman"/>
      <w:color w:val="auto"/>
      <w:szCs w:val="20"/>
    </w:rPr>
  </w:style>
  <w:style w:type="paragraph" w:customStyle="1" w:styleId="373">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rPr>
  </w:style>
  <w:style w:type="paragraph" w:customStyle="1" w:styleId="374">
    <w:name w:val="font9"/>
    <w:basedOn w:val="1"/>
    <w:qFormat/>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375">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rPr>
  </w:style>
  <w:style w:type="paragraph" w:customStyle="1" w:styleId="376">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77">
    <w:name w:val="图表脚注"/>
    <w:next w:val="162"/>
    <w:qFormat/>
    <w:uiPriority w:val="0"/>
    <w:pPr>
      <w:ind w:left="300" w:leftChars="200" w:hanging="100" w:hangingChars="100"/>
      <w:jc w:val="both"/>
    </w:pPr>
    <w:rPr>
      <w:rFonts w:ascii="宋体" w:hAnsi="Calibri" w:eastAsia="宋体" w:cs="Times New Roman"/>
      <w:sz w:val="18"/>
      <w:lang w:val="en-US" w:eastAsia="zh-CN" w:bidi="ar-SA"/>
    </w:rPr>
  </w:style>
  <w:style w:type="paragraph" w:customStyle="1" w:styleId="378">
    <w:name w:val="CM5"/>
    <w:basedOn w:val="247"/>
    <w:next w:val="247"/>
    <w:qFormat/>
    <w:uiPriority w:val="0"/>
    <w:pPr>
      <w:spacing w:line="471" w:lineRule="atLeast"/>
    </w:pPr>
    <w:rPr>
      <w:rFonts w:ascii="黑体" w:hAnsi="Calibri" w:eastAsia="黑体" w:cs="Times New Roman"/>
      <w:color w:val="auto"/>
      <w:szCs w:val="20"/>
    </w:rPr>
  </w:style>
  <w:style w:type="paragraph" w:customStyle="1" w:styleId="379">
    <w:name w:val="样式 标题 2 + 宋体 加粗"/>
    <w:basedOn w:val="4"/>
    <w:qFormat/>
    <w:uiPriority w:val="0"/>
    <w:pPr>
      <w:tabs>
        <w:tab w:val="left" w:pos="425"/>
      </w:tabs>
      <w:topLinePunct w:val="0"/>
      <w:spacing w:line="600" w:lineRule="exact"/>
      <w:ind w:left="0"/>
    </w:pPr>
    <w:rPr>
      <w:rFonts w:ascii="宋体" w:hAnsi="宋体" w:eastAsia="宋体"/>
      <w:b/>
      <w:bCs w:val="0"/>
      <w:sz w:val="32"/>
      <w:szCs w:val="20"/>
    </w:rPr>
  </w:style>
  <w:style w:type="paragraph" w:customStyle="1" w:styleId="380">
    <w:name w:val="0正文"/>
    <w:basedOn w:val="1"/>
    <w:link w:val="381"/>
    <w:qFormat/>
    <w:uiPriority w:val="0"/>
    <w:pPr>
      <w:adjustRightInd w:val="0"/>
      <w:snapToGrid w:val="0"/>
      <w:spacing w:line="480" w:lineRule="atLeast"/>
      <w:ind w:firstLine="480" w:firstLineChars="200"/>
    </w:pPr>
    <w:rPr>
      <w:sz w:val="24"/>
    </w:rPr>
  </w:style>
  <w:style w:type="character" w:customStyle="1" w:styleId="381">
    <w:name w:val="0正文 Char"/>
    <w:basedOn w:val="87"/>
    <w:link w:val="380"/>
    <w:qFormat/>
    <w:uiPriority w:val="0"/>
    <w:rPr>
      <w:kern w:val="2"/>
      <w:sz w:val="24"/>
      <w:szCs w:val="24"/>
    </w:rPr>
  </w:style>
  <w:style w:type="paragraph" w:customStyle="1" w:styleId="382">
    <w:name w:val="0图表标题"/>
    <w:basedOn w:val="1"/>
    <w:link w:val="383"/>
    <w:qFormat/>
    <w:uiPriority w:val="0"/>
    <w:pPr>
      <w:adjustRightInd w:val="0"/>
      <w:snapToGrid w:val="0"/>
      <w:spacing w:after="50" w:afterLines="50" w:line="480" w:lineRule="atLeast"/>
      <w:jc w:val="center"/>
    </w:pPr>
    <w:rPr>
      <w:rFonts w:eastAsiaTheme="majorEastAsia"/>
    </w:rPr>
  </w:style>
  <w:style w:type="character" w:customStyle="1" w:styleId="383">
    <w:name w:val="0图表标题 Char"/>
    <w:basedOn w:val="87"/>
    <w:link w:val="382"/>
    <w:qFormat/>
    <w:uiPriority w:val="0"/>
    <w:rPr>
      <w:rFonts w:eastAsiaTheme="majorEastAsia"/>
      <w:kern w:val="2"/>
      <w:sz w:val="21"/>
      <w:szCs w:val="24"/>
    </w:rPr>
  </w:style>
  <w:style w:type="paragraph" w:customStyle="1" w:styleId="384">
    <w:name w:val="表头名"/>
    <w:basedOn w:val="1"/>
    <w:link w:val="385"/>
    <w:qFormat/>
    <w:uiPriority w:val="0"/>
    <w:pPr>
      <w:spacing w:before="120" w:after="120"/>
      <w:jc w:val="center"/>
    </w:pPr>
  </w:style>
  <w:style w:type="character" w:customStyle="1" w:styleId="385">
    <w:name w:val="表头名 字符"/>
    <w:basedOn w:val="87"/>
    <w:link w:val="384"/>
    <w:qFormat/>
    <w:uiPriority w:val="0"/>
    <w:rPr>
      <w:kern w:val="2"/>
      <w:sz w:val="21"/>
      <w:szCs w:val="24"/>
    </w:rPr>
  </w:style>
  <w:style w:type="paragraph" w:customStyle="1" w:styleId="386">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387">
    <w:name w:val="0标题1"/>
    <w:basedOn w:val="3"/>
    <w:qFormat/>
    <w:uiPriority w:val="0"/>
    <w:pPr>
      <w:numPr>
        <w:ilvl w:val="0"/>
        <w:numId w:val="6"/>
      </w:numPr>
      <w:tabs>
        <w:tab w:val="left" w:pos="851"/>
        <w:tab w:val="clear" w:pos="425"/>
      </w:tabs>
      <w:topLinePunct w:val="0"/>
      <w:snapToGrid w:val="0"/>
      <w:spacing w:line="480" w:lineRule="atLeast"/>
      <w:ind w:left="0" w:firstLine="482" w:firstLineChars="200"/>
      <w:textAlignment w:val="auto"/>
    </w:pPr>
    <w:rPr>
      <w:rFonts w:eastAsia="宋体"/>
      <w:b/>
      <w:bCs/>
      <w:sz w:val="24"/>
      <w:szCs w:val="24"/>
    </w:rPr>
  </w:style>
  <w:style w:type="paragraph" w:customStyle="1" w:styleId="388">
    <w:name w:val="0标题2"/>
    <w:basedOn w:val="4"/>
    <w:link w:val="390"/>
    <w:qFormat/>
    <w:uiPriority w:val="0"/>
    <w:pPr>
      <w:numPr>
        <w:ilvl w:val="1"/>
        <w:numId w:val="6"/>
      </w:numPr>
      <w:tabs>
        <w:tab w:val="left" w:pos="993"/>
        <w:tab w:val="clear" w:pos="1276"/>
      </w:tabs>
      <w:topLinePunct w:val="0"/>
      <w:snapToGrid w:val="0"/>
      <w:spacing w:line="480" w:lineRule="atLeast"/>
    </w:pPr>
    <w:rPr>
      <w:b/>
      <w:sz w:val="24"/>
      <w:szCs w:val="24"/>
    </w:rPr>
  </w:style>
  <w:style w:type="paragraph" w:customStyle="1" w:styleId="389">
    <w:name w:val="0标题3"/>
    <w:basedOn w:val="5"/>
    <w:qFormat/>
    <w:uiPriority w:val="0"/>
    <w:pPr>
      <w:keepNext w:val="0"/>
      <w:keepLines w:val="0"/>
      <w:numPr>
        <w:ilvl w:val="2"/>
        <w:numId w:val="6"/>
      </w:numPr>
      <w:tabs>
        <w:tab w:val="left" w:pos="1134"/>
        <w:tab w:val="clear" w:pos="2126"/>
      </w:tabs>
      <w:spacing w:line="480" w:lineRule="atLeast"/>
      <w:jc w:val="both"/>
    </w:pPr>
    <w:rPr>
      <w:rFonts w:eastAsia="宋体"/>
      <w:sz w:val="24"/>
      <w:szCs w:val="24"/>
      <w:lang w:val="zh-CN"/>
    </w:rPr>
  </w:style>
  <w:style w:type="character" w:customStyle="1" w:styleId="390">
    <w:name w:val="0标题2 Char"/>
    <w:basedOn w:val="105"/>
    <w:link w:val="388"/>
    <w:qFormat/>
    <w:uiPriority w:val="0"/>
    <w:rPr>
      <w:rFonts w:eastAsia="黑体"/>
      <w:b/>
      <w:kern w:val="2"/>
      <w:sz w:val="24"/>
      <w:szCs w:val="24"/>
    </w:rPr>
  </w:style>
  <w:style w:type="paragraph" w:customStyle="1" w:styleId="391">
    <w:name w:val="0标题4"/>
    <w:basedOn w:val="7"/>
    <w:qFormat/>
    <w:uiPriority w:val="0"/>
    <w:pPr>
      <w:keepNext w:val="0"/>
      <w:keepLines w:val="0"/>
      <w:numPr>
        <w:ilvl w:val="3"/>
        <w:numId w:val="6"/>
      </w:numPr>
      <w:tabs>
        <w:tab w:val="left" w:pos="1276"/>
        <w:tab w:val="clear" w:pos="2976"/>
      </w:tabs>
      <w:snapToGrid w:val="0"/>
      <w:spacing w:before="0" w:after="0" w:line="480" w:lineRule="atLeast"/>
    </w:pPr>
    <w:rPr>
      <w:rFonts w:ascii="Times New Roman" w:hAnsi="Times New Roman" w:eastAsia="宋体"/>
      <w:b w:val="0"/>
      <w:sz w:val="24"/>
      <w:szCs w:val="24"/>
    </w:rPr>
  </w:style>
  <w:style w:type="paragraph" w:customStyle="1" w:styleId="392">
    <w:name w:val="0标题5"/>
    <w:basedOn w:val="8"/>
    <w:qFormat/>
    <w:uiPriority w:val="0"/>
    <w:pPr>
      <w:keepNext w:val="0"/>
      <w:keepLines w:val="0"/>
      <w:numPr>
        <w:ilvl w:val="4"/>
        <w:numId w:val="6"/>
      </w:numPr>
      <w:tabs>
        <w:tab w:val="left" w:pos="1418"/>
        <w:tab w:val="clear" w:pos="992"/>
        <w:tab w:val="clear" w:pos="3827"/>
      </w:tabs>
      <w:snapToGrid w:val="0"/>
      <w:spacing w:line="480" w:lineRule="atLeast"/>
      <w:ind w:left="0" w:firstLine="480" w:firstLineChars="200"/>
    </w:pPr>
    <w:rPr>
      <w:rFonts w:eastAsia="宋体"/>
      <w:sz w:val="24"/>
      <w:szCs w:val="24"/>
    </w:rPr>
  </w:style>
  <w:style w:type="paragraph" w:customStyle="1" w:styleId="39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94">
    <w:name w:val="0 正文1"/>
    <w:basedOn w:val="1"/>
    <w:link w:val="396"/>
    <w:qFormat/>
    <w:uiPriority w:val="0"/>
    <w:pPr>
      <w:adjustRightInd w:val="0"/>
      <w:snapToGrid w:val="0"/>
      <w:spacing w:line="360" w:lineRule="auto"/>
      <w:ind w:firstLine="420" w:firstLineChars="200"/>
    </w:pPr>
  </w:style>
  <w:style w:type="paragraph" w:customStyle="1" w:styleId="395">
    <w:name w:val="0 1级标题1"/>
    <w:basedOn w:val="3"/>
    <w:link w:val="398"/>
    <w:qFormat/>
    <w:uiPriority w:val="0"/>
    <w:pPr>
      <w:numPr>
        <w:ilvl w:val="0"/>
        <w:numId w:val="7"/>
      </w:numPr>
      <w:ind w:left="0" w:firstLine="0"/>
    </w:pPr>
    <w:rPr>
      <w:rFonts w:ascii="黑体" w:hAnsi="黑体" w:eastAsia="黑体"/>
      <w:b/>
      <w:sz w:val="21"/>
      <w:szCs w:val="21"/>
    </w:rPr>
  </w:style>
  <w:style w:type="character" w:customStyle="1" w:styleId="396">
    <w:name w:val="0 正文1 字符"/>
    <w:basedOn w:val="87"/>
    <w:link w:val="394"/>
    <w:qFormat/>
    <w:uiPriority w:val="0"/>
    <w:rPr>
      <w:kern w:val="2"/>
      <w:sz w:val="21"/>
      <w:szCs w:val="24"/>
    </w:rPr>
  </w:style>
  <w:style w:type="paragraph" w:customStyle="1" w:styleId="397">
    <w:name w:val="0 2级标题1"/>
    <w:basedOn w:val="286"/>
    <w:link w:val="399"/>
    <w:qFormat/>
    <w:uiPriority w:val="0"/>
  </w:style>
  <w:style w:type="character" w:customStyle="1" w:styleId="398">
    <w:name w:val="0 1级标题1 字符"/>
    <w:basedOn w:val="104"/>
    <w:link w:val="395"/>
    <w:qFormat/>
    <w:uiPriority w:val="0"/>
    <w:rPr>
      <w:rFonts w:ascii="黑体" w:hAnsi="黑体" w:eastAsia="黑体"/>
      <w:b/>
      <w:kern w:val="44"/>
      <w:sz w:val="21"/>
      <w:szCs w:val="21"/>
    </w:rPr>
  </w:style>
  <w:style w:type="character" w:customStyle="1" w:styleId="399">
    <w:name w:val="0 2级标题1 字符"/>
    <w:basedOn w:val="287"/>
    <w:link w:val="397"/>
    <w:qFormat/>
    <w:uiPriority w:val="0"/>
    <w:rPr>
      <w:rFonts w:ascii="黑体" w:hAnsi="黑体" w:eastAsia="黑体"/>
      <w:kern w:val="2"/>
      <w:sz w:val="21"/>
      <w:szCs w:val="21"/>
    </w:rPr>
  </w:style>
  <w:style w:type="paragraph" w:customStyle="1" w:styleId="400">
    <w:name w:val="图表"/>
    <w:basedOn w:val="1"/>
    <w:next w:val="1"/>
    <w:qFormat/>
    <w:uiPriority w:val="0"/>
    <w:pPr>
      <w:adjustRightInd w:val="0"/>
      <w:snapToGrid w:val="0"/>
      <w:jc w:val="center"/>
    </w:pPr>
    <w:rPr>
      <w:rFonts w:ascii="仿宋_GB2312" w:hAnsi="仿宋_GB2312" w:eastAsia="仿宋_GB2312" w:cstheme="minorBidi"/>
      <w:sz w:val="24"/>
    </w:rPr>
  </w:style>
  <w:style w:type="table" w:customStyle="1" w:styleId="401">
    <w:name w:val="Table Normal"/>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402">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403">
    <w:name w:val="样式 wang正文 + 首行缩进:  2 字符1"/>
    <w:basedOn w:val="1"/>
    <w:qFormat/>
    <w:uiPriority w:val="0"/>
    <w:pPr>
      <w:tabs>
        <w:tab w:val="left" w:pos="6840"/>
      </w:tabs>
      <w:ind w:firstLine="640"/>
      <w:textAlignment w:val="baseline"/>
    </w:pPr>
    <w:rPr>
      <w:szCs w:val="21"/>
    </w:rPr>
  </w:style>
  <w:style w:type="paragraph" w:customStyle="1" w:styleId="404">
    <w:name w:val="ds-markdown-paragraph"/>
    <w:basedOn w:val="1"/>
    <w:qFormat/>
    <w:uiPriority w:val="0"/>
    <w:pPr>
      <w:widowControl/>
      <w:spacing w:before="100" w:beforeAutospacing="1" w:after="100" w:afterAutospacing="1"/>
      <w:jc w:val="left"/>
    </w:pPr>
    <w:rPr>
      <w:rFonts w:ascii="宋体" w:hAnsi="宋体" w:cs="宋体"/>
      <w:kern w:val="0"/>
      <w:sz w:val="24"/>
    </w:rPr>
  </w:style>
  <w:style w:type="paragraph" w:customStyle="1" w:styleId="405">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406">
    <w:name w:val="修订4"/>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file:///D:\WXwork\WXWork\1688854406624167\Cache\g8703\AppData\Local\Temp\&#20225;&#19994;&#24494;&#20449;&#25130;&#22270;_17706877157665.png" TargetMode="External"/><Relationship Id="rId25" Type="http://schemas.openxmlformats.org/officeDocument/2006/relationships/image" Target="media/image9.png"/><Relationship Id="rId24" Type="http://schemas.openxmlformats.org/officeDocument/2006/relationships/image" Target="file:///D:\WXwork\WXWork\1688854406624167\Cache\g8703\AppData\Local\Temp\&#20225;&#19994;&#24494;&#20449;&#25130;&#22270;_17706876093678.png" TargetMode="External"/><Relationship Id="rId23" Type="http://schemas.openxmlformats.org/officeDocument/2006/relationships/image" Target="media/image8.png"/><Relationship Id="rId22" Type="http://schemas.openxmlformats.org/officeDocument/2006/relationships/image" Target="media/image7.jpe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file:///D:\WXwork\WXWork\1688854406624167\Cache\Image\2025-03\&#30005;&#32518;.jpg" TargetMode="External"/><Relationship Id="rId18" Type="http://schemas.openxmlformats.org/officeDocument/2006/relationships/image" Target="media/image4.jpeg"/><Relationship Id="rId17" Type="http://schemas.openxmlformats.org/officeDocument/2006/relationships/image" Target="media/image3.emf"/><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1DA8B617-9B48-48E1-9E0A-BAF61303360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75</Pages>
  <Words>2623</Words>
  <Characters>3005</Characters>
  <Lines>780</Lines>
  <Paragraphs>219</Paragraphs>
  <TotalTime>4</TotalTime>
  <ScaleCrop>false</ScaleCrop>
  <LinksUpToDate>false</LinksUpToDate>
  <CharactersWithSpaces>3149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2026-06-16T02:40:00Z</dcterms:created>
  <dc:creator>Yan Luo</dc:creator>
  <cp:lastModifiedBy>李艳飞</cp:lastModifiedBy>
  <cp:lastPrinted>2026-06-15T16:51:00Z</cp:lastPrinted>
  <dcterms:modified xsi:type="dcterms:W3CDTF">2026-06-18T01:07:05Z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2052-12.1.0.26895</vt:lpwstr>
  </property>
  <property fmtid="{D5CDD505-2E9C-101B-9397-08002B2CF9AE}" pid="4" name="ICV">
    <vt:lpwstr>20115E4C2FE4496A9F31FAB5B6A00EE0_13</vt:lpwstr>
  </property>
  <property fmtid="{D5CDD505-2E9C-101B-9397-08002B2CF9AE}" pid="5" name="KSOTemplateDocerSaveRecord">
    <vt:lpwstr>eyJoZGlkIjoiODViY2JkMjU3NGYzZTEwMzZmMGFkZWViYmNkYWU3NDIiLCJ1c2VySWQiOiI0MTcwMDA3NTAifQ==</vt:lpwstr>
  </property>
</Properties>
</file>