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2"/>
        </w:numPr>
        <w:spacing w:line="360" w:lineRule="auto"/>
        <w:outlineLvl w:val="1"/>
        <w:rPr>
          <w:rFonts w:ascii="仿宋_GB2312" w:hAnsi="仿宋_GB2312" w:eastAsia="仿宋_GB2312" w:cs="仿宋_GB2312"/>
          <w:b/>
          <w:bCs/>
          <w:sz w:val="24"/>
        </w:rPr>
      </w:pPr>
      <w:r>
        <w:rPr>
          <w:rFonts w:hint="eastAsia" w:ascii="仿宋_GB2312" w:hAnsi="仿宋_GB2312" w:eastAsia="仿宋_GB2312" w:cs="仿宋_GB2312"/>
          <w:b/>
          <w:bCs/>
          <w:sz w:val="24"/>
        </w:rPr>
        <w:t>技术参数偏离表</w:t>
      </w:r>
    </w:p>
    <w:p>
      <w:pPr>
        <w:spacing w:line="360" w:lineRule="auto"/>
        <w:rPr>
          <w:rFonts w:ascii="仿宋_GB2312" w:hAnsi="仿宋_GB2312" w:eastAsia="仿宋_GB2312" w:cs="仿宋_GB2312"/>
          <w:i/>
          <w:iCs/>
          <w:color w:val="0000FF"/>
          <w:kern w:val="0"/>
          <w:sz w:val="24"/>
          <w:u w:val="single"/>
          <w:lang w:bidi="ar"/>
        </w:rPr>
      </w:pPr>
      <w:r>
        <w:rPr>
          <w:rFonts w:hint="eastAsia" w:ascii="仿宋_GB2312" w:hAnsi="仿宋_GB2312" w:eastAsia="仿宋_GB2312" w:cs="仿宋_GB2312"/>
          <w:i/>
          <w:iCs/>
          <w:color w:val="0000FF"/>
          <w:kern w:val="0"/>
          <w:sz w:val="24"/>
          <w:u w:val="single"/>
          <w:lang w:bidi="ar"/>
        </w:rPr>
        <w:t>（说明：根据技术参数偏离表的内容及要求，针对响应产品的技术参数响应情况、质保期响应情况、到货期响应情况进行逐条响应明确具体参数。提供盖章文件）</w:t>
      </w:r>
    </w:p>
    <w:p>
      <w:pPr>
        <w:pStyle w:val="29"/>
        <w:rPr>
          <w:b/>
          <w:bCs w:val="0"/>
        </w:rPr>
      </w:pPr>
      <w:r>
        <w:rPr>
          <w:rFonts w:hint="eastAsia"/>
          <w:b/>
          <w:bCs w:val="0"/>
        </w:rPr>
        <w:t>本项目采购的设备须满足自主可控要求。</w:t>
      </w:r>
    </w:p>
    <w:tbl>
      <w:tblPr>
        <w:tblStyle w:val="23"/>
        <w:tblW w:w="4997" w:type="pct"/>
        <w:tblInd w:w="0" w:type="dxa"/>
        <w:tblLayout w:type="autofit"/>
        <w:tblCellMar>
          <w:top w:w="0" w:type="dxa"/>
          <w:left w:w="0" w:type="dxa"/>
          <w:bottom w:w="0" w:type="dxa"/>
          <w:right w:w="0" w:type="dxa"/>
        </w:tblCellMar>
      </w:tblPr>
      <w:tblGrid>
        <w:gridCol w:w="277"/>
        <w:gridCol w:w="618"/>
        <w:gridCol w:w="420"/>
        <w:gridCol w:w="322"/>
        <w:gridCol w:w="392"/>
        <w:gridCol w:w="800"/>
        <w:gridCol w:w="898"/>
        <w:gridCol w:w="3849"/>
        <w:gridCol w:w="627"/>
        <w:gridCol w:w="772"/>
        <w:gridCol w:w="3620"/>
        <w:gridCol w:w="669"/>
        <w:gridCol w:w="716"/>
      </w:tblGrid>
      <w:tr>
        <w:tblPrEx>
          <w:tblCellMar>
            <w:top w:w="0" w:type="dxa"/>
            <w:left w:w="0" w:type="dxa"/>
            <w:bottom w:w="0" w:type="dxa"/>
            <w:right w:w="0" w:type="dxa"/>
          </w:tblCellMar>
        </w:tblPrEx>
        <w:trPr>
          <w:trHeight w:val="540" w:hRule="atLeast"/>
          <w:tblHeader/>
        </w:trPr>
        <w:tc>
          <w:tcPr>
            <w:tcW w:w="99"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序号</w:t>
            </w:r>
          </w:p>
        </w:tc>
        <w:tc>
          <w:tcPr>
            <w:tcW w:w="221"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项目</w:t>
            </w:r>
          </w:p>
        </w:tc>
        <w:tc>
          <w:tcPr>
            <w:tcW w:w="150"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产品名称</w:t>
            </w:r>
          </w:p>
        </w:tc>
        <w:tc>
          <w:tcPr>
            <w:tcW w:w="115"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数量</w:t>
            </w:r>
          </w:p>
        </w:tc>
        <w:tc>
          <w:tcPr>
            <w:tcW w:w="140"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单位</w:t>
            </w:r>
          </w:p>
        </w:tc>
        <w:tc>
          <w:tcPr>
            <w:tcW w:w="286"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hint="eastAsia" w:ascii="宋体" w:hAnsi="宋体" w:eastAsia="宋体" w:cs="宋体"/>
                <w:b/>
                <w:color w:val="000000"/>
                <w:kern w:val="0"/>
                <w:sz w:val="24"/>
                <w:lang w:val="en-US" w:eastAsia="zh-CN" w:bidi="ar"/>
              </w:rPr>
            </w:pPr>
            <w:r>
              <w:rPr>
                <w:rFonts w:hint="eastAsia" w:ascii="宋体" w:hAnsi="宋体" w:eastAsia="宋体" w:cs="宋体"/>
                <w:b/>
                <w:color w:val="000000"/>
                <w:kern w:val="0"/>
                <w:sz w:val="24"/>
                <w:lang w:val="en-US" w:eastAsia="zh-CN" w:bidi="ar"/>
              </w:rPr>
              <w:t>技术指标</w:t>
            </w:r>
          </w:p>
        </w:tc>
        <w:tc>
          <w:tcPr>
            <w:tcW w:w="321"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hint="eastAsia" w:ascii="宋体" w:hAnsi="宋体" w:eastAsia="宋体" w:cs="宋体"/>
                <w:b/>
                <w:color w:val="000000"/>
                <w:kern w:val="0"/>
                <w:sz w:val="24"/>
                <w:lang w:val="en-US" w:eastAsia="zh-CN" w:bidi="ar"/>
              </w:rPr>
            </w:pPr>
            <w:r>
              <w:rPr>
                <w:rFonts w:hint="eastAsia" w:ascii="宋体" w:hAnsi="宋体" w:eastAsia="宋体" w:cs="宋体"/>
                <w:b/>
                <w:color w:val="000000"/>
                <w:kern w:val="0"/>
                <w:sz w:val="24"/>
                <w:lang w:val="en-US" w:eastAsia="zh-CN" w:bidi="ar"/>
              </w:rPr>
              <w:t>技术指标子项</w:t>
            </w:r>
          </w:p>
        </w:tc>
        <w:tc>
          <w:tcPr>
            <w:tcW w:w="1376"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hint="eastAsia" w:ascii="宋体" w:hAnsi="宋体" w:eastAsia="宋体" w:cs="宋体"/>
                <w:b/>
                <w:color w:val="000000"/>
                <w:kern w:val="0"/>
                <w:sz w:val="24"/>
                <w:lang w:val="en-US" w:eastAsia="zh-CN" w:bidi="ar"/>
              </w:rPr>
            </w:pPr>
            <w:r>
              <w:rPr>
                <w:rFonts w:hint="eastAsia" w:ascii="宋体" w:hAnsi="宋体" w:eastAsia="宋体" w:cs="宋体"/>
                <w:b/>
                <w:color w:val="000000"/>
                <w:kern w:val="0"/>
                <w:sz w:val="24"/>
                <w:lang w:val="en-US" w:eastAsia="zh-CN" w:bidi="ar"/>
              </w:rPr>
              <w:t>技术参数</w:t>
            </w:r>
            <w:r>
              <w:rPr>
                <w:rFonts w:hint="eastAsia" w:ascii="宋体" w:hAnsi="宋体" w:eastAsia="宋体" w:cs="宋体"/>
                <w:b/>
                <w:color w:val="000000"/>
                <w:kern w:val="0"/>
                <w:sz w:val="24"/>
                <w:lang w:bidi="ar"/>
              </w:rPr>
              <w:t>要求</w:t>
            </w:r>
          </w:p>
        </w:tc>
        <w:tc>
          <w:tcPr>
            <w:tcW w:w="224"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质保期要求</w:t>
            </w:r>
          </w:p>
        </w:tc>
        <w:tc>
          <w:tcPr>
            <w:tcW w:w="276"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到货期要求</w:t>
            </w:r>
          </w:p>
        </w:tc>
        <w:tc>
          <w:tcPr>
            <w:tcW w:w="1294"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参数响应情况</w:t>
            </w:r>
          </w:p>
        </w:tc>
        <w:tc>
          <w:tcPr>
            <w:tcW w:w="239"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质保期响应情况</w:t>
            </w:r>
          </w:p>
        </w:tc>
        <w:tc>
          <w:tcPr>
            <w:tcW w:w="256" w:type="pct"/>
            <w:tcBorders>
              <w:top w:val="single" w:color="auto" w:sz="4" w:space="0"/>
              <w:left w:val="single" w:color="auto" w:sz="4" w:space="0"/>
              <w:bottom w:val="single" w:color="auto" w:sz="4" w:space="0"/>
              <w:right w:val="single" w:color="auto"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到货期响应情况</w:t>
            </w:r>
          </w:p>
        </w:tc>
      </w:tr>
      <w:tr>
        <w:tblPrEx>
          <w:tblCellMar>
            <w:top w:w="0" w:type="dxa"/>
            <w:left w:w="0" w:type="dxa"/>
            <w:bottom w:w="0" w:type="dxa"/>
            <w:right w:w="0" w:type="dxa"/>
          </w:tblCellMar>
        </w:tblPrEx>
        <w:trPr>
          <w:trHeight w:val="916" w:hRule="atLeast"/>
        </w:trPr>
        <w:tc>
          <w:tcPr>
            <w:tcW w:w="99" w:type="pct"/>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221" w:type="pct"/>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lang w:eastAsia="zh-CN" w:bidi="ar"/>
              </w:rPr>
            </w:pPr>
            <w:r>
              <w:rPr>
                <w:rFonts w:hint="eastAsia" w:ascii="宋体" w:hAnsi="宋体" w:eastAsia="宋体" w:cs="宋体"/>
                <w:color w:val="000000"/>
                <w:sz w:val="24"/>
                <w:lang w:eastAsia="zh-CN"/>
              </w:rPr>
              <w:t>2026年南方电网数字电网集团有限公司深圳分公司</w:t>
            </w:r>
            <w:r>
              <w:rPr>
                <w:rFonts w:hint="eastAsia" w:ascii="宋体" w:hAnsi="宋体" w:eastAsia="宋体" w:cs="宋体"/>
                <w:color w:val="000000"/>
                <w:sz w:val="24"/>
                <w:lang w:val="en-US" w:eastAsia="zh-CN"/>
              </w:rPr>
              <w:t>网络隔离设备</w:t>
            </w:r>
            <w:r>
              <w:rPr>
                <w:rFonts w:hint="eastAsia" w:ascii="宋体" w:hAnsi="宋体" w:eastAsia="宋体" w:cs="宋体"/>
                <w:color w:val="000000"/>
                <w:sz w:val="24"/>
                <w:lang w:eastAsia="zh-CN"/>
              </w:rPr>
              <w:t>投标寻源项目</w:t>
            </w:r>
          </w:p>
        </w:tc>
        <w:tc>
          <w:tcPr>
            <w:tcW w:w="150" w:type="pct"/>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sz w:val="24"/>
                <w:lang w:val="en-US" w:eastAsia="zh-CN"/>
              </w:rPr>
              <w:t>网络隔离设备</w:t>
            </w:r>
          </w:p>
        </w:tc>
        <w:tc>
          <w:tcPr>
            <w:tcW w:w="115" w:type="pct"/>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highlight w:val="none"/>
                <w:lang w:eastAsia="zh-CN" w:bidi="ar"/>
              </w:rPr>
            </w:pPr>
            <w:r>
              <w:rPr>
                <w:rFonts w:hint="eastAsia" w:ascii="宋体" w:hAnsi="宋体" w:eastAsia="宋体" w:cs="宋体"/>
                <w:color w:val="000000"/>
                <w:kern w:val="0"/>
                <w:sz w:val="22"/>
                <w:szCs w:val="22"/>
                <w:highlight w:val="none"/>
                <w:lang w:val="en-US" w:eastAsia="zh-CN" w:bidi="ar"/>
              </w:rPr>
              <w:t>2</w:t>
            </w:r>
          </w:p>
        </w:tc>
        <w:tc>
          <w:tcPr>
            <w:tcW w:w="140" w:type="pct"/>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lang w:val="en-US" w:eastAsia="zh-CN" w:bidi="ar"/>
              </w:rPr>
            </w:pPr>
            <w:r>
              <w:rPr>
                <w:rFonts w:hint="eastAsia" w:ascii="宋体" w:hAnsi="宋体" w:eastAsia="宋体" w:cs="宋体"/>
                <w:color w:val="000000"/>
                <w:kern w:val="0"/>
                <w:sz w:val="24"/>
                <w:lang w:val="en-US" w:eastAsia="zh-CN" w:bidi="ar"/>
              </w:rPr>
              <w:t>套</w:t>
            </w:r>
          </w:p>
        </w:tc>
        <w:tc>
          <w:tcPr>
            <w:tcW w:w="286"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安全要求</w:t>
            </w:r>
          </w:p>
        </w:tc>
        <w:tc>
          <w:tcPr>
            <w:tcW w:w="321"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安全要求</w:t>
            </w:r>
          </w:p>
        </w:tc>
        <w:tc>
          <w:tcPr>
            <w:tcW w:w="1376"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top"/>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1.投标产品标准不低于《通用服务器政府采购需求标准（2023 版）》要求，详见中国信息安全测评中心（www.itsec.gov.cn）和国家保密科技测评中心（www.nsstec.org.cn）公告结果。</w:t>
            </w:r>
          </w:p>
          <w:p>
            <w:pP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2.CPU和操作系统应当符合安全可靠测评要求。</w:t>
            </w:r>
          </w:p>
        </w:tc>
        <w:tc>
          <w:tcPr>
            <w:tcW w:w="224" w:type="pct"/>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4"/>
              </w:rPr>
            </w:pPr>
            <w:r>
              <w:rPr>
                <w:rFonts w:hint="eastAsia" w:ascii="宋体" w:hAnsi="宋体" w:eastAsia="宋体" w:cs="宋体"/>
                <w:sz w:val="24"/>
              </w:rPr>
              <w:t>3年</w:t>
            </w:r>
          </w:p>
        </w:tc>
        <w:tc>
          <w:tcPr>
            <w:tcW w:w="276" w:type="pct"/>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highlight w:val="none"/>
                <w:lang w:bidi="ar"/>
              </w:rPr>
              <w:t>合同签订后30日内</w:t>
            </w:r>
          </w:p>
        </w:tc>
        <w:tc>
          <w:tcPr>
            <w:tcW w:w="129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24"/>
              </w:rPr>
            </w:pPr>
            <w:bookmarkStart w:id="0" w:name="_GoBack"/>
            <w:bookmarkEnd w:id="0"/>
          </w:p>
        </w:tc>
        <w:tc>
          <w:tcPr>
            <w:tcW w:w="239" w:type="pct"/>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256" w:type="pct"/>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728" w:hRule="atLeast"/>
        </w:trPr>
        <w:tc>
          <w:tcPr>
            <w:tcW w:w="99"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21"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50"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15"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40"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86"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kern w:val="2"/>
                <w:sz w:val="21"/>
                <w:szCs w:val="21"/>
                <w:highlight w:val="none"/>
                <w:lang w:val="en-US" w:eastAsia="zh-CN" w:bidi="ar-SA"/>
              </w:rPr>
            </w:pPr>
            <w:r>
              <w:rPr>
                <w:rFonts w:hint="eastAsia" w:ascii="宋体" w:hAnsi="宋体" w:cs="宋体"/>
                <w:sz w:val="21"/>
                <w:szCs w:val="21"/>
                <w:highlight w:val="none"/>
              </w:rPr>
              <w:t>整体性能要求</w:t>
            </w:r>
          </w:p>
        </w:tc>
        <w:tc>
          <w:tcPr>
            <w:tcW w:w="321"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kern w:val="2"/>
                <w:sz w:val="21"/>
                <w:szCs w:val="21"/>
                <w:highlight w:val="none"/>
                <w:lang w:val="en-US" w:eastAsia="zh-CN" w:bidi="ar-SA"/>
              </w:rPr>
            </w:pPr>
            <w:r>
              <w:rPr>
                <w:rFonts w:hint="eastAsia" w:ascii="宋体" w:hAnsi="宋体" w:cs="宋体"/>
                <w:sz w:val="21"/>
                <w:szCs w:val="21"/>
                <w:highlight w:val="none"/>
              </w:rPr>
              <w:t>性能要求</w:t>
            </w:r>
          </w:p>
        </w:tc>
        <w:tc>
          <w:tcPr>
            <w:tcW w:w="1376"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kern w:val="2"/>
                <w:sz w:val="21"/>
                <w:szCs w:val="21"/>
                <w:highlight w:val="none"/>
                <w:lang w:val="en-US" w:eastAsia="zh-CN" w:bidi="ar-SA"/>
              </w:rPr>
            </w:pPr>
            <w:r>
              <w:rPr>
                <w:rFonts w:hint="eastAsia" w:ascii="宋体" w:hAnsi="宋体" w:cs="宋体"/>
                <w:sz w:val="21"/>
                <w:szCs w:val="21"/>
                <w:highlight w:val="none"/>
              </w:rPr>
              <w:t>▲吞吐量≥10Gbps；并发连接数≥100万；文件单向传输性能≥300MB/s；数据库交换性能≥10000条/s；150 万条混合数据（10KB）平均耗时＜ 90s；视频接入带宽≥6Gbps。</w:t>
            </w:r>
          </w:p>
        </w:tc>
        <w:tc>
          <w:tcPr>
            <w:tcW w:w="224"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482" w:hRule="atLeast"/>
        </w:trPr>
        <w:tc>
          <w:tcPr>
            <w:tcW w:w="99"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21"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50"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15"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40"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86"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z w:val="21"/>
                <w:szCs w:val="21"/>
                <w:highlight w:val="none"/>
              </w:rPr>
              <w:t>单向光闸</w:t>
            </w:r>
            <w:r>
              <w:rPr>
                <w:rFonts w:hint="eastAsia" w:ascii="宋体" w:hAnsi="宋体" w:cs="宋体"/>
                <w:sz w:val="21"/>
                <w:szCs w:val="21"/>
                <w:highlight w:val="none"/>
                <w:lang w:val="en-US" w:eastAsia="zh-CN"/>
              </w:rPr>
              <w:t>组件</w:t>
            </w:r>
            <w:r>
              <w:rPr>
                <w:rFonts w:hint="eastAsia" w:cs="宋体"/>
                <w:sz w:val="21"/>
                <w:szCs w:val="21"/>
                <w:highlight w:val="none"/>
              </w:rPr>
              <w:t>技术要求</w:t>
            </w:r>
          </w:p>
        </w:tc>
        <w:tc>
          <w:tcPr>
            <w:tcW w:w="321"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cs="宋体"/>
                <w:sz w:val="21"/>
                <w:szCs w:val="21"/>
                <w:highlight w:val="none"/>
              </w:rPr>
              <w:t>隔离摆渡</w:t>
            </w:r>
          </w:p>
        </w:tc>
        <w:tc>
          <w:tcPr>
            <w:tcW w:w="1376"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w:t>
            </w:r>
            <w:r>
              <w:rPr>
                <w:rFonts w:hint="eastAsia" w:ascii="宋体" w:hAnsi="宋体" w:cs="宋体"/>
                <w:snapToGrid w:val="0"/>
                <w:color w:val="000000"/>
                <w:kern w:val="2"/>
                <w:sz w:val="21"/>
                <w:szCs w:val="21"/>
                <w:highlight w:val="none"/>
              </w:rPr>
              <w:t>具备冗余电源，万兆SFP+光口≥8，专用管理接口≥2，液晶显示屏≥1；</w:t>
            </w:r>
          </w:p>
        </w:tc>
        <w:tc>
          <w:tcPr>
            <w:tcW w:w="224"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728" w:hRule="atLeast"/>
        </w:trPr>
        <w:tc>
          <w:tcPr>
            <w:tcW w:w="99"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21"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50"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15"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40"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w:t>
            </w:r>
            <w:r>
              <w:rPr>
                <w:rFonts w:hint="eastAsia" w:ascii="宋体" w:hAnsi="宋体" w:cs="宋体"/>
                <w:snapToGrid w:val="0"/>
                <w:color w:val="000000"/>
                <w:kern w:val="2"/>
                <w:sz w:val="21"/>
                <w:szCs w:val="21"/>
                <w:highlight w:val="none"/>
              </w:rPr>
              <w:t>硬件规格：设备由内外端主机构成，内外端主机均采用国产化FPGA专用网络隔离芯片实现网络数据收发、安全处理和单向传输等全部隔离摆渡功能，设备内外端主机不依赖任何通用CPU，无任何操作系统，无板载或插拔式内存和硬盘。</w:t>
            </w:r>
            <w:r>
              <w:rPr>
                <w:rFonts w:hint="eastAsia" w:ascii="宋体" w:hAnsi="宋体" w:cs="宋体"/>
                <w:sz w:val="21"/>
                <w:szCs w:val="21"/>
                <w:highlight w:val="none"/>
              </w:rPr>
              <w:t>（须提供权威第三方检测报告作为证明材料）</w:t>
            </w:r>
          </w:p>
        </w:tc>
        <w:tc>
          <w:tcPr>
            <w:tcW w:w="224"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21"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50"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15"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40"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napToGrid w:val="0"/>
                <w:color w:val="000000"/>
                <w:kern w:val="2"/>
                <w:sz w:val="21"/>
                <w:szCs w:val="21"/>
                <w:highlight w:val="none"/>
              </w:rPr>
              <w:t>FPGA专用网络隔离芯片提供双光纤隔离通道实现内外端主机间双单向数据传输，且双光纤隔离通道具备传输通道冗余备份功能，当主光纤通道断开时，备份光纤通道能保障数据正常传输。</w:t>
            </w:r>
          </w:p>
        </w:tc>
        <w:tc>
          <w:tcPr>
            <w:tcW w:w="224"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napToGrid w:val="0"/>
                <w:color w:val="000000"/>
                <w:kern w:val="2"/>
                <w:sz w:val="21"/>
                <w:szCs w:val="21"/>
                <w:highlight w:val="none"/>
              </w:rPr>
              <w:t>基于硬件的安全启动机制，在启动过程中验证每个组件的完整性和合法性，完成验证内部的签名合法才完成启动。</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napToGrid w:val="0"/>
                <w:color w:val="000000"/>
                <w:kern w:val="2"/>
                <w:sz w:val="21"/>
                <w:szCs w:val="21"/>
                <w:highlight w:val="none"/>
              </w:rPr>
              <w:t>整机网络接口全部集成在国产FPGA专用网络隔离芯片中，设备不采用其他任何网络芯片。</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napToGrid w:val="0"/>
                <w:color w:val="000000"/>
                <w:kern w:val="2"/>
                <w:sz w:val="21"/>
                <w:szCs w:val="21"/>
                <w:highlight w:val="none"/>
              </w:rPr>
              <w:t>隔离装置提供专用安全SDK与内外网交换平台中的“数据安全交换组件”进行对接，通过私有协议加密数据通道进行双单向数据传输。</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restar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z w:val="21"/>
                <w:szCs w:val="21"/>
                <w:highlight w:val="none"/>
              </w:rPr>
              <w:t>数据安全交换</w:t>
            </w:r>
            <w:r>
              <w:rPr>
                <w:rFonts w:hint="eastAsia" w:ascii="宋体" w:hAnsi="宋体" w:cs="宋体"/>
                <w:sz w:val="21"/>
                <w:szCs w:val="21"/>
                <w:highlight w:val="none"/>
                <w:lang w:val="en-US" w:eastAsia="zh-CN"/>
              </w:rPr>
              <w:t>组件</w:t>
            </w:r>
            <w:r>
              <w:rPr>
                <w:rFonts w:hint="eastAsia" w:cs="宋体"/>
                <w:sz w:val="21"/>
                <w:szCs w:val="21"/>
                <w:highlight w:val="none"/>
              </w:rPr>
              <w:t>技术要求</w:t>
            </w:r>
          </w:p>
        </w:tc>
        <w:tc>
          <w:tcPr>
            <w:tcW w:w="321"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napToGrid w:val="0"/>
                <w:color w:val="000000"/>
                <w:kern w:val="2"/>
                <w:sz w:val="21"/>
                <w:szCs w:val="21"/>
                <w:highlight w:val="none"/>
              </w:rPr>
              <w:t>接口配置</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napToGrid w:val="0"/>
                <w:color w:val="000000"/>
                <w:kern w:val="2"/>
                <w:sz w:val="21"/>
                <w:szCs w:val="21"/>
                <w:highlight w:val="none"/>
              </w:rPr>
              <w:t>机架式，具备冗余电源，千兆电口≥6，万兆SFP+光口≥4，串行接口≥1。</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restar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z w:val="21"/>
                <w:szCs w:val="21"/>
                <w:highlight w:val="none"/>
              </w:rPr>
              <w:t>非结构化数据交换通道</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支持本地FTP、本地SFTP、本地SMB、远程SFTP、远程FTP、FTPS、HDFS进行文件交换同步。</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在FTP同步方式下对同步文件的恶意代码检查功能，能够将包含恶意代码的文件进行隔离；通过设置黑名单能够对同步的文件名和文件内容关键字过滤，通过设置黑白名单对具有特定后缀的文件进行过滤，对文件特征进行过滤，支持txt、pdf、xls、xlsx、doc格式文件；（须提供权威第三方检测报告作为证明材料）</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具备文件特征识别功能，能针对新的特征文件进行系统自动学习和识别；具备文件名和文件内容过滤；具备文件大小、文件病毒过滤；</w:t>
            </w:r>
            <w:r>
              <w:rPr>
                <w:rFonts w:hint="eastAsia" w:ascii="宋体" w:hAnsi="宋体" w:cs="宋体"/>
                <w:color w:val="000000"/>
                <w:highlight w:val="none"/>
                <w:lang w:bidi="ar"/>
              </w:rPr>
              <w:t xml:space="preserve"> </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支持多套链路协同工作，共同承载文件传输业务，实现多链路业务负载均衡。</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restar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z w:val="21"/>
                <w:szCs w:val="21"/>
                <w:highlight w:val="none"/>
              </w:rPr>
              <w:t>结构化数据交换通道</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▲支持主流数据库Oracle、SQL Server 、Sybase、 MYSQL、POSTGRESQL以及国产数据库(武汉达梦、人大金仓KINGBASE、南大通用GBASE、瀚高数据库、GaussDB)的同步，且对数据库所在操作系统无要求；支持redis、elasticsearch非关系型数据库同步；</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支持全表同步、增量同步模式，支持实时同步，支持一对一、一对多数据库表同步:支持数据库自定义字段的同步，用户可自定义需要同步的字段。</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支持各种数据库之间的异构同步，包括：不同数据库、异构表名、异构字段名、异构字段类型、异构字段顺序转换、支持 BLOB、 CLOB、TEXT、IMAGE 等大字段的异构。</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restar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z w:val="21"/>
                <w:szCs w:val="21"/>
                <w:highlight w:val="none"/>
              </w:rPr>
              <w:t>定制协议数据交换通道</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支持以Webservice接口形式传输短信息、结构化数据的混合数据同步交换；接口服务支持soap1.1/soap1.2协议。</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支持将请求和应答报文落地为xml文件进行跨网交换；支持唯一Token认证，仅认证通过的应用可进行数据安全交互。</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支持定制协议Webservice接口同步阻塞数据交换方式、支持通过定制协议Webservice进行500MB以上文件传输；（须提供权威第三方检测报告作为证明材料）</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restar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z w:val="21"/>
                <w:szCs w:val="21"/>
                <w:highlight w:val="none"/>
              </w:rPr>
              <w:t>视频互联数据安全交换通道</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支持视频编码格式支持检查</w:t>
            </w:r>
            <w:r>
              <w:rPr>
                <w:rFonts w:hint="eastAsia" w:cs="宋体"/>
                <w:sz w:val="21"/>
                <w:szCs w:val="21"/>
                <w:highlight w:val="none"/>
              </w:rPr>
              <w:t>；</w:t>
            </w:r>
            <w:r>
              <w:rPr>
                <w:rFonts w:hint="eastAsia" w:ascii="宋体" w:hAnsi="宋体" w:cs="宋体"/>
                <w:sz w:val="21"/>
                <w:szCs w:val="21"/>
                <w:highlight w:val="none"/>
              </w:rPr>
              <w:t>支持视频协议自学习模式；支持对视频设备进行IP+MAC、硬件特征值的接入认证；支持视频流插帧，可设置插帧频率；</w:t>
            </w:r>
            <w:r>
              <w:rPr>
                <w:rFonts w:hint="eastAsia" w:ascii="宋体" w:hAnsi="宋体" w:cs="宋体"/>
                <w:color w:val="000000"/>
                <w:highlight w:val="none"/>
                <w:lang w:bidi="ar"/>
              </w:rPr>
              <w:t xml:space="preserve"> </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支持海康、高新兴、海信、金鹏、贝尔、华三、科达、大华、佳都新泰、烽火等主流视频厂商视频服务接入交换；</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至少支持SIP、PSIP、GB28181、GB35114、RTSP等视频协议中的三种</w:t>
            </w:r>
            <w:r>
              <w:rPr>
                <w:rFonts w:hint="eastAsia" w:cs="宋体"/>
                <w:sz w:val="21"/>
                <w:szCs w:val="21"/>
                <w:highlight w:val="none"/>
              </w:rPr>
              <w:t>；至少</w:t>
            </w:r>
            <w:r>
              <w:rPr>
                <w:rFonts w:hint="eastAsia" w:ascii="宋体" w:hAnsi="宋体" w:cs="宋体"/>
                <w:sz w:val="21"/>
                <w:szCs w:val="21"/>
                <w:highlight w:val="none"/>
              </w:rPr>
              <w:t>支持H264、H232、3GP、MP4、MPEG、H265等视频编码格式中的四种；</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restar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z w:val="21"/>
                <w:szCs w:val="21"/>
                <w:highlight w:val="none"/>
              </w:rPr>
              <w:t>高强度安全交换通道</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支持自定义tcp/udp协议转换交换传输；支持端口范围的代理策略，支持规则自定义转换接收IP、端口，转发IP、端口；</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支持配置源地址转换规则，可以根据源地址，目标地址或出口，对数据包进行相应的源地址转换支持根据网络的接口，访问的接口IP，目的端口等选择转发到某个IP的特定端口</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支持协议标识过滤（ACK、FIN、PSH、RST、SYN），仅允许符合要求的标识的数据包传输；</w:t>
            </w:r>
            <w:r>
              <w:rPr>
                <w:rFonts w:hint="eastAsia" w:ascii="宋体" w:hAnsi="宋体" w:cs="宋体"/>
                <w:color w:val="000000"/>
                <w:highlight w:val="none"/>
                <w:lang w:bidi="ar"/>
              </w:rPr>
              <w:t xml:space="preserve"> </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restar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cs="宋体"/>
                <w:sz w:val="21"/>
                <w:szCs w:val="21"/>
                <w:highlight w:val="none"/>
              </w:rPr>
              <w:t>系统管理</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napToGrid w:val="0"/>
                <w:color w:val="000000"/>
                <w:kern w:val="2"/>
                <w:sz w:val="21"/>
                <w:szCs w:val="21"/>
                <w:highlight w:val="none"/>
              </w:rPr>
              <w:t>支持对系统CPU使用率、内存使用率、磁盘使用率、接口名称、接口IP、接口状态等运行状态进行监测。支持对系统名称、系统版本、运行时长、当前日期/时间、最后配置更改时间等系统信息进行展示。</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napToGrid w:val="0"/>
                <w:color w:val="000000"/>
                <w:kern w:val="2"/>
                <w:sz w:val="21"/>
                <w:szCs w:val="21"/>
                <w:highlight w:val="none"/>
              </w:rPr>
              <w:t>支持在线对系统程序或系统内核进行升级，升级过程中无需重启设备，不会中断业务。</w:t>
            </w:r>
            <w:r>
              <w:rPr>
                <w:rFonts w:hint="eastAsia" w:ascii="宋体" w:hAnsi="宋体" w:cs="宋体"/>
                <w:sz w:val="21"/>
                <w:szCs w:val="21"/>
                <w:highlight w:val="none"/>
              </w:rPr>
              <w:t>（须提供权威第三方检测报告作为证明材料）</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restar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z w:val="21"/>
                <w:szCs w:val="21"/>
                <w:highlight w:val="none"/>
              </w:rPr>
              <w:t>负载均衡</w:t>
            </w:r>
            <w:r>
              <w:rPr>
                <w:rFonts w:hint="eastAsia" w:ascii="宋体" w:hAnsi="宋体" w:cs="宋体"/>
                <w:sz w:val="21"/>
                <w:szCs w:val="21"/>
                <w:highlight w:val="none"/>
                <w:lang w:val="en-US" w:eastAsia="zh-CN"/>
              </w:rPr>
              <w:t>组件</w:t>
            </w:r>
            <w:r>
              <w:rPr>
                <w:rFonts w:hint="eastAsia" w:cs="宋体"/>
                <w:sz w:val="21"/>
                <w:szCs w:val="21"/>
                <w:highlight w:val="none"/>
              </w:rPr>
              <w:t>技术要求</w:t>
            </w:r>
          </w:p>
        </w:tc>
        <w:tc>
          <w:tcPr>
            <w:tcW w:w="321"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cs="宋体"/>
                <w:sz w:val="21"/>
                <w:szCs w:val="21"/>
                <w:highlight w:val="none"/>
              </w:rPr>
              <w:t>接口配置</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napToGrid w:val="0"/>
                <w:color w:val="000000"/>
                <w:kern w:val="2"/>
                <w:sz w:val="21"/>
                <w:szCs w:val="21"/>
                <w:highlight w:val="none"/>
              </w:rPr>
              <w:t>机架式，具备冗余电源；接口：千兆电口≥6，万兆SFP+光口≥2，串行接口≥1。</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restar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z w:val="21"/>
                <w:szCs w:val="21"/>
                <w:highlight w:val="none"/>
              </w:rPr>
              <w:t>应用功能</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系统支持负载均衡模块，内置多个负载驱动（LLB、HLB、NLB），可根据具体协议选择不同的负载驱动</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具备集群管理能力，具备与数据安全交换</w:t>
            </w:r>
            <w:r>
              <w:rPr>
                <w:rFonts w:hint="eastAsia" w:cs="宋体"/>
                <w:sz w:val="21"/>
                <w:szCs w:val="21"/>
                <w:highlight w:val="none"/>
              </w:rPr>
              <w:t>组件</w:t>
            </w:r>
            <w:r>
              <w:rPr>
                <w:rFonts w:hint="eastAsia" w:ascii="宋体" w:hAnsi="宋体" w:cs="宋体"/>
                <w:sz w:val="21"/>
                <w:szCs w:val="21"/>
                <w:highlight w:val="none"/>
              </w:rPr>
              <w:t>之间的集群服务接口，管理数据安全交换系统集群。</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具备集群故障热迁移能力，能够将集群中故障设备移出集群，并将其数据交换任务热迁移到其它正常运行设备；</w:t>
            </w:r>
            <w:r>
              <w:rPr>
                <w:rFonts w:hint="eastAsia" w:ascii="宋体" w:hAnsi="宋体" w:cs="宋体"/>
                <w:color w:val="000000"/>
                <w:highlight w:val="none"/>
                <w:lang w:bidi="ar"/>
              </w:rPr>
              <w:t xml:space="preserve"> </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08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restar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z w:val="21"/>
                <w:szCs w:val="21"/>
                <w:highlight w:val="none"/>
              </w:rPr>
              <w:t>数据缓存</w:t>
            </w:r>
            <w:r>
              <w:rPr>
                <w:rFonts w:hint="eastAsia" w:ascii="宋体" w:hAnsi="宋体" w:cs="宋体"/>
                <w:sz w:val="21"/>
                <w:szCs w:val="21"/>
                <w:highlight w:val="none"/>
                <w:lang w:val="en-US" w:eastAsia="zh-CN"/>
              </w:rPr>
              <w:t>组件</w:t>
            </w:r>
            <w:r>
              <w:rPr>
                <w:rFonts w:hint="eastAsia" w:cs="宋体"/>
                <w:sz w:val="21"/>
                <w:szCs w:val="21"/>
                <w:highlight w:val="none"/>
              </w:rPr>
              <w:t>技术要求</w:t>
            </w:r>
          </w:p>
        </w:tc>
        <w:tc>
          <w:tcPr>
            <w:tcW w:w="321"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cs="宋体"/>
                <w:sz w:val="21"/>
                <w:szCs w:val="21"/>
                <w:highlight w:val="none"/>
              </w:rPr>
              <w:t>接口配置</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napToGrid w:val="0"/>
                <w:color w:val="000000"/>
                <w:kern w:val="2"/>
                <w:sz w:val="21"/>
                <w:szCs w:val="21"/>
                <w:highlight w:val="none"/>
              </w:rPr>
              <w:t>机架式，具备冗余电源；接口：千兆电口≥6，万兆SFP+光口≥2，串行接口≥1。</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712"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restar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r>
              <w:rPr>
                <w:rFonts w:hint="eastAsia" w:ascii="宋体" w:hAnsi="宋体" w:cs="宋体"/>
                <w:sz w:val="21"/>
                <w:szCs w:val="21"/>
                <w:highlight w:val="none"/>
              </w:rPr>
              <w:t>缓存功能</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具备与数据安全交换系统对接，提供数据存取服务；</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80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具备SMB、FTP、SFTP等文件缓存服务；</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886"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321" w:type="pct"/>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b/>
                <w:bCs/>
                <w:color w:val="000000"/>
                <w:kern w:val="2"/>
                <w:sz w:val="21"/>
                <w:szCs w:val="24"/>
                <w:highlight w:val="none"/>
                <w:lang w:val="en-US" w:eastAsia="zh-CN" w:bidi="ar"/>
              </w:rPr>
            </w:pP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具备缓存数据库，支持主流数据库缓存服务。</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273" w:hRule="atLeast"/>
        </w:trPr>
        <w:tc>
          <w:tcPr>
            <w:tcW w:w="99" w:type="pct"/>
            <w:vMerge w:val="continue"/>
            <w:tcBorders>
              <w:left w:val="single" w:color="auto" w:sz="4" w:space="0"/>
              <w:right w:val="single" w:color="auto" w:sz="4" w:space="0"/>
            </w:tcBorders>
          </w:tcPr>
          <w:p>
            <w:pPr>
              <w:rPr>
                <w:rFonts w:hint="eastAsia" w:ascii="宋体" w:hAnsi="宋体" w:eastAsia="宋体" w:cs="宋体"/>
              </w:rPr>
            </w:pPr>
          </w:p>
        </w:tc>
        <w:tc>
          <w:tcPr>
            <w:tcW w:w="221" w:type="pct"/>
            <w:vMerge w:val="continue"/>
            <w:tcBorders>
              <w:left w:val="single" w:color="auto" w:sz="4" w:space="0"/>
              <w:right w:val="single" w:color="auto" w:sz="4" w:space="0"/>
            </w:tcBorders>
          </w:tcPr>
          <w:p>
            <w:pPr>
              <w:rPr>
                <w:rFonts w:hint="eastAsia" w:ascii="宋体" w:hAnsi="宋体" w:eastAsia="宋体" w:cs="宋体"/>
              </w:rPr>
            </w:pPr>
          </w:p>
        </w:tc>
        <w:tc>
          <w:tcPr>
            <w:tcW w:w="150" w:type="pct"/>
            <w:vMerge w:val="continue"/>
            <w:tcBorders>
              <w:left w:val="single" w:color="auto" w:sz="4" w:space="0"/>
              <w:right w:val="single" w:color="auto" w:sz="4" w:space="0"/>
            </w:tcBorders>
          </w:tcPr>
          <w:p>
            <w:pPr>
              <w:rPr>
                <w:rFonts w:hint="eastAsia" w:ascii="宋体" w:hAnsi="宋体" w:eastAsia="宋体" w:cs="宋体"/>
              </w:rPr>
            </w:pPr>
          </w:p>
        </w:tc>
        <w:tc>
          <w:tcPr>
            <w:tcW w:w="115" w:type="pct"/>
            <w:vMerge w:val="continue"/>
            <w:tcBorders>
              <w:left w:val="single" w:color="auto" w:sz="4" w:space="0"/>
              <w:right w:val="single" w:color="auto" w:sz="4" w:space="0"/>
            </w:tcBorders>
          </w:tcPr>
          <w:p>
            <w:pPr>
              <w:rPr>
                <w:rFonts w:hint="eastAsia" w:ascii="宋体" w:hAnsi="宋体" w:eastAsia="宋体" w:cs="宋体"/>
              </w:rPr>
            </w:pPr>
          </w:p>
        </w:tc>
        <w:tc>
          <w:tcPr>
            <w:tcW w:w="140" w:type="pct"/>
            <w:vMerge w:val="continue"/>
            <w:tcBorders>
              <w:left w:val="single" w:color="auto" w:sz="4" w:space="0"/>
              <w:right w:val="single" w:color="auto" w:sz="4" w:space="0"/>
            </w:tcBorders>
          </w:tcPr>
          <w:p>
            <w:pPr>
              <w:rPr>
                <w:rFonts w:hint="eastAsia" w:ascii="宋体" w:hAnsi="宋体" w:eastAsia="宋体" w:cs="宋体"/>
              </w:rPr>
            </w:pPr>
          </w:p>
        </w:tc>
        <w:tc>
          <w:tcPr>
            <w:tcW w:w="28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产品资质</w:t>
            </w:r>
          </w:p>
        </w:tc>
        <w:tc>
          <w:tcPr>
            <w:tcW w:w="321"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证书</w:t>
            </w:r>
          </w:p>
        </w:tc>
        <w:tc>
          <w:tcPr>
            <w:tcW w:w="1376"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sz w:val="21"/>
                <w:szCs w:val="21"/>
                <w:highlight w:val="none"/>
              </w:rPr>
            </w:pPr>
            <w:r>
              <w:rPr>
                <w:rFonts w:hint="eastAsia" w:ascii="宋体" w:hAnsi="宋体" w:cs="宋体"/>
                <w:sz w:val="21"/>
                <w:szCs w:val="21"/>
                <w:highlight w:val="none"/>
              </w:rPr>
              <w:t>提供网安全专用产品安全检测证书；</w:t>
            </w:r>
          </w:p>
          <w:p>
            <w:pPr>
              <w:rPr>
                <w:rFonts w:hint="eastAsia" w:ascii="宋体" w:hAnsi="宋体" w:cs="宋体" w:eastAsiaTheme="minorEastAsia"/>
                <w:color w:val="000000"/>
                <w:kern w:val="2"/>
                <w:sz w:val="21"/>
                <w:szCs w:val="24"/>
                <w:highlight w:val="none"/>
                <w:lang w:val="en-US" w:eastAsia="zh-CN" w:bidi="ar"/>
              </w:rPr>
            </w:pPr>
            <w:r>
              <w:rPr>
                <w:rFonts w:hint="eastAsia" w:ascii="宋体" w:hAnsi="宋体" w:cs="宋体"/>
                <w:sz w:val="21"/>
                <w:szCs w:val="21"/>
                <w:highlight w:val="none"/>
              </w:rPr>
              <w:t>应提供权威第三方检测报告作为证明材料（如：CMA、CNAS等）</w:t>
            </w:r>
          </w:p>
        </w:tc>
        <w:tc>
          <w:tcPr>
            <w:tcW w:w="224"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276" w:type="pct"/>
            <w:vMerge w:val="continue"/>
            <w:tcBorders>
              <w:left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vMerge w:val="continue"/>
            <w:tcBorders>
              <w:left w:val="single" w:color="auto" w:sz="4" w:space="0"/>
              <w:right w:val="single" w:color="auto" w:sz="4" w:space="0"/>
            </w:tcBorders>
          </w:tcPr>
          <w:p>
            <w:pPr>
              <w:rPr>
                <w:rFonts w:ascii="仿宋" w:hAnsi="仿宋" w:eastAsia="仿宋" w:cs="仿宋"/>
                <w:color w:val="000000"/>
                <w:sz w:val="24"/>
              </w:rPr>
            </w:pPr>
          </w:p>
        </w:tc>
        <w:tc>
          <w:tcPr>
            <w:tcW w:w="256" w:type="pct"/>
            <w:vMerge w:val="continue"/>
            <w:tcBorders>
              <w:left w:val="single" w:color="auto" w:sz="4" w:space="0"/>
              <w:right w:val="single" w:color="auto" w:sz="4" w:space="0"/>
            </w:tcBorders>
          </w:tcPr>
          <w:p>
            <w:pPr>
              <w:rPr>
                <w:rFonts w:ascii="仿宋" w:hAnsi="仿宋" w:eastAsia="仿宋" w:cs="仿宋"/>
                <w:color w:val="000000"/>
                <w:sz w:val="24"/>
              </w:rPr>
            </w:pPr>
          </w:p>
        </w:tc>
      </w:tr>
      <w:tr>
        <w:tblPrEx>
          <w:tblCellMar>
            <w:top w:w="0" w:type="dxa"/>
            <w:left w:w="0" w:type="dxa"/>
            <w:bottom w:w="0" w:type="dxa"/>
            <w:right w:w="0" w:type="dxa"/>
          </w:tblCellMar>
        </w:tblPrEx>
        <w:trPr>
          <w:trHeight w:val="1273" w:hRule="atLeast"/>
        </w:trPr>
        <w:tc>
          <w:tcPr>
            <w:tcW w:w="99" w:type="pct"/>
            <w:tcBorders>
              <w:left w:val="single" w:color="auto" w:sz="4" w:space="0"/>
              <w:bottom w:val="single" w:color="auto" w:sz="4" w:space="0"/>
              <w:right w:val="single" w:color="auto" w:sz="4" w:space="0"/>
            </w:tcBorders>
          </w:tcPr>
          <w:p>
            <w:pPr>
              <w:rPr>
                <w:rFonts w:hint="eastAsia" w:ascii="宋体" w:hAnsi="宋体" w:eastAsia="宋体" w:cs="宋体"/>
              </w:rPr>
            </w:pPr>
          </w:p>
        </w:tc>
        <w:tc>
          <w:tcPr>
            <w:tcW w:w="221" w:type="pct"/>
            <w:tcBorders>
              <w:left w:val="single" w:color="auto" w:sz="4" w:space="0"/>
              <w:bottom w:val="single" w:color="auto" w:sz="4" w:space="0"/>
              <w:right w:val="single" w:color="auto" w:sz="4" w:space="0"/>
            </w:tcBorders>
          </w:tcPr>
          <w:p>
            <w:pPr>
              <w:rPr>
                <w:rFonts w:hint="eastAsia" w:ascii="宋体" w:hAnsi="宋体" w:eastAsia="宋体" w:cs="宋体"/>
              </w:rPr>
            </w:pPr>
          </w:p>
        </w:tc>
        <w:tc>
          <w:tcPr>
            <w:tcW w:w="150" w:type="pct"/>
            <w:tcBorders>
              <w:left w:val="single" w:color="auto" w:sz="4" w:space="0"/>
              <w:bottom w:val="single" w:color="auto" w:sz="4" w:space="0"/>
              <w:right w:val="single" w:color="auto" w:sz="4" w:space="0"/>
            </w:tcBorders>
          </w:tcPr>
          <w:p>
            <w:pPr>
              <w:rPr>
                <w:rFonts w:hint="eastAsia" w:ascii="宋体" w:hAnsi="宋体" w:eastAsia="宋体" w:cs="宋体"/>
              </w:rPr>
            </w:pPr>
          </w:p>
        </w:tc>
        <w:tc>
          <w:tcPr>
            <w:tcW w:w="115" w:type="pct"/>
            <w:tcBorders>
              <w:left w:val="single" w:color="auto" w:sz="4" w:space="0"/>
              <w:bottom w:val="single" w:color="auto" w:sz="4" w:space="0"/>
              <w:right w:val="single" w:color="auto" w:sz="4" w:space="0"/>
            </w:tcBorders>
          </w:tcPr>
          <w:p>
            <w:pPr>
              <w:rPr>
                <w:rFonts w:hint="eastAsia" w:ascii="宋体" w:hAnsi="宋体" w:eastAsia="宋体" w:cs="宋体"/>
              </w:rPr>
            </w:pPr>
          </w:p>
        </w:tc>
        <w:tc>
          <w:tcPr>
            <w:tcW w:w="140" w:type="pct"/>
            <w:tcBorders>
              <w:left w:val="single" w:color="auto" w:sz="4" w:space="0"/>
              <w:bottom w:val="single" w:color="auto" w:sz="4" w:space="0"/>
              <w:right w:val="single" w:color="auto" w:sz="4" w:space="0"/>
            </w:tcBorders>
          </w:tcPr>
          <w:p>
            <w:pPr>
              <w:rPr>
                <w:rFonts w:hint="eastAsia" w:ascii="宋体" w:hAnsi="宋体" w:eastAsia="宋体" w:cs="宋体"/>
              </w:rPr>
            </w:pPr>
          </w:p>
        </w:tc>
        <w:tc>
          <w:tcPr>
            <w:tcW w:w="80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自主可控要求</w:t>
            </w:r>
          </w:p>
        </w:tc>
        <w:tc>
          <w:tcPr>
            <w:tcW w:w="898"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自主可控要求</w:t>
            </w:r>
          </w:p>
        </w:tc>
        <w:tc>
          <w:tcPr>
            <w:tcW w:w="384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sz w:val="21"/>
                <w:szCs w:val="21"/>
                <w:highlight w:val="none"/>
              </w:rPr>
            </w:pPr>
            <w:r>
              <w:rPr>
                <w:rFonts w:hint="eastAsia" w:ascii="宋体" w:hAnsi="宋体" w:cs="宋体"/>
                <w:sz w:val="21"/>
                <w:szCs w:val="21"/>
                <w:highlight w:val="none"/>
                <w:lang w:eastAsia="zh-CN"/>
              </w:rPr>
              <w:t>该设备涉及的主要芯片产品（处理器、DRAM、Flash、交换/交叉/转发芯片）需要满足自主可控要求。</w:t>
            </w:r>
          </w:p>
        </w:tc>
        <w:tc>
          <w:tcPr>
            <w:tcW w:w="224" w:type="pct"/>
            <w:tcBorders>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76" w:type="pct"/>
            <w:tcBorders>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1294" w:type="pct"/>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color w:val="000000"/>
                <w:sz w:val="24"/>
              </w:rPr>
            </w:pPr>
          </w:p>
        </w:tc>
        <w:tc>
          <w:tcPr>
            <w:tcW w:w="239" w:type="pct"/>
            <w:tcBorders>
              <w:left w:val="single" w:color="auto" w:sz="4" w:space="0"/>
              <w:bottom w:val="single" w:color="auto" w:sz="4" w:space="0"/>
              <w:right w:val="single" w:color="auto" w:sz="4" w:space="0"/>
            </w:tcBorders>
          </w:tcPr>
          <w:p>
            <w:pPr>
              <w:rPr>
                <w:rFonts w:ascii="仿宋" w:hAnsi="仿宋" w:eastAsia="仿宋" w:cs="仿宋"/>
                <w:color w:val="000000"/>
                <w:sz w:val="24"/>
              </w:rPr>
            </w:pPr>
          </w:p>
        </w:tc>
        <w:tc>
          <w:tcPr>
            <w:tcW w:w="256" w:type="pct"/>
            <w:tcBorders>
              <w:left w:val="single" w:color="auto" w:sz="4" w:space="0"/>
              <w:bottom w:val="single" w:color="auto" w:sz="4" w:space="0"/>
              <w:right w:val="single" w:color="auto" w:sz="4" w:space="0"/>
            </w:tcBorders>
          </w:tcPr>
          <w:p>
            <w:pPr>
              <w:rPr>
                <w:rFonts w:ascii="仿宋" w:hAnsi="仿宋" w:eastAsia="仿宋" w:cs="仿宋"/>
                <w:color w:val="000000"/>
                <w:sz w:val="24"/>
              </w:rPr>
            </w:pPr>
          </w:p>
        </w:tc>
      </w:tr>
    </w:tbl>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E021ECA6-8A6B-4FB2-A31B-E4E56CAC651D}"/>
  </w:font>
  <w:font w:name="仿宋">
    <w:panose1 w:val="02010609060101010101"/>
    <w:charset w:val="86"/>
    <w:family w:val="modern"/>
    <w:pitch w:val="default"/>
    <w:sig w:usb0="800002BF" w:usb1="38CF7CFA" w:usb2="00000016" w:usb3="00000000" w:csb0="00040001" w:csb1="00000000"/>
    <w:embedRegular r:id="rId2" w:fontKey="{9D0DAEBD-DBED-4D02-94ED-CA4C7CDDDC04}"/>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0241D6"/>
    <w:rsid w:val="004D25E8"/>
    <w:rsid w:val="008D4CCA"/>
    <w:rsid w:val="009269A2"/>
    <w:rsid w:val="00BF7E82"/>
    <w:rsid w:val="00C60F31"/>
    <w:rsid w:val="00E2298C"/>
    <w:rsid w:val="011465C2"/>
    <w:rsid w:val="011D1716"/>
    <w:rsid w:val="014732A6"/>
    <w:rsid w:val="01A27F47"/>
    <w:rsid w:val="01D27561"/>
    <w:rsid w:val="01EF47F5"/>
    <w:rsid w:val="023B31B5"/>
    <w:rsid w:val="024910FD"/>
    <w:rsid w:val="027900A2"/>
    <w:rsid w:val="03245696"/>
    <w:rsid w:val="032706C8"/>
    <w:rsid w:val="03297522"/>
    <w:rsid w:val="03333BE5"/>
    <w:rsid w:val="03853EF6"/>
    <w:rsid w:val="039C1FCF"/>
    <w:rsid w:val="040A1147"/>
    <w:rsid w:val="04303CA7"/>
    <w:rsid w:val="04581AC3"/>
    <w:rsid w:val="04651CD8"/>
    <w:rsid w:val="0467581A"/>
    <w:rsid w:val="047F3031"/>
    <w:rsid w:val="049532F8"/>
    <w:rsid w:val="04A15406"/>
    <w:rsid w:val="04D73D92"/>
    <w:rsid w:val="04FD0DB4"/>
    <w:rsid w:val="05012BA9"/>
    <w:rsid w:val="052B53BF"/>
    <w:rsid w:val="05B1344A"/>
    <w:rsid w:val="05CD222A"/>
    <w:rsid w:val="05D754E1"/>
    <w:rsid w:val="066B6A19"/>
    <w:rsid w:val="06B855CD"/>
    <w:rsid w:val="07EA0E72"/>
    <w:rsid w:val="087234E3"/>
    <w:rsid w:val="08760957"/>
    <w:rsid w:val="08810212"/>
    <w:rsid w:val="08B60D54"/>
    <w:rsid w:val="08D12FC0"/>
    <w:rsid w:val="0954227F"/>
    <w:rsid w:val="098E125F"/>
    <w:rsid w:val="09B60C66"/>
    <w:rsid w:val="09BF22CB"/>
    <w:rsid w:val="0A8D3055"/>
    <w:rsid w:val="0A8E1F88"/>
    <w:rsid w:val="0A917A7B"/>
    <w:rsid w:val="0AA55977"/>
    <w:rsid w:val="0AC550EB"/>
    <w:rsid w:val="0B0667F2"/>
    <w:rsid w:val="0B0C348B"/>
    <w:rsid w:val="0B5C2086"/>
    <w:rsid w:val="0B8F6344"/>
    <w:rsid w:val="0BF20216"/>
    <w:rsid w:val="0C024886"/>
    <w:rsid w:val="0C466704"/>
    <w:rsid w:val="0CA2430D"/>
    <w:rsid w:val="0D1F336B"/>
    <w:rsid w:val="0D904269"/>
    <w:rsid w:val="0DBA12E6"/>
    <w:rsid w:val="0E6F20D1"/>
    <w:rsid w:val="0E896B03"/>
    <w:rsid w:val="0FA364D6"/>
    <w:rsid w:val="0FEA5585"/>
    <w:rsid w:val="102D3FF1"/>
    <w:rsid w:val="105F3DEA"/>
    <w:rsid w:val="107700BB"/>
    <w:rsid w:val="115F642C"/>
    <w:rsid w:val="11872D38"/>
    <w:rsid w:val="11E179DF"/>
    <w:rsid w:val="12154D3D"/>
    <w:rsid w:val="12266627"/>
    <w:rsid w:val="12706417"/>
    <w:rsid w:val="12FC7CAB"/>
    <w:rsid w:val="13C44C6D"/>
    <w:rsid w:val="143811B7"/>
    <w:rsid w:val="145002AE"/>
    <w:rsid w:val="14592F2B"/>
    <w:rsid w:val="146B333A"/>
    <w:rsid w:val="149C1746"/>
    <w:rsid w:val="14AC0625"/>
    <w:rsid w:val="14AD74AF"/>
    <w:rsid w:val="14DA589A"/>
    <w:rsid w:val="14DE1644"/>
    <w:rsid w:val="14FE7450"/>
    <w:rsid w:val="1554352B"/>
    <w:rsid w:val="15771888"/>
    <w:rsid w:val="15872B45"/>
    <w:rsid w:val="15A278E6"/>
    <w:rsid w:val="15E45152"/>
    <w:rsid w:val="16007AB2"/>
    <w:rsid w:val="165B5CBF"/>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9443510"/>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06CEF"/>
    <w:rsid w:val="1D440485"/>
    <w:rsid w:val="1D8A4831"/>
    <w:rsid w:val="1DA476B9"/>
    <w:rsid w:val="1DD404D0"/>
    <w:rsid w:val="1E967206"/>
    <w:rsid w:val="1ED32208"/>
    <w:rsid w:val="1F4A5FC5"/>
    <w:rsid w:val="1F574BE7"/>
    <w:rsid w:val="1F901EA7"/>
    <w:rsid w:val="1FD85EB4"/>
    <w:rsid w:val="202D09E2"/>
    <w:rsid w:val="20323240"/>
    <w:rsid w:val="208F03B0"/>
    <w:rsid w:val="208F7B8F"/>
    <w:rsid w:val="20C46AC7"/>
    <w:rsid w:val="20DA7947"/>
    <w:rsid w:val="211720D7"/>
    <w:rsid w:val="211865F8"/>
    <w:rsid w:val="215B1A02"/>
    <w:rsid w:val="21656CD6"/>
    <w:rsid w:val="21696E53"/>
    <w:rsid w:val="21761B89"/>
    <w:rsid w:val="217D79BF"/>
    <w:rsid w:val="21831A24"/>
    <w:rsid w:val="21940070"/>
    <w:rsid w:val="21AE2AB8"/>
    <w:rsid w:val="224014D9"/>
    <w:rsid w:val="224C18D3"/>
    <w:rsid w:val="226D7A33"/>
    <w:rsid w:val="22831952"/>
    <w:rsid w:val="229939E0"/>
    <w:rsid w:val="23A07B3C"/>
    <w:rsid w:val="23A65802"/>
    <w:rsid w:val="23BB54C2"/>
    <w:rsid w:val="23C20FAF"/>
    <w:rsid w:val="23C245F9"/>
    <w:rsid w:val="23C465C3"/>
    <w:rsid w:val="23C91E2B"/>
    <w:rsid w:val="240A0463"/>
    <w:rsid w:val="2446522A"/>
    <w:rsid w:val="244A6AC8"/>
    <w:rsid w:val="247E7A79"/>
    <w:rsid w:val="24E46F1D"/>
    <w:rsid w:val="24E94533"/>
    <w:rsid w:val="25A42208"/>
    <w:rsid w:val="25D56865"/>
    <w:rsid w:val="25DC4098"/>
    <w:rsid w:val="268312DA"/>
    <w:rsid w:val="26AB4CBF"/>
    <w:rsid w:val="26EC6D72"/>
    <w:rsid w:val="2728795D"/>
    <w:rsid w:val="274176DD"/>
    <w:rsid w:val="27422423"/>
    <w:rsid w:val="27FA6F96"/>
    <w:rsid w:val="282E58E6"/>
    <w:rsid w:val="28FA3D52"/>
    <w:rsid w:val="292F0661"/>
    <w:rsid w:val="293C5506"/>
    <w:rsid w:val="294A08D7"/>
    <w:rsid w:val="2A314286"/>
    <w:rsid w:val="2A315B45"/>
    <w:rsid w:val="2B325102"/>
    <w:rsid w:val="2B3A34A2"/>
    <w:rsid w:val="2B4D3342"/>
    <w:rsid w:val="2B65794F"/>
    <w:rsid w:val="2C320FD7"/>
    <w:rsid w:val="2C3B45D3"/>
    <w:rsid w:val="2CBF201D"/>
    <w:rsid w:val="2CF134CA"/>
    <w:rsid w:val="2D2C76B3"/>
    <w:rsid w:val="2D480265"/>
    <w:rsid w:val="2DB256DE"/>
    <w:rsid w:val="2DE53FC1"/>
    <w:rsid w:val="2DF61A6F"/>
    <w:rsid w:val="2E3E6240"/>
    <w:rsid w:val="2E4A3E2D"/>
    <w:rsid w:val="2EE2477F"/>
    <w:rsid w:val="2F1D06C4"/>
    <w:rsid w:val="2F7C41F6"/>
    <w:rsid w:val="2FD3386D"/>
    <w:rsid w:val="30896BCA"/>
    <w:rsid w:val="30C97C19"/>
    <w:rsid w:val="30ED546B"/>
    <w:rsid w:val="312B1A2F"/>
    <w:rsid w:val="31FA2EB0"/>
    <w:rsid w:val="32456B21"/>
    <w:rsid w:val="324A05DB"/>
    <w:rsid w:val="32684C5B"/>
    <w:rsid w:val="328E3BC4"/>
    <w:rsid w:val="32917FB8"/>
    <w:rsid w:val="32DB75FB"/>
    <w:rsid w:val="335039CF"/>
    <w:rsid w:val="335E1EE6"/>
    <w:rsid w:val="33CF7CBE"/>
    <w:rsid w:val="33FE78CF"/>
    <w:rsid w:val="3407373E"/>
    <w:rsid w:val="34B561E0"/>
    <w:rsid w:val="34F9364D"/>
    <w:rsid w:val="34FD1C7B"/>
    <w:rsid w:val="354B3A06"/>
    <w:rsid w:val="35901DEB"/>
    <w:rsid w:val="35A61FCC"/>
    <w:rsid w:val="35D70AF0"/>
    <w:rsid w:val="36405F7D"/>
    <w:rsid w:val="3660664C"/>
    <w:rsid w:val="36651582"/>
    <w:rsid w:val="3699661F"/>
    <w:rsid w:val="36D52B69"/>
    <w:rsid w:val="36DB793C"/>
    <w:rsid w:val="37476E97"/>
    <w:rsid w:val="379540A7"/>
    <w:rsid w:val="37D87A19"/>
    <w:rsid w:val="38EC5F48"/>
    <w:rsid w:val="3922196A"/>
    <w:rsid w:val="3925145A"/>
    <w:rsid w:val="39382F3B"/>
    <w:rsid w:val="39785A2E"/>
    <w:rsid w:val="39C240B8"/>
    <w:rsid w:val="39CC0C76"/>
    <w:rsid w:val="39E505F3"/>
    <w:rsid w:val="3A3E7D3C"/>
    <w:rsid w:val="3A4E5ED7"/>
    <w:rsid w:val="3AC86541"/>
    <w:rsid w:val="3AD268EA"/>
    <w:rsid w:val="3AF36399"/>
    <w:rsid w:val="3B4E6A46"/>
    <w:rsid w:val="3B8C57C0"/>
    <w:rsid w:val="3B985F13"/>
    <w:rsid w:val="3BE13381"/>
    <w:rsid w:val="3C055CF8"/>
    <w:rsid w:val="3C0C519E"/>
    <w:rsid w:val="3C436B4D"/>
    <w:rsid w:val="3C750F2E"/>
    <w:rsid w:val="3C8D2AC3"/>
    <w:rsid w:val="3C9D5708"/>
    <w:rsid w:val="3D3D6D72"/>
    <w:rsid w:val="3D820C29"/>
    <w:rsid w:val="3E0419F9"/>
    <w:rsid w:val="3E2B152F"/>
    <w:rsid w:val="3E9C21BE"/>
    <w:rsid w:val="3EAA48DB"/>
    <w:rsid w:val="3F020E1D"/>
    <w:rsid w:val="3F6A324D"/>
    <w:rsid w:val="3F784273"/>
    <w:rsid w:val="3F7D40ED"/>
    <w:rsid w:val="3FAE412E"/>
    <w:rsid w:val="40095632"/>
    <w:rsid w:val="40BB2DD0"/>
    <w:rsid w:val="40F87666"/>
    <w:rsid w:val="41BF069E"/>
    <w:rsid w:val="41C04416"/>
    <w:rsid w:val="422704F3"/>
    <w:rsid w:val="422F6EA6"/>
    <w:rsid w:val="426E4AEA"/>
    <w:rsid w:val="42A62E30"/>
    <w:rsid w:val="42C11714"/>
    <w:rsid w:val="42C53AD0"/>
    <w:rsid w:val="42C84DBE"/>
    <w:rsid w:val="42EB0859"/>
    <w:rsid w:val="43086E28"/>
    <w:rsid w:val="43255201"/>
    <w:rsid w:val="432F53AF"/>
    <w:rsid w:val="43BC29BB"/>
    <w:rsid w:val="43D958B0"/>
    <w:rsid w:val="43E06D85"/>
    <w:rsid w:val="43EF4B3E"/>
    <w:rsid w:val="43F8578A"/>
    <w:rsid w:val="442D6360"/>
    <w:rsid w:val="44336579"/>
    <w:rsid w:val="445C6678"/>
    <w:rsid w:val="446A2417"/>
    <w:rsid w:val="44781CBC"/>
    <w:rsid w:val="44A62D1F"/>
    <w:rsid w:val="44C62FEB"/>
    <w:rsid w:val="44DC50C3"/>
    <w:rsid w:val="44F80C4B"/>
    <w:rsid w:val="450D7972"/>
    <w:rsid w:val="45563563"/>
    <w:rsid w:val="456C1CDA"/>
    <w:rsid w:val="45AC1A86"/>
    <w:rsid w:val="45B54E7A"/>
    <w:rsid w:val="45E11139"/>
    <w:rsid w:val="462008E0"/>
    <w:rsid w:val="463F7FFF"/>
    <w:rsid w:val="4668391F"/>
    <w:rsid w:val="469C2E0B"/>
    <w:rsid w:val="475950F1"/>
    <w:rsid w:val="47841A42"/>
    <w:rsid w:val="47AB7859"/>
    <w:rsid w:val="47BB0CD3"/>
    <w:rsid w:val="481F60CE"/>
    <w:rsid w:val="48223734"/>
    <w:rsid w:val="48624C7F"/>
    <w:rsid w:val="487A531F"/>
    <w:rsid w:val="48DB12F5"/>
    <w:rsid w:val="48E362E2"/>
    <w:rsid w:val="48E51C6B"/>
    <w:rsid w:val="48EA2F86"/>
    <w:rsid w:val="48F475D7"/>
    <w:rsid w:val="4A071323"/>
    <w:rsid w:val="4A140F17"/>
    <w:rsid w:val="4A236ED5"/>
    <w:rsid w:val="4AB4556F"/>
    <w:rsid w:val="4AD45CF1"/>
    <w:rsid w:val="4B106FD8"/>
    <w:rsid w:val="4C4009CD"/>
    <w:rsid w:val="4C4D68A6"/>
    <w:rsid w:val="4C8C158C"/>
    <w:rsid w:val="4C8C526A"/>
    <w:rsid w:val="4C9C6DE9"/>
    <w:rsid w:val="4CB060D7"/>
    <w:rsid w:val="4D09474F"/>
    <w:rsid w:val="4D2B07D6"/>
    <w:rsid w:val="4D552378"/>
    <w:rsid w:val="4D5C3245"/>
    <w:rsid w:val="4D6D5452"/>
    <w:rsid w:val="4E47547C"/>
    <w:rsid w:val="4E4F4B57"/>
    <w:rsid w:val="4EB956A7"/>
    <w:rsid w:val="4EE130C3"/>
    <w:rsid w:val="4EF92D15"/>
    <w:rsid w:val="4F2064F4"/>
    <w:rsid w:val="4F25743F"/>
    <w:rsid w:val="4F46432B"/>
    <w:rsid w:val="4F6748F3"/>
    <w:rsid w:val="4F8E7901"/>
    <w:rsid w:val="50197233"/>
    <w:rsid w:val="50A458F7"/>
    <w:rsid w:val="50F22871"/>
    <w:rsid w:val="51385D77"/>
    <w:rsid w:val="517B5C63"/>
    <w:rsid w:val="51AB479B"/>
    <w:rsid w:val="51E333FD"/>
    <w:rsid w:val="527D69BB"/>
    <w:rsid w:val="52BF281F"/>
    <w:rsid w:val="537B1F4B"/>
    <w:rsid w:val="539D6365"/>
    <w:rsid w:val="53A00470"/>
    <w:rsid w:val="53A21BCD"/>
    <w:rsid w:val="53AF7E46"/>
    <w:rsid w:val="54353EFA"/>
    <w:rsid w:val="548A17D5"/>
    <w:rsid w:val="55201A8E"/>
    <w:rsid w:val="552705D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1844D3"/>
    <w:rsid w:val="5B4E6197"/>
    <w:rsid w:val="5B527A35"/>
    <w:rsid w:val="5BA202CD"/>
    <w:rsid w:val="5BA3470D"/>
    <w:rsid w:val="5BA84C4C"/>
    <w:rsid w:val="5C3942F1"/>
    <w:rsid w:val="5C81334F"/>
    <w:rsid w:val="5C826E66"/>
    <w:rsid w:val="5C8A31FF"/>
    <w:rsid w:val="5C8C51C9"/>
    <w:rsid w:val="5D0905C7"/>
    <w:rsid w:val="5D5932D1"/>
    <w:rsid w:val="5D845EA0"/>
    <w:rsid w:val="5DA07D5A"/>
    <w:rsid w:val="5DB1394D"/>
    <w:rsid w:val="5DC73A37"/>
    <w:rsid w:val="5DF75891"/>
    <w:rsid w:val="5E826883"/>
    <w:rsid w:val="5EAF73F9"/>
    <w:rsid w:val="5EB809CA"/>
    <w:rsid w:val="5EBC318D"/>
    <w:rsid w:val="5EC450EE"/>
    <w:rsid w:val="5F9C1BC7"/>
    <w:rsid w:val="602D16B0"/>
    <w:rsid w:val="603911C4"/>
    <w:rsid w:val="608F405C"/>
    <w:rsid w:val="60C97425"/>
    <w:rsid w:val="6108329D"/>
    <w:rsid w:val="611556AE"/>
    <w:rsid w:val="61331F98"/>
    <w:rsid w:val="61985A8C"/>
    <w:rsid w:val="619967BD"/>
    <w:rsid w:val="61D75138"/>
    <w:rsid w:val="61E15FB7"/>
    <w:rsid w:val="62BD08A6"/>
    <w:rsid w:val="62E278F0"/>
    <w:rsid w:val="63867E92"/>
    <w:rsid w:val="63B27C28"/>
    <w:rsid w:val="653E102A"/>
    <w:rsid w:val="655B398A"/>
    <w:rsid w:val="656947A4"/>
    <w:rsid w:val="657F3D1A"/>
    <w:rsid w:val="65921346"/>
    <w:rsid w:val="65931376"/>
    <w:rsid w:val="65975297"/>
    <w:rsid w:val="66173356"/>
    <w:rsid w:val="661E2A85"/>
    <w:rsid w:val="66305799"/>
    <w:rsid w:val="6673430D"/>
    <w:rsid w:val="667A5E00"/>
    <w:rsid w:val="66AA700F"/>
    <w:rsid w:val="67717495"/>
    <w:rsid w:val="677D5E3A"/>
    <w:rsid w:val="67BA0E3C"/>
    <w:rsid w:val="681625A3"/>
    <w:rsid w:val="68182B58"/>
    <w:rsid w:val="689151DD"/>
    <w:rsid w:val="689773CF"/>
    <w:rsid w:val="689A7E71"/>
    <w:rsid w:val="68D20407"/>
    <w:rsid w:val="694D0F2B"/>
    <w:rsid w:val="69D432FA"/>
    <w:rsid w:val="6A0F7894"/>
    <w:rsid w:val="6A310DC4"/>
    <w:rsid w:val="6A6C0D55"/>
    <w:rsid w:val="6A9857D5"/>
    <w:rsid w:val="6AA10091"/>
    <w:rsid w:val="6AAA6557"/>
    <w:rsid w:val="6AAD0ACF"/>
    <w:rsid w:val="6AD12253"/>
    <w:rsid w:val="6AE301E8"/>
    <w:rsid w:val="6B18238A"/>
    <w:rsid w:val="6B182A49"/>
    <w:rsid w:val="6B2002B1"/>
    <w:rsid w:val="6B404BC3"/>
    <w:rsid w:val="6BD34BC2"/>
    <w:rsid w:val="6CAE2F39"/>
    <w:rsid w:val="6CDF3F86"/>
    <w:rsid w:val="6CF8654C"/>
    <w:rsid w:val="6D351F98"/>
    <w:rsid w:val="6D904C50"/>
    <w:rsid w:val="6D9E3567"/>
    <w:rsid w:val="6DAD557F"/>
    <w:rsid w:val="6DFD7C82"/>
    <w:rsid w:val="6E26547D"/>
    <w:rsid w:val="6E5663ED"/>
    <w:rsid w:val="6EAA25F1"/>
    <w:rsid w:val="6EAC5256"/>
    <w:rsid w:val="6EE83DD3"/>
    <w:rsid w:val="6EF908E0"/>
    <w:rsid w:val="6EFD24A5"/>
    <w:rsid w:val="6F1B2E85"/>
    <w:rsid w:val="6F2F600D"/>
    <w:rsid w:val="6F360CBA"/>
    <w:rsid w:val="6F405DFC"/>
    <w:rsid w:val="6F59081C"/>
    <w:rsid w:val="6FB35F6F"/>
    <w:rsid w:val="6FCC03A0"/>
    <w:rsid w:val="6FD827A7"/>
    <w:rsid w:val="6FDC1B6B"/>
    <w:rsid w:val="6FEE4ABE"/>
    <w:rsid w:val="703D45C4"/>
    <w:rsid w:val="70A97AE6"/>
    <w:rsid w:val="70CF08F5"/>
    <w:rsid w:val="713F6856"/>
    <w:rsid w:val="71476A4D"/>
    <w:rsid w:val="71A67132"/>
    <w:rsid w:val="71EB0B34"/>
    <w:rsid w:val="73215339"/>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76583E"/>
    <w:rsid w:val="76AD7DBE"/>
    <w:rsid w:val="76EC2FDC"/>
    <w:rsid w:val="772756F6"/>
    <w:rsid w:val="77522001"/>
    <w:rsid w:val="7837312F"/>
    <w:rsid w:val="78A376CA"/>
    <w:rsid w:val="78BD69DE"/>
    <w:rsid w:val="78C31B1A"/>
    <w:rsid w:val="78CC777C"/>
    <w:rsid w:val="78D94CCE"/>
    <w:rsid w:val="791C05A8"/>
    <w:rsid w:val="79556C16"/>
    <w:rsid w:val="797572B9"/>
    <w:rsid w:val="79817E76"/>
    <w:rsid w:val="79847A03"/>
    <w:rsid w:val="79CB512B"/>
    <w:rsid w:val="7A2F391C"/>
    <w:rsid w:val="7A3E495E"/>
    <w:rsid w:val="7AFD7566"/>
    <w:rsid w:val="7B3B62E0"/>
    <w:rsid w:val="7B544624"/>
    <w:rsid w:val="7B9D2AF7"/>
    <w:rsid w:val="7BE91898"/>
    <w:rsid w:val="7C1868E6"/>
    <w:rsid w:val="7C755EC9"/>
    <w:rsid w:val="7C7A19E1"/>
    <w:rsid w:val="7CB50EE6"/>
    <w:rsid w:val="7CE56A1D"/>
    <w:rsid w:val="7CFC55FB"/>
    <w:rsid w:val="7D2B1642"/>
    <w:rsid w:val="7DB84B82"/>
    <w:rsid w:val="7DBE3D2A"/>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6"/>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3"/>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rPr>
  </w:style>
  <w:style w:type="paragraph" w:styleId="16">
    <w:name w:val="Plain Text"/>
    <w:basedOn w:val="1"/>
    <w:qFormat/>
    <w:uiPriority w:val="0"/>
    <w:rPr>
      <w:rFonts w:ascii="宋体" w:hAnsi="Courier New"/>
      <w:kern w:val="0"/>
      <w:sz w:val="20"/>
      <w:szCs w:val="20"/>
    </w:rPr>
  </w:style>
  <w:style w:type="paragraph" w:styleId="17">
    <w:name w:val="Balloon Text"/>
    <w:basedOn w:val="1"/>
    <w:link w:val="40"/>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spacing w:line="360" w:lineRule="auto"/>
      <w:ind w:firstLine="200" w:firstLineChars="200"/>
    </w:pPr>
    <w:rPr>
      <w:rFonts w:ascii="Times New Roman" w:hAnsi="Times New Roman"/>
      <w:sz w:val="24"/>
    </w:rPr>
  </w:style>
  <w:style w:type="paragraph" w:styleId="22">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qFormat/>
    <w:uiPriority w:val="0"/>
    <w:rPr>
      <w:rFonts w:ascii="Times New Roman" w:hAnsi="Times New Roman" w:eastAsia="宋体"/>
      <w:sz w:val="18"/>
    </w:rPr>
  </w:style>
  <w:style w:type="character" w:styleId="28">
    <w:name w:val="annotation reference"/>
    <w:basedOn w:val="25"/>
    <w:qFormat/>
    <w:uiPriority w:val="0"/>
    <w:rPr>
      <w:sz w:val="21"/>
      <w:szCs w:val="21"/>
    </w:rPr>
  </w:style>
  <w:style w:type="paragraph" w:customStyle="1" w:styleId="29">
    <w:name w:val="表格文字"/>
    <w:basedOn w:val="1"/>
    <w:qFormat/>
    <w:uiPriority w:val="0"/>
    <w:pPr>
      <w:spacing w:before="25" w:after="25"/>
    </w:pPr>
    <w:rPr>
      <w:bCs/>
      <w:spacing w:val="10"/>
      <w:sz w:val="24"/>
    </w:rPr>
  </w:style>
  <w:style w:type="paragraph" w:customStyle="1" w:styleId="30">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1">
    <w:name w:val="南网格式"/>
    <w:basedOn w:val="1"/>
    <w:qFormat/>
    <w:uiPriority w:val="0"/>
    <w:pPr>
      <w:widowControl/>
      <w:spacing w:before="120" w:line="360" w:lineRule="auto"/>
      <w:jc w:val="left"/>
    </w:pPr>
    <w:rPr>
      <w:rFonts w:ascii="宋体" w:hAnsi="宋体"/>
      <w:kern w:val="0"/>
      <w:sz w:val="24"/>
      <w:szCs w:val="28"/>
    </w:rPr>
  </w:style>
  <w:style w:type="paragraph" w:customStyle="1" w:styleId="32">
    <w:name w:val="p0"/>
    <w:basedOn w:val="1"/>
    <w:qFormat/>
    <w:uiPriority w:val="0"/>
    <w:pPr>
      <w:widowControl/>
    </w:pPr>
    <w:rPr>
      <w:rFonts w:ascii="Times New Roman" w:hAnsi="Times New Roman"/>
      <w:kern w:val="0"/>
      <w:szCs w:val="21"/>
    </w:rPr>
  </w:style>
  <w:style w:type="character" w:customStyle="1" w:styleId="33">
    <w:name w:val="标题 4 字符"/>
    <w:link w:val="7"/>
    <w:qFormat/>
    <w:uiPriority w:val="0"/>
    <w:rPr>
      <w:rFonts w:ascii="Arial" w:hAnsi="Arial" w:eastAsia="黑体"/>
      <w:sz w:val="28"/>
    </w:rPr>
  </w:style>
  <w:style w:type="paragraph" w:customStyle="1" w:styleId="34">
    <w:name w:val="样式1"/>
    <w:basedOn w:val="1"/>
    <w:qFormat/>
    <w:uiPriority w:val="0"/>
    <w:rPr>
      <w:rFonts w:ascii="Times New Roman" w:hAnsi="Times New Roman"/>
      <w:sz w:val="28"/>
    </w:rPr>
  </w:style>
  <w:style w:type="paragraph" w:customStyle="1" w:styleId="35">
    <w:name w:val="Body text|1"/>
    <w:basedOn w:val="1"/>
    <w:qFormat/>
    <w:uiPriority w:val="0"/>
    <w:pPr>
      <w:spacing w:line="434" w:lineRule="auto"/>
    </w:pPr>
    <w:rPr>
      <w:rFonts w:ascii="宋体" w:hAnsi="宋体" w:eastAsia="宋体" w:cs="宋体"/>
      <w:sz w:val="30"/>
      <w:szCs w:val="30"/>
      <w:lang w:val="zh-TW" w:eastAsia="zh-TW" w:bidi="zh-TW"/>
    </w:rPr>
  </w:style>
  <w:style w:type="character" w:customStyle="1" w:styleId="36">
    <w:name w:val="标题 1 字符"/>
    <w:link w:val="4"/>
    <w:qFormat/>
    <w:uiPriority w:val="0"/>
    <w:rPr>
      <w:b/>
      <w:kern w:val="44"/>
      <w:sz w:val="44"/>
    </w:rPr>
  </w:style>
  <w:style w:type="paragraph" w:customStyle="1" w:styleId="3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character" w:customStyle="1" w:styleId="38">
    <w:name w:val="font01"/>
    <w:basedOn w:val="25"/>
    <w:qFormat/>
    <w:uiPriority w:val="0"/>
    <w:rPr>
      <w:rFonts w:hint="eastAsia" w:ascii="宋体" w:hAnsi="宋体" w:eastAsia="宋体" w:cs="宋体"/>
      <w:color w:val="FF0000"/>
      <w:sz w:val="22"/>
      <w:szCs w:val="22"/>
      <w:u w:val="none"/>
    </w:rPr>
  </w:style>
  <w:style w:type="character" w:customStyle="1" w:styleId="39">
    <w:name w:val="font21"/>
    <w:basedOn w:val="25"/>
    <w:qFormat/>
    <w:uiPriority w:val="0"/>
    <w:rPr>
      <w:rFonts w:hint="eastAsia" w:ascii="宋体" w:hAnsi="宋体" w:eastAsia="宋体" w:cs="宋体"/>
      <w:color w:val="000000"/>
      <w:sz w:val="18"/>
      <w:szCs w:val="18"/>
      <w:u w:val="none"/>
    </w:rPr>
  </w:style>
  <w:style w:type="character" w:customStyle="1" w:styleId="40">
    <w:name w:val="批注框文本 字符"/>
    <w:basedOn w:val="25"/>
    <w:link w:val="1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3292</Words>
  <Characters>3459</Characters>
  <Lines>77</Lines>
  <Paragraphs>21</Paragraphs>
  <TotalTime>0</TotalTime>
  <ScaleCrop>false</ScaleCrop>
  <LinksUpToDate>false</LinksUpToDate>
  <CharactersWithSpaces>3564</CharactersWithSpaces>
  <Application>WPS Office_11.8.2.8950_F1E327BC-269C-435d-A152-05C5408002CA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csgadmin</cp:lastModifiedBy>
  <dcterms:modified xsi:type="dcterms:W3CDTF">2026-06-17T08:47:27Z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2052-11.8.2.8950</vt:lpwstr>
  </property>
  <property fmtid="{D5CDD505-2E9C-101B-9397-08002B2CF9AE}" pid="3" name="ICV">
    <vt:lpwstr>223A6D766B0A4DDE9DBE9601564AB425</vt:lpwstr>
  </property>
  <property fmtid="{D5CDD505-2E9C-101B-9397-08002B2CF9AE}" pid="4" name="KSOTemplateDocerSaveRecord">
    <vt:lpwstr>eyJoZGlkIjoiNTI0ZWRkODc3YWUzNmUyZTM0NGU1MTYzZjE5MzJiYmIiLCJ1c2VySWQiOiIyNzk2MzkyNTUifQ==</vt:lpwstr>
  </property>
</Properties>
</file>