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04E91">
      <w:pPr>
        <w:pStyle w:val="43"/>
        <w:framePr w:w="0" w:hRule="auto" w:wrap="auto" w:vAnchor="margin" w:hAnchor="text" w:xAlign="left" w:yAlign="inline"/>
        <w:rPr>
          <w:rFonts w:hint="eastAsia" w:ascii="宋体" w:hAnsi="宋体" w:eastAsia="宋体" w:cs="宋体"/>
          <w:b/>
          <w:sz w:val="48"/>
          <w:szCs w:val="48"/>
        </w:rPr>
      </w:pPr>
      <w:bookmarkStart w:id="0" w:name="SectionMark0"/>
    </w:p>
    <w:p w14:paraId="1BD1DC12">
      <w:pPr>
        <w:pStyle w:val="43"/>
        <w:framePr w:w="0" w:hRule="auto" w:wrap="auto" w:vAnchor="margin" w:hAnchor="text" w:xAlign="left" w:yAlign="inline"/>
        <w:rPr>
          <w:rFonts w:hint="eastAsia" w:ascii="宋体" w:hAnsi="宋体" w:eastAsia="宋体" w:cs="宋体"/>
          <w:b/>
          <w:sz w:val="48"/>
          <w:szCs w:val="48"/>
        </w:rPr>
      </w:pPr>
    </w:p>
    <w:p w14:paraId="50134B98">
      <w:pPr>
        <w:pStyle w:val="43"/>
        <w:framePr w:w="0" w:hRule="auto" w:wrap="auto" w:vAnchor="margin" w:hAnchor="text" w:xAlign="left" w:yAlign="inline"/>
        <w:rPr>
          <w:rFonts w:hint="eastAsia" w:ascii="宋体" w:hAnsi="宋体" w:eastAsia="宋体" w:cs="宋体"/>
          <w:b/>
          <w:sz w:val="48"/>
          <w:szCs w:val="48"/>
        </w:rPr>
      </w:pPr>
    </w:p>
    <w:p w14:paraId="0E11B3E3">
      <w:pPr>
        <w:pStyle w:val="43"/>
        <w:framePr w:w="0" w:hRule="auto" w:wrap="auto" w:vAnchor="margin" w:hAnchor="text" w:xAlign="left" w:yAlign="inline"/>
        <w:rPr>
          <w:rFonts w:hint="eastAsia" w:ascii="宋体" w:hAnsi="宋体" w:eastAsia="宋体" w:cs="宋体"/>
          <w:b/>
          <w:sz w:val="48"/>
          <w:szCs w:val="48"/>
        </w:rPr>
      </w:pPr>
    </w:p>
    <w:p w14:paraId="2E66A6D5">
      <w:pPr>
        <w:pStyle w:val="43"/>
        <w:framePr w:w="0" w:hRule="auto" w:wrap="auto" w:vAnchor="margin" w:hAnchor="text" w:xAlign="left" w:yAlign="inline"/>
        <w:rPr>
          <w:rFonts w:hint="eastAsia" w:ascii="宋体" w:hAnsi="宋体" w:eastAsia="宋体" w:cs="宋体"/>
          <w:b/>
          <w:sz w:val="48"/>
          <w:szCs w:val="48"/>
        </w:rPr>
      </w:pPr>
    </w:p>
    <w:p w14:paraId="4B425F2C">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2026年南方电网数字电网集团有限公司深圳分公司信息类软硬件（全流量检测分析设备、流量汇聚镜像设备、上网行为管理、防病毒系统、数据库审计系统）投标寻源项目（标的1：全流量检测分析设备）</w:t>
      </w:r>
    </w:p>
    <w:p w14:paraId="76F03A84">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520DC515">
      <w:pPr>
        <w:pStyle w:val="60"/>
        <w:rPr>
          <w:rFonts w:hint="eastAsia" w:hAnsi="宋体" w:cs="宋体"/>
        </w:rPr>
      </w:pPr>
    </w:p>
    <w:p w14:paraId="3B0AB72E">
      <w:pPr>
        <w:pStyle w:val="60"/>
        <w:rPr>
          <w:rFonts w:hint="eastAsia" w:hAnsi="宋体" w:cs="宋体"/>
        </w:rPr>
      </w:pPr>
    </w:p>
    <w:p w14:paraId="2E97115B">
      <w:pPr>
        <w:pStyle w:val="60"/>
        <w:rPr>
          <w:rFonts w:hint="eastAsia" w:hAnsi="宋体" w:cs="宋体"/>
        </w:rPr>
      </w:pPr>
    </w:p>
    <w:p w14:paraId="1CE2CC0B">
      <w:pPr>
        <w:pStyle w:val="60"/>
        <w:rPr>
          <w:rFonts w:hint="eastAsia" w:hAnsi="宋体" w:cs="宋体"/>
        </w:rPr>
      </w:pPr>
    </w:p>
    <w:p w14:paraId="7F0B8070">
      <w:pPr>
        <w:pStyle w:val="60"/>
        <w:rPr>
          <w:rFonts w:hint="eastAsia" w:hAnsi="宋体" w:cs="宋体"/>
        </w:rPr>
      </w:pPr>
    </w:p>
    <w:p w14:paraId="02E1BD23">
      <w:pPr>
        <w:pStyle w:val="60"/>
        <w:jc w:val="both"/>
        <w:rPr>
          <w:rFonts w:hint="eastAsia" w:hAnsi="宋体" w:cs="宋体"/>
        </w:rPr>
      </w:pPr>
    </w:p>
    <w:p w14:paraId="46E4317C">
      <w:pPr>
        <w:pStyle w:val="60"/>
        <w:jc w:val="both"/>
        <w:rPr>
          <w:rFonts w:hint="eastAsia" w:hAnsi="宋体" w:cs="宋体"/>
        </w:rPr>
      </w:pPr>
    </w:p>
    <w:p w14:paraId="60E1E2AE">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月</w:t>
      </w:r>
    </w:p>
    <w:p w14:paraId="5238083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39F2908">
      <w:pPr>
        <w:pageBreakBefore/>
        <w:rPr>
          <w:rFonts w:hint="eastAsia" w:ascii="宋体" w:hAnsi="宋体" w:cs="宋体"/>
          <w:b/>
          <w:spacing w:val="24"/>
          <w:position w:val="-6"/>
          <w:sz w:val="36"/>
          <w:szCs w:val="36"/>
        </w:rPr>
      </w:pPr>
    </w:p>
    <w:bookmarkEnd w:id="0"/>
    <w:p w14:paraId="05710A69">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7374D439">
      <w:pPr>
        <w:pStyle w:val="20"/>
        <w:tabs>
          <w:tab w:val="right" w:leader="dot" w:pos="8306"/>
        </w:tabs>
      </w:pPr>
      <w:r>
        <w:fldChar w:fldCharType="begin"/>
      </w:r>
      <w:r>
        <w:instrText xml:space="preserve">TOC \o "1-1" \h \u </w:instrText>
      </w:r>
      <w:r>
        <w:fldChar w:fldCharType="separate"/>
      </w:r>
      <w:r>
        <w:fldChar w:fldCharType="begin"/>
      </w:r>
      <w:r>
        <w:instrText xml:space="preserve"> HYPERLINK \l _Toc30477 </w:instrText>
      </w:r>
      <w:r>
        <w:fldChar w:fldCharType="separate"/>
      </w:r>
      <w:r>
        <w:rPr>
          <w:rFonts w:hint="eastAsia" w:ascii="宋体" w:hAnsi="宋体" w:cs="宋体"/>
          <w:kern w:val="0"/>
          <w:szCs w:val="24"/>
        </w:rPr>
        <w:t>1 总则</w:t>
      </w:r>
      <w:r>
        <w:tab/>
      </w:r>
      <w:r>
        <w:fldChar w:fldCharType="begin"/>
      </w:r>
      <w:r>
        <w:instrText xml:space="preserve"> PAGEREF _Toc30477 \h </w:instrText>
      </w:r>
      <w:r>
        <w:fldChar w:fldCharType="separate"/>
      </w:r>
      <w:r>
        <w:t>3</w:t>
      </w:r>
      <w:r>
        <w:fldChar w:fldCharType="end"/>
      </w:r>
      <w:r>
        <w:fldChar w:fldCharType="end"/>
      </w:r>
    </w:p>
    <w:p w14:paraId="0E78BFBD">
      <w:pPr>
        <w:pStyle w:val="20"/>
        <w:tabs>
          <w:tab w:val="right" w:leader="dot" w:pos="8306"/>
        </w:tabs>
      </w:pPr>
      <w:r>
        <w:fldChar w:fldCharType="begin"/>
      </w:r>
      <w:r>
        <w:instrText xml:space="preserve"> HYPERLINK \l _Toc23104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_Toc23104 \h </w:instrText>
      </w:r>
      <w:r>
        <w:fldChar w:fldCharType="separate"/>
      </w:r>
      <w:r>
        <w:t>4</w:t>
      </w:r>
      <w:r>
        <w:fldChar w:fldCharType="end"/>
      </w:r>
      <w:r>
        <w:fldChar w:fldCharType="end"/>
      </w:r>
    </w:p>
    <w:p w14:paraId="69195550">
      <w:pPr>
        <w:pStyle w:val="20"/>
        <w:tabs>
          <w:tab w:val="right" w:leader="dot" w:pos="8306"/>
        </w:tabs>
      </w:pPr>
      <w:r>
        <w:fldChar w:fldCharType="begin"/>
      </w:r>
      <w:r>
        <w:instrText xml:space="preserve"> HYPERLINK \l _Toc2325 </w:instrText>
      </w:r>
      <w:r>
        <w:fldChar w:fldCharType="separate"/>
      </w:r>
      <w:r>
        <w:rPr>
          <w:rFonts w:hint="eastAsia" w:ascii="宋体" w:hAnsi="宋体" w:eastAsia="宋体" w:cs="宋体"/>
          <w:bCs/>
          <w:kern w:val="0"/>
          <w:szCs w:val="24"/>
        </w:rPr>
        <w:t>3 工作范围</w:t>
      </w:r>
      <w:r>
        <w:tab/>
      </w:r>
      <w:r>
        <w:fldChar w:fldCharType="begin"/>
      </w:r>
      <w:r>
        <w:instrText xml:space="preserve"> PAGEREF _Toc2325 \h </w:instrText>
      </w:r>
      <w:r>
        <w:fldChar w:fldCharType="separate"/>
      </w:r>
      <w:r>
        <w:t>4</w:t>
      </w:r>
      <w:r>
        <w:fldChar w:fldCharType="end"/>
      </w:r>
      <w:r>
        <w:fldChar w:fldCharType="end"/>
      </w:r>
    </w:p>
    <w:p w14:paraId="475F9F74">
      <w:pPr>
        <w:pStyle w:val="20"/>
        <w:tabs>
          <w:tab w:val="right" w:leader="dot" w:pos="8306"/>
        </w:tabs>
      </w:pPr>
      <w:r>
        <w:fldChar w:fldCharType="begin"/>
      </w:r>
      <w:r>
        <w:instrText xml:space="preserve"> HYPERLINK \l _Toc379 </w:instrText>
      </w:r>
      <w:r>
        <w:fldChar w:fldCharType="separate"/>
      </w:r>
      <w:r>
        <w:rPr>
          <w:rFonts w:hint="eastAsia" w:ascii="宋体" w:hAnsi="宋体" w:cs="宋体"/>
          <w:kern w:val="0"/>
          <w:szCs w:val="24"/>
        </w:rPr>
        <w:t>4 引用标准</w:t>
      </w:r>
      <w:r>
        <w:tab/>
      </w:r>
      <w:r>
        <w:fldChar w:fldCharType="begin"/>
      </w:r>
      <w:r>
        <w:instrText xml:space="preserve"> PAGEREF _Toc379 \h </w:instrText>
      </w:r>
      <w:r>
        <w:fldChar w:fldCharType="separate"/>
      </w:r>
      <w:r>
        <w:t>4</w:t>
      </w:r>
      <w:r>
        <w:fldChar w:fldCharType="end"/>
      </w:r>
      <w:r>
        <w:fldChar w:fldCharType="end"/>
      </w:r>
    </w:p>
    <w:p w14:paraId="617FD9E4">
      <w:pPr>
        <w:pStyle w:val="20"/>
        <w:tabs>
          <w:tab w:val="right" w:leader="dot" w:pos="8306"/>
        </w:tabs>
      </w:pPr>
      <w:r>
        <w:fldChar w:fldCharType="begin"/>
      </w:r>
      <w:r>
        <w:instrText xml:space="preserve"> HYPERLINK \l _Toc7941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_Toc7941 \h </w:instrText>
      </w:r>
      <w:r>
        <w:fldChar w:fldCharType="separate"/>
      </w:r>
      <w:r>
        <w:t>4</w:t>
      </w:r>
      <w:r>
        <w:fldChar w:fldCharType="end"/>
      </w:r>
      <w:r>
        <w:fldChar w:fldCharType="end"/>
      </w:r>
    </w:p>
    <w:p w14:paraId="340EAD5B">
      <w:pPr>
        <w:pStyle w:val="20"/>
        <w:tabs>
          <w:tab w:val="right" w:leader="dot" w:pos="8306"/>
        </w:tabs>
      </w:pPr>
      <w:r>
        <w:fldChar w:fldCharType="begin"/>
      </w:r>
      <w:r>
        <w:instrText xml:space="preserve"> HYPERLINK \l _Toc12772 </w:instrText>
      </w:r>
      <w:r>
        <w:fldChar w:fldCharType="separate"/>
      </w:r>
      <w:r>
        <w:rPr>
          <w:rFonts w:hint="eastAsia" w:ascii="宋体" w:hAnsi="宋体" w:cs="宋体"/>
          <w:kern w:val="0"/>
          <w:szCs w:val="24"/>
        </w:rPr>
        <w:t>6 资料管理</w:t>
      </w:r>
      <w:r>
        <w:tab/>
      </w:r>
      <w:r>
        <w:fldChar w:fldCharType="begin"/>
      </w:r>
      <w:r>
        <w:instrText xml:space="preserve"> PAGEREF _Toc12772 \h </w:instrText>
      </w:r>
      <w:r>
        <w:fldChar w:fldCharType="separate"/>
      </w:r>
      <w:r>
        <w:t>6</w:t>
      </w:r>
      <w:r>
        <w:fldChar w:fldCharType="end"/>
      </w:r>
      <w:r>
        <w:fldChar w:fldCharType="end"/>
      </w:r>
    </w:p>
    <w:p w14:paraId="0BAB281E">
      <w:pPr>
        <w:pStyle w:val="20"/>
        <w:tabs>
          <w:tab w:val="right" w:leader="dot" w:pos="8306"/>
        </w:tabs>
      </w:pPr>
      <w:r>
        <w:fldChar w:fldCharType="begin"/>
      </w:r>
      <w:r>
        <w:instrText xml:space="preserve"> HYPERLINK \l _Toc30659 </w:instrText>
      </w:r>
      <w:r>
        <w:fldChar w:fldCharType="separate"/>
      </w:r>
      <w:r>
        <w:rPr>
          <w:rFonts w:hint="eastAsia" w:ascii="宋体" w:hAnsi="宋体"/>
          <w:kern w:val="0"/>
          <w:szCs w:val="24"/>
        </w:rPr>
        <w:t>7 售后服务及技术培训</w:t>
      </w:r>
      <w:r>
        <w:tab/>
      </w:r>
      <w:r>
        <w:fldChar w:fldCharType="begin"/>
      </w:r>
      <w:r>
        <w:instrText xml:space="preserve"> PAGEREF _Toc30659 \h </w:instrText>
      </w:r>
      <w:r>
        <w:fldChar w:fldCharType="separate"/>
      </w:r>
      <w:r>
        <w:t>7</w:t>
      </w:r>
      <w:r>
        <w:fldChar w:fldCharType="end"/>
      </w:r>
      <w:r>
        <w:fldChar w:fldCharType="end"/>
      </w:r>
    </w:p>
    <w:p w14:paraId="27394AC0">
      <w:pPr>
        <w:pStyle w:val="20"/>
        <w:tabs>
          <w:tab w:val="right" w:leader="dot" w:pos="8306"/>
        </w:tabs>
      </w:pPr>
      <w:r>
        <w:fldChar w:fldCharType="begin"/>
      </w:r>
      <w:r>
        <w:instrText xml:space="preserve"> HYPERLINK \l _Toc10206 </w:instrText>
      </w:r>
      <w:r>
        <w:fldChar w:fldCharType="separate"/>
      </w:r>
      <w:r>
        <w:rPr>
          <w:rFonts w:hint="eastAsia" w:ascii="宋体" w:hAnsi="宋体" w:cs="宋体"/>
          <w:kern w:val="0"/>
          <w:szCs w:val="24"/>
        </w:rPr>
        <w:t>8 质量保证</w:t>
      </w:r>
      <w:r>
        <w:tab/>
      </w:r>
      <w:r>
        <w:fldChar w:fldCharType="begin"/>
      </w:r>
      <w:r>
        <w:instrText xml:space="preserve"> PAGEREF _Toc10206 \h </w:instrText>
      </w:r>
      <w:r>
        <w:fldChar w:fldCharType="separate"/>
      </w:r>
      <w:r>
        <w:t>7</w:t>
      </w:r>
      <w:r>
        <w:fldChar w:fldCharType="end"/>
      </w:r>
      <w:r>
        <w:fldChar w:fldCharType="end"/>
      </w:r>
    </w:p>
    <w:p w14:paraId="4F31DB26">
      <w:pPr>
        <w:pStyle w:val="20"/>
        <w:tabs>
          <w:tab w:val="right" w:leader="dot" w:pos="8306"/>
        </w:tabs>
      </w:pPr>
      <w:r>
        <w:fldChar w:fldCharType="begin"/>
      </w:r>
      <w:r>
        <w:instrText xml:space="preserve"> HYPERLINK \l _Toc23256 </w:instrText>
      </w:r>
      <w:r>
        <w:fldChar w:fldCharType="separate"/>
      </w:r>
      <w:r>
        <w:rPr>
          <w:rFonts w:hint="eastAsia" w:ascii="宋体" w:hAnsi="宋体" w:cs="宋体"/>
          <w:kern w:val="0"/>
          <w:szCs w:val="24"/>
        </w:rPr>
        <w:t>9 包装、运输和贮存</w:t>
      </w:r>
      <w:r>
        <w:tab/>
      </w:r>
      <w:r>
        <w:fldChar w:fldCharType="begin"/>
      </w:r>
      <w:r>
        <w:instrText xml:space="preserve"> PAGEREF _Toc23256 \h </w:instrText>
      </w:r>
      <w:r>
        <w:fldChar w:fldCharType="separate"/>
      </w:r>
      <w:r>
        <w:t>8</w:t>
      </w:r>
      <w:r>
        <w:fldChar w:fldCharType="end"/>
      </w:r>
      <w:r>
        <w:fldChar w:fldCharType="end"/>
      </w:r>
    </w:p>
    <w:p w14:paraId="047479D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09375D88">
      <w:pPr>
        <w:adjustRightInd w:val="0"/>
        <w:spacing w:line="360" w:lineRule="auto"/>
        <w:textAlignment w:val="baseline"/>
      </w:pPr>
    </w:p>
    <w:p w14:paraId="7CA2105E">
      <w:pPr>
        <w:pStyle w:val="31"/>
      </w:pPr>
    </w:p>
    <w:p w14:paraId="1290EF32">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8602D11">
      <w:pPr>
        <w:pStyle w:val="4"/>
        <w:numPr>
          <w:ilvl w:val="0"/>
          <w:numId w:val="4"/>
        </w:numPr>
        <w:spacing w:before="0" w:after="0" w:line="360" w:lineRule="auto"/>
        <w:rPr>
          <w:rFonts w:hint="eastAsia" w:ascii="宋体" w:hAnsi="宋体" w:cs="宋体"/>
          <w:kern w:val="0"/>
          <w:sz w:val="24"/>
          <w:szCs w:val="24"/>
        </w:rPr>
      </w:pPr>
      <w:bookmarkStart w:id="1" w:name="_Toc32270_WPSOffice_Level1"/>
      <w:bookmarkStart w:id="2" w:name="_Toc27288_WPSOffice_Level1"/>
      <w:bookmarkStart w:id="3" w:name="_Toc30477"/>
      <w:bookmarkStart w:id="4" w:name="_Toc21939"/>
      <w:r>
        <w:rPr>
          <w:rFonts w:hint="eastAsia" w:ascii="宋体" w:hAnsi="宋体" w:cs="宋体"/>
          <w:kern w:val="0"/>
          <w:sz w:val="24"/>
          <w:szCs w:val="24"/>
        </w:rPr>
        <w:t>总则</w:t>
      </w:r>
      <w:bookmarkEnd w:id="1"/>
      <w:bookmarkEnd w:id="2"/>
      <w:bookmarkEnd w:id="3"/>
      <w:bookmarkEnd w:id="4"/>
    </w:p>
    <w:p w14:paraId="751A22D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2026年南方电网数字电网集团有限公司深圳分公司信息类软硬件（全流量检测分析设备、流量汇聚镜像设备、上网行为管理、防病毒系统、数据库审计系统）投标寻源项目</w:t>
      </w:r>
      <w:r>
        <w:rPr>
          <w:rFonts w:hint="eastAsia" w:ascii="宋体" w:hAnsi="宋体" w:cs="宋体"/>
          <w:sz w:val="24"/>
        </w:rPr>
        <w:t>。</w:t>
      </w:r>
    </w:p>
    <w:p w14:paraId="1389287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6C673A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766B2C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51BE5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0F30D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0148DE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433FCAF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6AB76F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40CCDF0C">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23104"/>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0CA56750">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为满足项目实施交付需求，计划采购全流量检测分析设备1台。</w:t>
      </w:r>
    </w:p>
    <w:p w14:paraId="4EB37329">
      <w:pPr>
        <w:pStyle w:val="4"/>
        <w:numPr>
          <w:ilvl w:val="0"/>
          <w:numId w:val="4"/>
        </w:numPr>
        <w:spacing w:before="0" w:after="0" w:line="360" w:lineRule="auto"/>
        <w:rPr>
          <w:rFonts w:hint="eastAsia" w:ascii="宋体" w:hAnsi="宋体" w:eastAsia="宋体" w:cs="宋体"/>
          <w:b/>
          <w:bCs/>
          <w:kern w:val="0"/>
          <w:sz w:val="24"/>
          <w:szCs w:val="24"/>
        </w:rPr>
      </w:pPr>
      <w:bookmarkStart w:id="6" w:name="_Toc317067398"/>
      <w:bookmarkStart w:id="7" w:name="_Toc3695"/>
      <w:bookmarkStart w:id="8" w:name="_Toc317689829"/>
      <w:bookmarkStart w:id="9" w:name="_Toc317690117"/>
      <w:bookmarkStart w:id="10" w:name="_Toc2325"/>
      <w:bookmarkStart w:id="11" w:name="_Toc24890_WPSOffice_Level1"/>
      <w:bookmarkStart w:id="12" w:name="_Toc18031_WPSOffice_Level1"/>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56DA6B5E">
      <w:pPr>
        <w:numPr>
          <w:ilvl w:val="1"/>
          <w:numId w:val="4"/>
        </w:numPr>
        <w:adjustRightInd w:val="0"/>
        <w:spacing w:line="360" w:lineRule="auto"/>
        <w:ind w:left="0" w:firstLine="0"/>
        <w:outlineLvl w:val="1"/>
        <w:rPr>
          <w:rFonts w:hint="eastAsia" w:ascii="宋体" w:hAnsi="宋体" w:cs="宋体"/>
          <w:sz w:val="24"/>
        </w:rPr>
      </w:pPr>
      <w:bookmarkStart w:id="13" w:name="_Toc317067400"/>
      <w:bookmarkStart w:id="14" w:name="_Toc317689831"/>
      <w:bookmarkStart w:id="15" w:name="_Toc317690119"/>
      <w:bookmarkStart w:id="16" w:name="_Toc18434"/>
      <w:bookmarkStart w:id="17" w:name="_Toc924_WPSOffice_Level1"/>
      <w:bookmarkStart w:id="18" w:name="_Toc8887_WPSOffice_Level1"/>
      <w:r>
        <w:rPr>
          <w:rFonts w:hint="eastAsia" w:ascii="宋体" w:hAnsi="宋体" w:cs="宋体"/>
          <w:sz w:val="24"/>
        </w:rPr>
        <w:t>服务界限</w:t>
      </w:r>
      <w:bookmarkEnd w:id="13"/>
      <w:bookmarkEnd w:id="14"/>
      <w:bookmarkEnd w:id="15"/>
    </w:p>
    <w:p w14:paraId="5BEDA072">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2C5D179F">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64C4AB9C">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1BB67699">
      <w:pPr>
        <w:pStyle w:val="4"/>
        <w:numPr>
          <w:ilvl w:val="0"/>
          <w:numId w:val="4"/>
        </w:numPr>
        <w:spacing w:before="0" w:after="0" w:line="360" w:lineRule="auto"/>
        <w:rPr>
          <w:rFonts w:hint="eastAsia" w:ascii="宋体" w:hAnsi="宋体" w:cs="宋体"/>
          <w:kern w:val="0"/>
          <w:sz w:val="24"/>
          <w:szCs w:val="24"/>
        </w:rPr>
      </w:pPr>
      <w:bookmarkStart w:id="19" w:name="_Toc379"/>
      <w:r>
        <w:rPr>
          <w:rFonts w:hint="eastAsia" w:ascii="宋体" w:hAnsi="宋体" w:cs="宋体"/>
          <w:kern w:val="0"/>
          <w:sz w:val="24"/>
          <w:szCs w:val="24"/>
        </w:rPr>
        <w:t>引用标准</w:t>
      </w:r>
      <w:bookmarkEnd w:id="16"/>
      <w:bookmarkEnd w:id="17"/>
      <w:bookmarkEnd w:id="18"/>
      <w:bookmarkEnd w:id="19"/>
    </w:p>
    <w:p w14:paraId="42C48E0C">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353AD736">
      <w:pPr>
        <w:spacing w:line="360" w:lineRule="auto"/>
        <w:rPr>
          <w:rFonts w:hint="eastAsia" w:ascii="宋体" w:hAnsi="宋体" w:cs="宋体"/>
          <w:sz w:val="24"/>
        </w:rPr>
      </w:pPr>
      <w:r>
        <w:rPr>
          <w:rFonts w:hint="eastAsia" w:ascii="宋体" w:hAnsi="宋体" w:cs="宋体"/>
          <w:sz w:val="24"/>
        </w:rPr>
        <w:t>（1）GB-------中华人民共和国国家标准</w:t>
      </w:r>
    </w:p>
    <w:p w14:paraId="20C0D26D">
      <w:pPr>
        <w:spacing w:line="360" w:lineRule="auto"/>
        <w:rPr>
          <w:rFonts w:hint="eastAsia" w:ascii="宋体" w:hAnsi="宋体" w:cs="宋体"/>
          <w:sz w:val="24"/>
        </w:rPr>
      </w:pPr>
      <w:r>
        <w:rPr>
          <w:rFonts w:hint="eastAsia" w:ascii="宋体" w:hAnsi="宋体" w:cs="宋体"/>
          <w:sz w:val="24"/>
        </w:rPr>
        <w:t>（2）DL-------中华人民共和国电力行业标准</w:t>
      </w:r>
    </w:p>
    <w:p w14:paraId="5B4753C8">
      <w:pPr>
        <w:spacing w:line="360" w:lineRule="auto"/>
        <w:rPr>
          <w:rFonts w:hint="eastAsia" w:ascii="宋体" w:hAnsi="宋体" w:cs="宋体"/>
          <w:sz w:val="24"/>
        </w:rPr>
      </w:pPr>
      <w:r>
        <w:rPr>
          <w:rFonts w:hint="eastAsia" w:ascii="宋体" w:hAnsi="宋体" w:cs="宋体"/>
          <w:sz w:val="24"/>
        </w:rPr>
        <w:t>（3）《电力二次系统安全防护规定》</w:t>
      </w:r>
    </w:p>
    <w:p w14:paraId="128848FC">
      <w:pPr>
        <w:spacing w:line="360" w:lineRule="auto"/>
        <w:rPr>
          <w:rFonts w:hint="eastAsia" w:ascii="宋体" w:hAnsi="宋体" w:cs="宋体"/>
          <w:sz w:val="24"/>
        </w:rPr>
      </w:pPr>
      <w:r>
        <w:rPr>
          <w:rFonts w:hint="eastAsia" w:ascii="宋体" w:hAnsi="宋体" w:cs="宋体"/>
          <w:sz w:val="24"/>
        </w:rPr>
        <w:t>（4）中国信息安全测评中心</w:t>
      </w:r>
    </w:p>
    <w:p w14:paraId="14C491E4">
      <w:pPr>
        <w:spacing w:line="360" w:lineRule="auto"/>
        <w:rPr>
          <w:rFonts w:hint="eastAsia" w:ascii="宋体" w:hAnsi="宋体" w:cs="宋体"/>
          <w:sz w:val="24"/>
        </w:rPr>
      </w:pPr>
      <w:r>
        <w:rPr>
          <w:rFonts w:hint="eastAsia" w:ascii="宋体" w:hAnsi="宋体" w:cs="宋体"/>
          <w:sz w:val="24"/>
        </w:rPr>
        <w:t>（5）国家保密科技测评中心</w:t>
      </w:r>
    </w:p>
    <w:p w14:paraId="2999CC97">
      <w:pPr>
        <w:spacing w:line="360" w:lineRule="auto"/>
        <w:rPr>
          <w:rFonts w:hint="eastAsia" w:ascii="宋体" w:hAnsi="宋体" w:cs="宋体"/>
          <w:sz w:val="24"/>
        </w:rPr>
      </w:pPr>
      <w:r>
        <w:rPr>
          <w:rFonts w:hint="eastAsia" w:ascii="宋体" w:hAnsi="宋体" w:cs="宋体"/>
          <w:sz w:val="24"/>
        </w:rPr>
        <w:t>（6）ISO------国际标准化组织标准</w:t>
      </w:r>
    </w:p>
    <w:p w14:paraId="7D6994DF">
      <w:pPr>
        <w:spacing w:line="360" w:lineRule="auto"/>
        <w:rPr>
          <w:rFonts w:hint="eastAsia" w:ascii="宋体" w:hAnsi="宋体" w:cs="宋体"/>
          <w:sz w:val="24"/>
        </w:rPr>
      </w:pPr>
      <w:r>
        <w:rPr>
          <w:rFonts w:hint="eastAsia" w:ascii="宋体" w:hAnsi="宋体" w:cs="宋体"/>
          <w:sz w:val="24"/>
        </w:rPr>
        <w:t>（7）IEC------国际电工委员会标准</w:t>
      </w:r>
    </w:p>
    <w:p w14:paraId="7C2AB2A1">
      <w:pPr>
        <w:spacing w:line="360" w:lineRule="auto"/>
        <w:rPr>
          <w:rFonts w:hint="eastAsia" w:ascii="宋体" w:hAnsi="宋体" w:cs="宋体"/>
          <w:sz w:val="24"/>
        </w:rPr>
      </w:pPr>
      <w:r>
        <w:rPr>
          <w:rFonts w:hint="eastAsia" w:ascii="宋体" w:hAnsi="宋体" w:cs="宋体"/>
          <w:sz w:val="24"/>
        </w:rPr>
        <w:t>（8）ITU-T----国际电信联盟标准</w:t>
      </w:r>
    </w:p>
    <w:p w14:paraId="25D2711E">
      <w:pPr>
        <w:spacing w:line="360" w:lineRule="auto"/>
        <w:rPr>
          <w:rFonts w:hint="eastAsia" w:ascii="宋体" w:hAnsi="宋体" w:cs="宋体"/>
          <w:sz w:val="24"/>
        </w:rPr>
      </w:pPr>
      <w:r>
        <w:rPr>
          <w:rFonts w:hint="eastAsia" w:ascii="宋体" w:hAnsi="宋体" w:cs="宋体"/>
          <w:sz w:val="24"/>
        </w:rPr>
        <w:t>（9）CCITT ------国际电报和电话咨询委员会</w:t>
      </w:r>
    </w:p>
    <w:p w14:paraId="498BBE1C">
      <w:pPr>
        <w:spacing w:line="360" w:lineRule="auto"/>
        <w:rPr>
          <w:rFonts w:hint="eastAsia" w:ascii="宋体" w:hAnsi="宋体" w:cs="宋体"/>
          <w:sz w:val="24"/>
        </w:rPr>
      </w:pPr>
      <w:r>
        <w:rPr>
          <w:rFonts w:hint="eastAsia" w:ascii="宋体" w:hAnsi="宋体" w:cs="宋体"/>
          <w:sz w:val="24"/>
        </w:rPr>
        <w:t>（10）ITU------国际电信联盟</w:t>
      </w:r>
    </w:p>
    <w:p w14:paraId="58EAD505">
      <w:pPr>
        <w:spacing w:line="360" w:lineRule="auto"/>
        <w:rPr>
          <w:rFonts w:hint="eastAsia" w:ascii="宋体" w:hAnsi="宋体" w:cs="宋体"/>
          <w:sz w:val="24"/>
        </w:rPr>
      </w:pPr>
      <w:r>
        <w:rPr>
          <w:rFonts w:hint="eastAsia" w:ascii="宋体" w:hAnsi="宋体" w:cs="宋体"/>
          <w:sz w:val="24"/>
        </w:rPr>
        <w:t>（11）SI------标准国际单位制</w:t>
      </w:r>
    </w:p>
    <w:p w14:paraId="0979FA55">
      <w:pPr>
        <w:spacing w:line="360" w:lineRule="auto"/>
        <w:rPr>
          <w:rFonts w:hint="eastAsia" w:ascii="宋体" w:hAnsi="宋体" w:cs="宋体"/>
          <w:sz w:val="24"/>
          <w:highlight w:val="none"/>
        </w:rPr>
      </w:pPr>
      <w:r>
        <w:rPr>
          <w:rFonts w:hint="eastAsia" w:ascii="宋体" w:hAnsi="宋体" w:cs="宋体"/>
          <w:sz w:val="24"/>
        </w:rPr>
        <w:t>（12）其它招标方指定的规约</w:t>
      </w:r>
    </w:p>
    <w:p w14:paraId="2760E4C5">
      <w:pPr>
        <w:pStyle w:val="4"/>
        <w:numPr>
          <w:ilvl w:val="0"/>
          <w:numId w:val="4"/>
        </w:numPr>
        <w:spacing w:before="0" w:after="0" w:line="360" w:lineRule="auto"/>
        <w:rPr>
          <w:rFonts w:hint="eastAsia" w:ascii="宋体" w:hAnsi="宋体" w:cs="宋体"/>
          <w:kern w:val="0"/>
          <w:sz w:val="24"/>
          <w:szCs w:val="24"/>
          <w:highlight w:val="none"/>
        </w:rPr>
      </w:pPr>
      <w:bookmarkStart w:id="21" w:name="_Toc20131"/>
      <w:bookmarkStart w:id="22" w:name="_Toc6702_WPSOffice_Level1"/>
      <w:bookmarkStart w:id="23" w:name="_Toc7941"/>
      <w:bookmarkStart w:id="24" w:name="_Toc24881_WPSOffice_Level1"/>
      <w:r>
        <w:rPr>
          <w:rFonts w:hint="eastAsia" w:ascii="宋体" w:hAnsi="宋体" w:cs="宋体"/>
          <w:kern w:val="0"/>
          <w:sz w:val="24"/>
          <w:szCs w:val="24"/>
          <w:highlight w:val="none"/>
        </w:rPr>
        <w:t>技术要求</w:t>
      </w:r>
      <w:bookmarkEnd w:id="21"/>
      <w:bookmarkEnd w:id="22"/>
      <w:bookmarkEnd w:id="23"/>
      <w:bookmarkEnd w:id="24"/>
    </w:p>
    <w:p w14:paraId="15391E4E">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。▲项目为重点评分项，如优于指标要求需提供证明</w:t>
      </w:r>
      <w:r>
        <w:rPr>
          <w:rFonts w:hint="eastAsia" w:ascii="宋体" w:hAnsi="宋体" w:eastAsia="宋体" w:cs="宋体"/>
          <w:b w:val="0"/>
          <w:bCs w:val="0"/>
          <w:color w:val="auto"/>
          <w:kern w:val="0"/>
          <w:sz w:val="24"/>
          <w:szCs w:val="24"/>
          <w:lang w:val="en-US" w:eastAsia="zh-CN"/>
        </w:rPr>
        <w:t>材料并加盖公章。</w:t>
      </w:r>
    </w:p>
    <w:p w14:paraId="28212BE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293CC191">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投标方承担所投产品的集成与测评费用，提供承诺函。</w:t>
      </w:r>
    </w:p>
    <w:p w14:paraId="67562A69">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060564BE">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29ACB3E6">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rPr>
        <w:t>全流量检测分析设备（1台）</w:t>
      </w:r>
    </w:p>
    <w:tbl>
      <w:tblPr>
        <w:tblStyle w:val="24"/>
        <w:tblpPr w:leftFromText="180" w:rightFromText="180" w:vertAnchor="text" w:tblpY="1"/>
        <w:tblOverlap w:val="never"/>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635"/>
      </w:tblGrid>
      <w:tr w14:paraId="640F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shd w:val="clear" w:color="auto" w:fill="D9D9D9"/>
            <w:noWrap w:val="0"/>
            <w:vAlign w:val="center"/>
          </w:tcPr>
          <w:p w14:paraId="60F1006D">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4101" w:type="pct"/>
            <w:shd w:val="clear" w:color="auto" w:fill="D9D9D9"/>
            <w:noWrap w:val="0"/>
            <w:vAlign w:val="center"/>
          </w:tcPr>
          <w:p w14:paraId="3AA648D3">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2400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013E81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设备规格</w:t>
            </w:r>
          </w:p>
        </w:tc>
        <w:tc>
          <w:tcPr>
            <w:tcW w:w="4101" w:type="pct"/>
            <w:noWrap w:val="0"/>
            <w:vAlign w:val="top"/>
          </w:tcPr>
          <w:p w14:paraId="1EFC6FAD">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★标准机架式设备</w:t>
            </w:r>
          </w:p>
          <w:p w14:paraId="062F50B9">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硬盘：硬盘容量≥90TB；</w:t>
            </w:r>
          </w:p>
          <w:p w14:paraId="688717D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采集网口：≥4个千兆网口、≥2个万兆光口</w:t>
            </w:r>
          </w:p>
          <w:p w14:paraId="7DE0C55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▲处理能力≥18000Mbps</w:t>
            </w:r>
          </w:p>
        </w:tc>
      </w:tr>
      <w:tr w14:paraId="0119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3C34A7FE">
            <w:pPr>
              <w:rPr>
                <w:rFonts w:hint="default"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设备功能</w:t>
            </w:r>
          </w:p>
        </w:tc>
        <w:tc>
          <w:tcPr>
            <w:tcW w:w="4101" w:type="pct"/>
            <w:noWrap w:val="0"/>
            <w:vAlign w:val="top"/>
          </w:tcPr>
          <w:p w14:paraId="77FA1E41">
            <w:pPr>
              <w:rPr>
                <w:rFonts w:hint="default"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该设备为软硬件一体设备，需实现对网络中的原始数据包进行抓取并解码，分析网络流量中是否包含网络攻击行为，能够针对已知与未知威胁进行分析、发现、追踪与取证。</w:t>
            </w:r>
          </w:p>
        </w:tc>
      </w:tr>
      <w:tr w14:paraId="7681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98" w:type="pct"/>
            <w:noWrap w:val="0"/>
            <w:vAlign w:val="center"/>
          </w:tcPr>
          <w:p w14:paraId="106B25AC">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流量转发</w:t>
            </w:r>
          </w:p>
        </w:tc>
        <w:tc>
          <w:tcPr>
            <w:tcW w:w="4101" w:type="pct"/>
            <w:noWrap w:val="0"/>
            <w:vAlign w:val="center"/>
          </w:tcPr>
          <w:p w14:paraId="17F3B1C8">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提供原始流量转发功能，支持将原始流量镜像至指定转发口，供第三方系统接收处理。</w:t>
            </w:r>
          </w:p>
        </w:tc>
      </w:tr>
      <w:tr w14:paraId="01F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3A93D9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系统日志保存</w:t>
            </w:r>
          </w:p>
        </w:tc>
        <w:tc>
          <w:tcPr>
            <w:tcW w:w="4101" w:type="pct"/>
            <w:noWrap w:val="0"/>
            <w:vAlign w:val="center"/>
          </w:tcPr>
          <w:p w14:paraId="3F34641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本地存储的系统日志至少能够保留6个月</w:t>
            </w:r>
          </w:p>
        </w:tc>
      </w:tr>
      <w:tr w14:paraId="544B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C94B80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SNMP 支持</w:t>
            </w:r>
          </w:p>
        </w:tc>
        <w:tc>
          <w:tcPr>
            <w:tcW w:w="4101" w:type="pct"/>
            <w:noWrap w:val="0"/>
            <w:vAlign w:val="center"/>
          </w:tcPr>
          <w:p w14:paraId="4220A62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支持SNMP V2、V3版本协议以接入第三方监控系统</w:t>
            </w:r>
          </w:p>
        </w:tc>
      </w:tr>
      <w:tr w14:paraId="0C02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62A97AA6">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集群部署</w:t>
            </w:r>
          </w:p>
        </w:tc>
        <w:tc>
          <w:tcPr>
            <w:tcW w:w="4101" w:type="pct"/>
            <w:noWrap w:val="0"/>
            <w:vAlign w:val="center"/>
          </w:tcPr>
          <w:p w14:paraId="3D70CBB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将多台探针形成集群部署，流量镜像通过负载均衡的方式输入多台探针，由探针集群的主设备进行跨设备的流量聚合，聚合后的功能与普通探针端口链路一致，下载数据包时能自动整合不同探针上的数据包到同一份数据包中。</w:t>
            </w:r>
          </w:p>
        </w:tc>
      </w:tr>
      <w:tr w14:paraId="1CF4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40D3D4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数据包格式</w:t>
            </w:r>
          </w:p>
        </w:tc>
        <w:tc>
          <w:tcPr>
            <w:tcW w:w="4101" w:type="pct"/>
            <w:noWrap w:val="0"/>
            <w:vAlign w:val="center"/>
          </w:tcPr>
          <w:p w14:paraId="55B8F0C2">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支持多格式数据包回放功能，能够将已捕获的数据包文件在系统上进行回放分析，实现与实时采集链路相同的分析功能，抓包格式应支持3种以上，包括cap、pcap、pcapng 等常见格式。</w:t>
            </w:r>
          </w:p>
        </w:tc>
      </w:tr>
      <w:tr w14:paraId="61C6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C990C1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国产数据库交易解码</w:t>
            </w:r>
          </w:p>
        </w:tc>
        <w:tc>
          <w:tcPr>
            <w:tcW w:w="4101" w:type="pct"/>
            <w:noWrap w:val="0"/>
            <w:vAlign w:val="center"/>
          </w:tcPr>
          <w:p w14:paraId="75EC8769">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支持主流国产及国际数据库交易解码功能，至少需支持Oracle、MySQL、达梦、GauseDB、人大金仓，支持对数据库交易量、耗时、成功率指标进行统计；以上分析指标支持检索呈现，支持绘制分钟级精度趋势图。</w:t>
            </w:r>
          </w:p>
        </w:tc>
      </w:tr>
      <w:tr w14:paraId="5790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98" w:type="pct"/>
            <w:noWrap w:val="0"/>
            <w:vAlign w:val="center"/>
          </w:tcPr>
          <w:p w14:paraId="6006B346">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非标准端口识别</w:t>
            </w:r>
          </w:p>
        </w:tc>
        <w:tc>
          <w:tcPr>
            <w:tcW w:w="4101" w:type="pct"/>
            <w:noWrap w:val="0"/>
            <w:vAlign w:val="center"/>
          </w:tcPr>
          <w:p w14:paraId="0BF8BD7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支持常用协议运行在非标准端口上的识别监测，如协议为远程桌面且端口不为3389、协议为SSH且端口不为22。</w:t>
            </w:r>
          </w:p>
        </w:tc>
      </w:tr>
      <w:tr w14:paraId="0D5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7F38859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元数据提取</w:t>
            </w:r>
          </w:p>
        </w:tc>
        <w:tc>
          <w:tcPr>
            <w:tcW w:w="4101" w:type="pct"/>
            <w:noWrap w:val="0"/>
            <w:vAlign w:val="center"/>
          </w:tcPr>
          <w:p w14:paraId="61311FE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提取协议元数据功能，至少支持30种协议元数据，例如：IPv4、IPv6、icmpv4/v6、OSPF、BGP等；元数据内容包括所有协议标记字段，例如，OSPF的nbr_address邻居地址、LinkStateID链路状态ID等；提取的元数据支持输出至第三方平台进行大数据分析</w:t>
            </w:r>
          </w:p>
        </w:tc>
      </w:tr>
      <w:tr w14:paraId="212E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DE713D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统一展示</w:t>
            </w:r>
          </w:p>
        </w:tc>
        <w:tc>
          <w:tcPr>
            <w:tcW w:w="4101" w:type="pct"/>
            <w:noWrap w:val="0"/>
            <w:vAlign w:val="center"/>
          </w:tcPr>
          <w:p w14:paraId="2B1E9457">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采集数据能通过syslog、kafka、API上传至监控展示平台，并通过监控展示平台实现统一呈现，并能实现全局数据特征检索、拓扑生成</w:t>
            </w:r>
          </w:p>
        </w:tc>
      </w:tr>
      <w:tr w14:paraId="1311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23CAA56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采集器监控</w:t>
            </w:r>
          </w:p>
        </w:tc>
        <w:tc>
          <w:tcPr>
            <w:tcW w:w="4101" w:type="pct"/>
            <w:noWrap w:val="0"/>
            <w:vAlign w:val="center"/>
          </w:tcPr>
          <w:p w14:paraId="429996E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支持采集服务器监控功能，提供CPU、内存、磁盘IO、服务状态等不少于5项性能指标</w:t>
            </w:r>
          </w:p>
          <w:p w14:paraId="09644190">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监控平台可下发巡检策略，对采集服务器进行周期性巡检，及时发现由于性能导致数据不采集，数据采集丢失等问题</w:t>
            </w:r>
          </w:p>
        </w:tc>
      </w:tr>
      <w:tr w14:paraId="1E1E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762301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加密传输</w:t>
            </w:r>
          </w:p>
        </w:tc>
        <w:tc>
          <w:tcPr>
            <w:tcW w:w="4101" w:type="pct"/>
            <w:noWrap w:val="0"/>
            <w:vAlign w:val="center"/>
          </w:tcPr>
          <w:p w14:paraId="527A8D7E">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B/S和C/S两种链接方式，可通过数据检索控制台客户端远程登陆服务器进行高效数据分析和调取原始数据包分析，并可配置数据加密传输。能通过WEB页面对服务器采集性能进行监控，包括采集链路占用内存，数据包/字节数/乱序，分析时延，数据包缓存大小，存储数据合并时间，存储数据压缩时间，BadLen、CrcErr、ProErr等。</w:t>
            </w:r>
          </w:p>
        </w:tc>
      </w:tr>
      <w:tr w14:paraId="18DB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0870121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解码分析</w:t>
            </w:r>
          </w:p>
        </w:tc>
        <w:tc>
          <w:tcPr>
            <w:tcW w:w="4101" w:type="pct"/>
            <w:noWrap w:val="0"/>
            <w:vAlign w:val="center"/>
          </w:tcPr>
          <w:p w14:paraId="4A34E22C">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国产自主可控知识产权的解码软件，解码软件可PC主机部署，对终端网卡进行抓包分析；解码软件具备智能诊断功能，能自动诊断包括：HTTP错误、SMTP/POP3服务器慢响应、SMTP/POP3服务器返回错误、FTP服务器慢响应、FTP服务器错误、TCP连接被拒绝、TCP非法校验和、TCP重复的连接尝试、TCP头部偏移错误、TCPSYN带数据、IPTTL太小、IP地址冲突、路由环路等常见故障场景。</w:t>
            </w:r>
          </w:p>
        </w:tc>
      </w:tr>
      <w:tr w14:paraId="799D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B68B1E9">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数据分析</w:t>
            </w:r>
          </w:p>
        </w:tc>
        <w:tc>
          <w:tcPr>
            <w:tcW w:w="4101" w:type="pct"/>
            <w:noWrap w:val="0"/>
            <w:vAlign w:val="center"/>
          </w:tcPr>
          <w:p w14:paraId="7771FE17">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▲提供高效分析指标功能，分析指标应至少包括8种，包括：比特率、总字节数、流量占比、状态、客户端/服务器RTT、会话开始/结束时间、连接建立时间、客户端/服务器TCP分段丢失率等。</w:t>
            </w:r>
          </w:p>
        </w:tc>
      </w:tr>
      <w:tr w14:paraId="1B5C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3427BE4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多维度展示</w:t>
            </w:r>
          </w:p>
        </w:tc>
        <w:tc>
          <w:tcPr>
            <w:tcW w:w="4101" w:type="pct"/>
            <w:noWrap w:val="0"/>
            <w:vAlign w:val="center"/>
          </w:tcPr>
          <w:p w14:paraId="66F1DC5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支持根据设备IP主机、IP会话、TCP会话、数据库交易分析等维度信息展示，各维度展示的所有指标都需支持秒级分析展示能力。</w:t>
            </w:r>
          </w:p>
        </w:tc>
      </w:tr>
      <w:tr w14:paraId="73BB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2" w:type="dxa"/>
            <w:noWrap w:val="0"/>
            <w:vAlign w:val="center"/>
          </w:tcPr>
          <w:p w14:paraId="41132328">
            <w:pPr>
              <w:numPr>
                <w:ilvl w:val="0"/>
                <w:numId w:val="0"/>
              </w:numPr>
              <w:jc w:val="left"/>
              <w:rPr>
                <w:rFonts w:hint="eastAsia" w:ascii="宋体" w:hAnsi="宋体" w:eastAsia="宋体" w:cs="Times New Roman"/>
                <w:sz w:val="21"/>
                <w:szCs w:val="21"/>
                <w:highlight w:val="none"/>
                <w:lang w:val="en-US" w:eastAsia="zh-CN"/>
              </w:rPr>
            </w:pPr>
            <w:r>
              <w:rPr>
                <w:rFonts w:hint="eastAsia" w:ascii="宋体" w:hAnsi="宋体" w:eastAsia="宋体" w:cs="宋体"/>
                <w:b w:val="0"/>
                <w:bCs w:val="0"/>
                <w:color w:val="auto"/>
                <w:kern w:val="0"/>
                <w:sz w:val="24"/>
                <w:szCs w:val="24"/>
                <w:lang w:val="en-US" w:eastAsia="zh-CN"/>
              </w:rPr>
              <w:t>★</w:t>
            </w:r>
            <w:r>
              <w:rPr>
                <w:rFonts w:hint="eastAsia" w:ascii="宋体" w:hAnsi="宋体" w:eastAsia="宋体" w:cs="宋体"/>
                <w:sz w:val="21"/>
                <w:szCs w:val="21"/>
                <w:highlight w:val="none"/>
                <w:lang w:eastAsia="zh-CN"/>
              </w:rPr>
              <w:t>自主可控要求</w:t>
            </w:r>
          </w:p>
        </w:tc>
        <w:tc>
          <w:tcPr>
            <w:tcW w:w="7635" w:type="dxa"/>
            <w:noWrap w:val="0"/>
            <w:vAlign w:val="center"/>
          </w:tcPr>
          <w:p w14:paraId="46B8FA12">
            <w:pPr>
              <w:numPr>
                <w:ilvl w:val="0"/>
                <w:numId w:val="0"/>
              </w:num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1.该设备涉及的主要芯片产品（处理器、DRAM、Flash、安全芯片）需要满足自主可控要求。</w:t>
            </w:r>
          </w:p>
          <w:p w14:paraId="17EE0B01">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需提供软件物料清单(SBOM)，详细列明软件所包含的所有组件、库、依赖项及其版本、许可证和来源信息，并满足合规性要求，交付的软件不能有高危及以上漏洞，软件部署运行环境须满足以下要求，并提供证明材料；</w:t>
            </w:r>
          </w:p>
          <w:p w14:paraId="4FEA17FC">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3.软件部署运行环境须满足以下要求：</w:t>
            </w:r>
          </w:p>
          <w:p w14:paraId="43080F06">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14:paraId="6063088C">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14:paraId="6F184784">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14:paraId="1D8D2C9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14:paraId="40F6CA9C">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14:paraId="6A77D07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4.本项目所采购的软件产品100%为国产自主可控软件，如软件涉及境外厂商开发、境外版权所有、境外主体提供，涉及境外组件、境外模块、境外云服务、境外接口依赖，需做申明。</w:t>
            </w:r>
          </w:p>
          <w:p w14:paraId="679B8E30">
            <w:pPr>
              <w:rPr>
                <w:rFonts w:hint="eastAsia" w:ascii="宋体" w:hAnsi="宋体" w:eastAsia="宋体" w:cs="Times New Roman"/>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5.原厂需就以上要求提供自主可控承诺函并加盖原厂公章。</w:t>
            </w:r>
            <w:bookmarkStart w:id="72" w:name="_GoBack"/>
            <w:bookmarkEnd w:id="72"/>
          </w:p>
        </w:tc>
      </w:tr>
    </w:tbl>
    <w:p w14:paraId="0C8AA4E4">
      <w:pPr>
        <w:pStyle w:val="4"/>
        <w:numPr>
          <w:ilvl w:val="0"/>
          <w:numId w:val="4"/>
        </w:numPr>
        <w:spacing w:before="0" w:after="0" w:line="360" w:lineRule="auto"/>
        <w:rPr>
          <w:rFonts w:hint="eastAsia" w:ascii="宋体" w:hAnsi="宋体" w:cs="宋体"/>
          <w:kern w:val="0"/>
          <w:sz w:val="24"/>
          <w:szCs w:val="24"/>
        </w:rPr>
      </w:pPr>
      <w:bookmarkStart w:id="25" w:name="_Toc221619633"/>
      <w:bookmarkEnd w:id="25"/>
      <w:bookmarkStart w:id="26" w:name="_Toc221617186"/>
      <w:bookmarkEnd w:id="26"/>
      <w:bookmarkStart w:id="27" w:name="_Toc221610057"/>
      <w:bookmarkEnd w:id="27"/>
      <w:bookmarkStart w:id="28" w:name="_Toc221617187"/>
      <w:bookmarkEnd w:id="28"/>
      <w:bookmarkStart w:id="29" w:name="_Toc221610060"/>
      <w:bookmarkEnd w:id="29"/>
      <w:bookmarkStart w:id="30" w:name="_Toc221610058"/>
      <w:bookmarkEnd w:id="30"/>
      <w:bookmarkStart w:id="31" w:name="_Toc221617188"/>
      <w:bookmarkEnd w:id="31"/>
      <w:bookmarkStart w:id="32" w:name="_Toc221617189"/>
      <w:bookmarkEnd w:id="32"/>
      <w:bookmarkStart w:id="33" w:name="_Toc221619634"/>
      <w:bookmarkEnd w:id="33"/>
      <w:bookmarkStart w:id="34" w:name="_Toc221619631"/>
      <w:bookmarkEnd w:id="34"/>
      <w:bookmarkStart w:id="35" w:name="_Toc221610059"/>
      <w:bookmarkEnd w:id="35"/>
      <w:bookmarkStart w:id="36" w:name="_Toc221619632"/>
      <w:bookmarkEnd w:id="36"/>
      <w:bookmarkStart w:id="37" w:name="_Toc15293"/>
      <w:bookmarkStart w:id="38" w:name="_Toc12772"/>
      <w:bookmarkStart w:id="39" w:name="_Toc27549_WPSOffice_Level1"/>
      <w:bookmarkStart w:id="40" w:name="_Toc4389_WPSOffice_Level1"/>
      <w:r>
        <w:rPr>
          <w:rFonts w:hint="eastAsia" w:ascii="宋体" w:hAnsi="宋体" w:cs="宋体"/>
          <w:kern w:val="0"/>
          <w:sz w:val="24"/>
          <w:szCs w:val="24"/>
        </w:rPr>
        <w:t>资料管理</w:t>
      </w:r>
      <w:bookmarkEnd w:id="37"/>
      <w:bookmarkEnd w:id="38"/>
      <w:bookmarkEnd w:id="39"/>
      <w:bookmarkEnd w:id="40"/>
    </w:p>
    <w:p w14:paraId="5E6AF044">
      <w:pPr>
        <w:numPr>
          <w:ilvl w:val="1"/>
          <w:numId w:val="4"/>
        </w:numPr>
        <w:adjustRightInd w:val="0"/>
        <w:spacing w:line="360" w:lineRule="auto"/>
        <w:ind w:left="0" w:firstLine="0"/>
        <w:outlineLvl w:val="1"/>
        <w:rPr>
          <w:rFonts w:hint="eastAsia" w:ascii="宋体" w:hAnsi="宋体" w:cs="宋体"/>
          <w:sz w:val="24"/>
        </w:rPr>
      </w:pPr>
      <w:bookmarkStart w:id="41" w:name="_Toc270322069"/>
      <w:r>
        <w:rPr>
          <w:rFonts w:hint="eastAsia" w:ascii="宋体" w:hAnsi="宋体" w:cs="宋体"/>
          <w:sz w:val="24"/>
        </w:rPr>
        <w:t>文档范围</w:t>
      </w:r>
      <w:bookmarkEnd w:id="41"/>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投标方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5E81D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8970B9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D668A8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1EF8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23000C0C">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F6DEC16">
      <w:pPr>
        <w:numPr>
          <w:ilvl w:val="1"/>
          <w:numId w:val="4"/>
        </w:numPr>
        <w:adjustRightInd w:val="0"/>
        <w:spacing w:line="360" w:lineRule="auto"/>
        <w:ind w:left="0" w:firstLine="0"/>
        <w:outlineLvl w:val="1"/>
        <w:rPr>
          <w:rFonts w:hint="eastAsia" w:ascii="宋体" w:hAnsi="宋体" w:cs="宋体"/>
          <w:sz w:val="24"/>
        </w:rPr>
      </w:pPr>
      <w:bookmarkStart w:id="42" w:name="_Toc270322070"/>
      <w:r>
        <w:rPr>
          <w:rFonts w:hint="eastAsia" w:ascii="宋体" w:hAnsi="宋体" w:cs="宋体"/>
          <w:sz w:val="24"/>
          <w:lang w:eastAsia="zh-CN"/>
        </w:rPr>
        <w:t>报价人</w:t>
      </w:r>
      <w:r>
        <w:rPr>
          <w:rFonts w:hint="eastAsia" w:ascii="宋体" w:hAnsi="宋体" w:cs="宋体"/>
          <w:sz w:val="24"/>
        </w:rPr>
        <w:t>的责任</w:t>
      </w:r>
      <w:bookmarkEnd w:id="42"/>
    </w:p>
    <w:p w14:paraId="15C40BAA">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321AACCA">
      <w:pPr>
        <w:pStyle w:val="4"/>
        <w:numPr>
          <w:ilvl w:val="0"/>
          <w:numId w:val="4"/>
        </w:numPr>
        <w:spacing w:before="0" w:after="0" w:line="360" w:lineRule="auto"/>
        <w:rPr>
          <w:rFonts w:hint="eastAsia" w:ascii="宋体" w:hAnsi="宋体"/>
          <w:kern w:val="0"/>
          <w:sz w:val="24"/>
          <w:szCs w:val="24"/>
        </w:rPr>
      </w:pPr>
      <w:bookmarkStart w:id="43" w:name="_Toc31121_WPSOffice_Level1"/>
      <w:bookmarkStart w:id="44" w:name="_Toc8849_WPSOffice_Level1"/>
      <w:bookmarkStart w:id="45" w:name="_Toc27007"/>
      <w:bookmarkStart w:id="46" w:name="_Toc30659"/>
      <w:bookmarkStart w:id="47" w:name="_Toc58225921"/>
      <w:bookmarkStart w:id="48" w:name="_Toc27515"/>
      <w:bookmarkStart w:id="49" w:name="_Toc187218714"/>
      <w:r>
        <w:rPr>
          <w:rFonts w:hint="eastAsia" w:ascii="宋体" w:hAnsi="宋体"/>
          <w:kern w:val="0"/>
          <w:sz w:val="24"/>
          <w:szCs w:val="24"/>
        </w:rPr>
        <w:t>售后服务及技术培训</w:t>
      </w:r>
      <w:bookmarkEnd w:id="43"/>
      <w:bookmarkEnd w:id="44"/>
      <w:bookmarkEnd w:id="45"/>
      <w:bookmarkEnd w:id="46"/>
      <w:bookmarkEnd w:id="47"/>
      <w:bookmarkEnd w:id="48"/>
    </w:p>
    <w:p w14:paraId="619EB117">
      <w:pPr>
        <w:tabs>
          <w:tab w:val="left" w:pos="1148"/>
        </w:tabs>
        <w:spacing w:line="360" w:lineRule="auto"/>
        <w:ind w:firstLine="480"/>
        <w:jc w:val="left"/>
        <w:rPr>
          <w:rFonts w:hint="eastAsia" w:ascii="宋体" w:hAnsi="宋体" w:cs="宋体"/>
          <w:sz w:val="24"/>
        </w:rPr>
      </w:pPr>
      <w:bookmarkStart w:id="50" w:name="_Toc8224_WPSOffice_Level1"/>
      <w:bookmarkStart w:id="51" w:name="_Toc17375_WPSOffice_Level1"/>
      <w:bookmarkStart w:id="52" w:name="_Toc58225922"/>
      <w:bookmarkStart w:id="53" w:name="_Toc23917"/>
      <w:bookmarkStart w:id="54" w:name="_Toc20893"/>
      <w:bookmarkStart w:id="55" w:name="_Toc317690130"/>
      <w:bookmarkStart w:id="56" w:name="_Toc32297"/>
      <w:bookmarkStart w:id="57" w:name="_Toc317689842"/>
      <w:bookmarkStart w:id="58" w:name="_Toc317067408"/>
      <w:r>
        <w:rPr>
          <w:rFonts w:hint="eastAsia" w:ascii="宋体" w:hAnsi="宋体" w:cs="宋体"/>
          <w:sz w:val="24"/>
        </w:rPr>
        <w:t>在产品质保期内有制造质量的货物，由供货方负责修理或更换。对非甲方责任造成的货物损坏，供货方有优先提供更换的义务。</w:t>
      </w:r>
    </w:p>
    <w:p w14:paraId="7736FB40">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6A885B4E">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6D6A9608">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3BCD02B8">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32D3516F">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在用户发现软件缺陷时，投标方必须在用户提出维护要求的2小时内作出响应，24小时内提交故障分析报告和解决方案，48小时内故障得以解决。</w:t>
      </w:r>
    </w:p>
    <w:p w14:paraId="54BF337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重大软件故障时，投标方应在接到故障电话后4小时到达现场，24小时内修复故障。</w:t>
      </w:r>
    </w:p>
    <w:p w14:paraId="4298B392">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在有新的系统补丁或升级版本时，在征得用户同意的情况下可进行升级或打补丁。由于未提供给用户补丁或升级而引起的运行故障由投标方负责一切后果。</w:t>
      </w:r>
    </w:p>
    <w:p w14:paraId="69D3E33F">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06D39756">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20565F36">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47B30CF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在用户发现系统缺陷时，投标方必须在用户提出维护要求的2小时内作出响应，24小时内提交故障分析报告和解决方案，48小时内故障得以解决。</w:t>
      </w:r>
    </w:p>
    <w:p w14:paraId="5A60FE12">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重大系统故障时，投标方应在接到故障电话后4小时到达现场，24小时内修复故障。</w:t>
      </w:r>
    </w:p>
    <w:p w14:paraId="60E09078">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在有新的系统补丁或升级版本时，在征得用户同意的情况下可进行升级或打补丁。由于未提供给用户补丁或升级而引起的运行故障由投标方负责一切后果</w:t>
      </w:r>
      <w:r>
        <w:rPr>
          <w:rFonts w:hint="eastAsia" w:ascii="宋体" w:hAnsi="宋体" w:cs="宋体"/>
        </w:rPr>
        <w:t>。</w:t>
      </w:r>
    </w:p>
    <w:p w14:paraId="2322C1AB">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6E91DADA">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54B21586">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2D208E0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9" w:name="_Toc10206"/>
      <w:r>
        <w:rPr>
          <w:rFonts w:hint="eastAsia" w:ascii="宋体" w:hAnsi="宋体" w:cs="宋体"/>
          <w:kern w:val="0"/>
          <w:sz w:val="24"/>
          <w:szCs w:val="24"/>
        </w:rPr>
        <w:t>质量保证</w:t>
      </w:r>
      <w:bookmarkEnd w:id="50"/>
      <w:bookmarkEnd w:id="51"/>
      <w:bookmarkEnd w:id="52"/>
      <w:bookmarkEnd w:id="53"/>
      <w:bookmarkEnd w:id="54"/>
      <w:bookmarkEnd w:id="55"/>
      <w:bookmarkEnd w:id="56"/>
      <w:bookmarkEnd w:id="57"/>
      <w:bookmarkEnd w:id="58"/>
      <w:bookmarkEnd w:id="59"/>
    </w:p>
    <w:p w14:paraId="5776664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7998998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C60707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0" w:name="_Toc306176806"/>
      <w:bookmarkStart w:id="61" w:name="_Toc23858"/>
      <w:bookmarkStart w:id="62" w:name="_Toc2446"/>
      <w:bookmarkStart w:id="63" w:name="_Toc317690135"/>
      <w:bookmarkStart w:id="64" w:name="_Toc317689847"/>
      <w:bookmarkStart w:id="65" w:name="_Toc22439_WPSOffice_Level1"/>
      <w:bookmarkStart w:id="66" w:name="_Toc23256"/>
      <w:bookmarkStart w:id="67" w:name="_Toc58225924"/>
      <w:bookmarkStart w:id="68" w:name="_Toc1204"/>
      <w:bookmarkStart w:id="69" w:name="_Toc4330_WPSOffice_Level1"/>
      <w:r>
        <w:rPr>
          <w:rFonts w:hint="eastAsia" w:ascii="宋体" w:hAnsi="宋体" w:cs="宋体"/>
          <w:kern w:val="0"/>
          <w:sz w:val="24"/>
          <w:szCs w:val="24"/>
        </w:rPr>
        <w:t>包装、运输和贮存</w:t>
      </w:r>
      <w:bookmarkEnd w:id="60"/>
      <w:bookmarkEnd w:id="61"/>
      <w:bookmarkEnd w:id="62"/>
      <w:bookmarkEnd w:id="63"/>
      <w:bookmarkEnd w:id="64"/>
      <w:bookmarkEnd w:id="65"/>
      <w:bookmarkEnd w:id="66"/>
      <w:bookmarkEnd w:id="67"/>
      <w:bookmarkEnd w:id="68"/>
      <w:bookmarkEnd w:id="69"/>
    </w:p>
    <w:p w14:paraId="15BC72B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0" w:name="_Toc317690136"/>
      <w:bookmarkStart w:id="71" w:name="_Toc317689848"/>
      <w:r>
        <w:rPr>
          <w:rFonts w:hint="eastAsia" w:ascii="宋体" w:hAnsi="宋体" w:eastAsia="宋体" w:cs="宋体"/>
          <w:sz w:val="24"/>
          <w:szCs w:val="24"/>
        </w:rPr>
        <w:t>设备制造完成并通过试验后应及时包装, 否则应得到切实的保护, 确保其不受污损。</w:t>
      </w:r>
      <w:bookmarkEnd w:id="70"/>
      <w:bookmarkEnd w:id="71"/>
    </w:p>
    <w:p w14:paraId="1D125BD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496621F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59DE47E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119BE16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4DFD8D1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390C097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144146BB">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367962B">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1AEEAC4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69E5D175">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49"/>
    <w:p w14:paraId="28583C51">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兰亭黑简体">
    <w:altName w:val="黑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77B8">
    <w:pPr>
      <w:pStyle w:val="18"/>
      <w:framePr w:wrap="around" w:vAnchor="text" w:hAnchor="margin" w:xAlign="outside" w:y="1"/>
      <w:ind w:firstLine="360"/>
      <w:rPr>
        <w:rStyle w:val="28"/>
        <w:rFonts w:hint="eastAsia"/>
      </w:rPr>
    </w:pPr>
  </w:p>
  <w:p w14:paraId="166DD9AF">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33610">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9CC48">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440DC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8386E60"/>
    <w:rsid w:val="184E1F0C"/>
    <w:rsid w:val="18CA75FE"/>
    <w:rsid w:val="191C334A"/>
    <w:rsid w:val="19460CE0"/>
    <w:rsid w:val="1A533DAA"/>
    <w:rsid w:val="1ABC3C79"/>
    <w:rsid w:val="1B5B5B18"/>
    <w:rsid w:val="1C030936"/>
    <w:rsid w:val="1E7369BB"/>
    <w:rsid w:val="1F366CA9"/>
    <w:rsid w:val="1FD3297A"/>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A8F155E"/>
    <w:rsid w:val="2B937FFC"/>
    <w:rsid w:val="2BD04AB6"/>
    <w:rsid w:val="2CA71D5E"/>
    <w:rsid w:val="2D8B28C0"/>
    <w:rsid w:val="2D9D324A"/>
    <w:rsid w:val="2E1B2474"/>
    <w:rsid w:val="2E681E16"/>
    <w:rsid w:val="2F201868"/>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9741BB"/>
    <w:rsid w:val="3CA95481"/>
    <w:rsid w:val="3DF25826"/>
    <w:rsid w:val="3DFB21D5"/>
    <w:rsid w:val="3E915CD0"/>
    <w:rsid w:val="3EE038B6"/>
    <w:rsid w:val="3F016950"/>
    <w:rsid w:val="3FA465B9"/>
    <w:rsid w:val="3FFB571C"/>
    <w:rsid w:val="404359A5"/>
    <w:rsid w:val="40621095"/>
    <w:rsid w:val="40AB38A5"/>
    <w:rsid w:val="410C1392"/>
    <w:rsid w:val="418836F4"/>
    <w:rsid w:val="43BA072D"/>
    <w:rsid w:val="441A4B06"/>
    <w:rsid w:val="455B50DE"/>
    <w:rsid w:val="46D27786"/>
    <w:rsid w:val="480E7EAC"/>
    <w:rsid w:val="485B1C35"/>
    <w:rsid w:val="494578CA"/>
    <w:rsid w:val="49B332B1"/>
    <w:rsid w:val="4A9F479A"/>
    <w:rsid w:val="4ADB6E6B"/>
    <w:rsid w:val="4AEF3101"/>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7475F2"/>
    <w:rsid w:val="5483498F"/>
    <w:rsid w:val="54E70157"/>
    <w:rsid w:val="559E1A7D"/>
    <w:rsid w:val="55AE4DBC"/>
    <w:rsid w:val="56D519C0"/>
    <w:rsid w:val="56EA7A59"/>
    <w:rsid w:val="58E40DC6"/>
    <w:rsid w:val="59633ABF"/>
    <w:rsid w:val="5A505458"/>
    <w:rsid w:val="5B131468"/>
    <w:rsid w:val="5C537F09"/>
    <w:rsid w:val="5C813C19"/>
    <w:rsid w:val="5D7C6762"/>
    <w:rsid w:val="5DD07FF5"/>
    <w:rsid w:val="5DE21359"/>
    <w:rsid w:val="5E0673C2"/>
    <w:rsid w:val="5EF7640B"/>
    <w:rsid w:val="5F9B50CF"/>
    <w:rsid w:val="5FD03A95"/>
    <w:rsid w:val="607D4D71"/>
    <w:rsid w:val="61334FD6"/>
    <w:rsid w:val="61A80D72"/>
    <w:rsid w:val="625F689C"/>
    <w:rsid w:val="6298360A"/>
    <w:rsid w:val="62F70FAC"/>
    <w:rsid w:val="640544A8"/>
    <w:rsid w:val="640E399E"/>
    <w:rsid w:val="645F7296"/>
    <w:rsid w:val="646642CA"/>
    <w:rsid w:val="649C269E"/>
    <w:rsid w:val="64A6416A"/>
    <w:rsid w:val="64CA3BAE"/>
    <w:rsid w:val="64ED5626"/>
    <w:rsid w:val="65627369"/>
    <w:rsid w:val="65A253CE"/>
    <w:rsid w:val="666F5341"/>
    <w:rsid w:val="66DE7249"/>
    <w:rsid w:val="6709671D"/>
    <w:rsid w:val="672E3660"/>
    <w:rsid w:val="67A86C0E"/>
    <w:rsid w:val="67C55FFA"/>
    <w:rsid w:val="683B7691"/>
    <w:rsid w:val="684D4E8E"/>
    <w:rsid w:val="6AC91050"/>
    <w:rsid w:val="6AE63C13"/>
    <w:rsid w:val="6B87697A"/>
    <w:rsid w:val="6C20132D"/>
    <w:rsid w:val="6D50338F"/>
    <w:rsid w:val="6D8C35C7"/>
    <w:rsid w:val="6DDD0AD4"/>
    <w:rsid w:val="6E56521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E37AF"/>
    <w:rsid w:val="7AFB141C"/>
    <w:rsid w:val="7B9851BE"/>
    <w:rsid w:val="7BAD38DD"/>
    <w:rsid w:val="7C673F2C"/>
    <w:rsid w:val="7D1459C1"/>
    <w:rsid w:val="7D700E1F"/>
    <w:rsid w:val="7DFD5204"/>
    <w:rsid w:val="7EAD4801"/>
    <w:rsid w:val="7EB3400B"/>
    <w:rsid w:val="7EB729B4"/>
    <w:rsid w:val="7EC63350"/>
    <w:rsid w:val="7F9E3966"/>
    <w:rsid w:val="7FA849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2019-03-04T02:06:00Z</dcterms:created>
  <dc:creator>李曼</dc:creator>
  <cp:lastModifiedBy>WPS</cp:lastModifiedBy>
  <cp:lastPrinted>2020-07-31T02:54:00Z</cp:lastPrinted>
  <dcterms:modified xsi:type="dcterms:W3CDTF">2026-06-18T04:51:00Z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F59DBEEEC4AE433FA9E72BEAEBA1FEEA_13</vt:lpwstr>
  </property>
  <property fmtid="{D5CDD505-2E9C-101B-9397-08002B2CF9AE}" pid="4" name="KSOTemplateDocerSaveRecord">
    <vt:lpwstr>eyJoZGlkIjoiOWNjZWIzMjExMGMxZGJlYjAwMzYwMTY2NTcxZDM2ODgiLCJ1c2VySWQiOiIzODA0NDY2MjQifQ==</vt:lpwstr>
  </property>
</Properties>
</file>