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E12B05">
      <w:pPr>
        <w:pStyle w:val="43"/>
        <w:framePr w:w="0" w:hRule="auto" w:wrap="auto" w:vAnchor="margin" w:hAnchor="text" w:xAlign="left" w:yAlign="inline"/>
        <w:rPr>
          <w:rFonts w:hint="eastAsia" w:ascii="宋体" w:hAnsi="宋体" w:eastAsia="宋体" w:cs="宋体"/>
          <w:b/>
          <w:sz w:val="48"/>
          <w:szCs w:val="48"/>
        </w:rPr>
      </w:pPr>
      <w:bookmarkStart w:id="0" w:name="SectionMark0"/>
    </w:p>
    <w:p w14:paraId="10C38AA3">
      <w:pPr>
        <w:pStyle w:val="43"/>
        <w:framePr w:w="0" w:hRule="auto" w:wrap="auto" w:vAnchor="margin" w:hAnchor="text" w:xAlign="left" w:yAlign="inline"/>
        <w:rPr>
          <w:rFonts w:hint="eastAsia" w:ascii="宋体" w:hAnsi="宋体" w:eastAsia="宋体" w:cs="宋体"/>
          <w:b/>
          <w:sz w:val="48"/>
          <w:szCs w:val="48"/>
        </w:rPr>
      </w:pPr>
    </w:p>
    <w:p w14:paraId="7C15AAE5">
      <w:pPr>
        <w:pStyle w:val="43"/>
        <w:framePr w:w="0" w:hRule="auto" w:wrap="auto" w:vAnchor="margin" w:hAnchor="text" w:xAlign="left" w:yAlign="inline"/>
        <w:rPr>
          <w:rFonts w:hint="eastAsia" w:ascii="宋体" w:hAnsi="宋体" w:eastAsia="宋体" w:cs="宋体"/>
          <w:b/>
          <w:sz w:val="48"/>
          <w:szCs w:val="48"/>
        </w:rPr>
      </w:pPr>
    </w:p>
    <w:p w14:paraId="7A48A450">
      <w:pPr>
        <w:pStyle w:val="43"/>
        <w:framePr w:w="0" w:hRule="auto" w:wrap="auto" w:vAnchor="margin" w:hAnchor="text" w:xAlign="left" w:yAlign="inline"/>
        <w:rPr>
          <w:rFonts w:hint="eastAsia" w:ascii="宋体" w:hAnsi="宋体" w:eastAsia="宋体" w:cs="宋体"/>
          <w:b/>
          <w:sz w:val="48"/>
          <w:szCs w:val="48"/>
        </w:rPr>
      </w:pPr>
    </w:p>
    <w:p w14:paraId="43C97ABC">
      <w:pPr>
        <w:pStyle w:val="43"/>
        <w:framePr w:w="0" w:hRule="auto" w:wrap="auto" w:vAnchor="margin" w:hAnchor="text" w:xAlign="left" w:yAlign="inline"/>
        <w:rPr>
          <w:rFonts w:hint="eastAsia" w:ascii="宋体" w:hAnsi="宋体" w:eastAsia="宋体" w:cs="宋体"/>
          <w:b/>
          <w:sz w:val="48"/>
          <w:szCs w:val="48"/>
        </w:rPr>
      </w:pPr>
    </w:p>
    <w:p w14:paraId="39FED723">
      <w:pPr>
        <w:pStyle w:val="43"/>
        <w:framePr w:w="0" w:hRule="auto" w:wrap="auto" w:vAnchor="margin" w:hAnchor="text" w:xAlign="left" w:yAlign="inline"/>
        <w:spacing w:line="360" w:lineRule="auto"/>
        <w:rPr>
          <w:rFonts w:hint="eastAsia" w:ascii="宋体" w:hAnsi="宋体" w:eastAsia="宋体" w:cs="宋体"/>
          <w:b/>
          <w:sz w:val="36"/>
          <w:szCs w:val="36"/>
          <w:lang w:eastAsia="zh-CN"/>
        </w:rPr>
      </w:pPr>
      <w:r>
        <w:rPr>
          <w:rFonts w:hint="eastAsia" w:ascii="宋体" w:hAnsi="宋体" w:eastAsia="宋体" w:cs="宋体"/>
          <w:b/>
          <w:sz w:val="36"/>
          <w:szCs w:val="36"/>
          <w:lang w:eastAsia="zh-CN"/>
        </w:rPr>
        <w:t>2026年南方电网数字电网集团有限公司深圳分公司信息类软硬件（全流量检测分析设备、流量汇聚镜像设备、上网行为管理、防病毒系统、数据库审计系统）投标寻源项目</w:t>
      </w:r>
    </w:p>
    <w:p w14:paraId="6F7669D6">
      <w:pPr>
        <w:pStyle w:val="43"/>
        <w:framePr w:w="0" w:hRule="auto" w:wrap="auto" w:vAnchor="margin" w:hAnchor="text" w:xAlign="left" w:yAlign="inline"/>
        <w:spacing w:line="360" w:lineRule="auto"/>
        <w:rPr>
          <w:rFonts w:hint="eastAsia" w:ascii="宋体" w:hAnsi="宋体" w:eastAsia="宋体" w:cs="宋体"/>
          <w:b/>
          <w:spacing w:val="30"/>
          <w:sz w:val="36"/>
          <w:szCs w:val="36"/>
        </w:rPr>
      </w:pPr>
      <w:r>
        <w:rPr>
          <w:rFonts w:hint="eastAsia" w:ascii="宋体" w:hAnsi="宋体" w:eastAsia="宋体" w:cs="宋体"/>
          <w:b/>
          <w:spacing w:val="100"/>
          <w:sz w:val="36"/>
          <w:szCs w:val="36"/>
        </w:rPr>
        <w:t>技术</w:t>
      </w:r>
      <w:r>
        <w:rPr>
          <w:rFonts w:hint="eastAsia" w:ascii="宋体" w:hAnsi="宋体" w:eastAsia="宋体" w:cs="宋体"/>
          <w:b/>
          <w:spacing w:val="100"/>
          <w:sz w:val="36"/>
          <w:szCs w:val="36"/>
          <w:lang w:val="en-US" w:eastAsia="zh-CN"/>
        </w:rPr>
        <w:t>规范</w:t>
      </w:r>
      <w:r>
        <w:rPr>
          <w:rFonts w:hint="eastAsia" w:ascii="宋体" w:hAnsi="宋体" w:eastAsia="宋体" w:cs="宋体"/>
          <w:b/>
          <w:spacing w:val="100"/>
          <w:sz w:val="36"/>
          <w:szCs w:val="36"/>
        </w:rPr>
        <w:t>书</w:t>
      </w:r>
    </w:p>
    <w:p w14:paraId="44BD62D1">
      <w:pPr>
        <w:pStyle w:val="60"/>
        <w:rPr>
          <w:rFonts w:hint="eastAsia" w:hAnsi="宋体" w:cs="宋体"/>
        </w:rPr>
      </w:pPr>
    </w:p>
    <w:p w14:paraId="7E48411C">
      <w:pPr>
        <w:pStyle w:val="60"/>
        <w:rPr>
          <w:rFonts w:hint="eastAsia" w:hAnsi="宋体" w:cs="宋体"/>
        </w:rPr>
      </w:pPr>
    </w:p>
    <w:p w14:paraId="4F6DC054">
      <w:pPr>
        <w:pStyle w:val="60"/>
        <w:rPr>
          <w:rFonts w:hint="eastAsia" w:hAnsi="宋体" w:cs="宋体"/>
        </w:rPr>
      </w:pPr>
    </w:p>
    <w:p w14:paraId="63C52133">
      <w:pPr>
        <w:pStyle w:val="60"/>
        <w:rPr>
          <w:rFonts w:hint="eastAsia" w:hAnsi="宋体" w:cs="宋体"/>
        </w:rPr>
      </w:pPr>
    </w:p>
    <w:p w14:paraId="252F93F9">
      <w:pPr>
        <w:pStyle w:val="60"/>
        <w:rPr>
          <w:rFonts w:hint="eastAsia" w:hAnsi="宋体" w:cs="宋体"/>
        </w:rPr>
      </w:pPr>
    </w:p>
    <w:p w14:paraId="0679C0C7">
      <w:pPr>
        <w:pStyle w:val="60"/>
        <w:jc w:val="both"/>
        <w:rPr>
          <w:rFonts w:hint="eastAsia" w:hAnsi="宋体" w:cs="宋体"/>
        </w:rPr>
      </w:pPr>
    </w:p>
    <w:p w14:paraId="351F1686">
      <w:pPr>
        <w:pStyle w:val="60"/>
        <w:jc w:val="both"/>
        <w:rPr>
          <w:rFonts w:hint="eastAsia" w:hAnsi="宋体" w:cs="宋体"/>
        </w:rPr>
      </w:pPr>
    </w:p>
    <w:p w14:paraId="04955557">
      <w:pPr>
        <w:pStyle w:val="60"/>
        <w:rPr>
          <w:rFonts w:hint="eastAsia" w:hAnsi="宋体" w:cs="宋体"/>
          <w:b/>
          <w:spacing w:val="32"/>
          <w:position w:val="-6"/>
          <w:sz w:val="32"/>
          <w:szCs w:val="32"/>
        </w:rPr>
      </w:pPr>
      <w:r>
        <w:rPr>
          <w:rFonts w:hint="eastAsia" w:hAnsi="宋体" w:cs="宋体"/>
          <w:b/>
          <w:spacing w:val="32"/>
          <w:position w:val="-6"/>
          <w:sz w:val="32"/>
          <w:szCs w:val="32"/>
        </w:rPr>
        <w:t>202</w:t>
      </w:r>
      <w:r>
        <w:rPr>
          <w:rFonts w:hint="eastAsia" w:hAnsi="宋体" w:cs="宋体"/>
          <w:b/>
          <w:spacing w:val="32"/>
          <w:position w:val="-6"/>
          <w:sz w:val="32"/>
          <w:szCs w:val="32"/>
          <w:lang w:val="en-US" w:eastAsia="zh-CN"/>
        </w:rPr>
        <w:t>6</w:t>
      </w:r>
      <w:r>
        <w:rPr>
          <w:rFonts w:hint="eastAsia" w:hAnsi="宋体" w:cs="宋体"/>
          <w:b/>
          <w:spacing w:val="32"/>
          <w:position w:val="-6"/>
          <w:sz w:val="32"/>
          <w:szCs w:val="32"/>
        </w:rPr>
        <w:t>年</w:t>
      </w:r>
      <w:r>
        <w:rPr>
          <w:rFonts w:hint="eastAsia" w:hAnsi="宋体" w:cs="宋体"/>
          <w:b/>
          <w:spacing w:val="32"/>
          <w:position w:val="-6"/>
          <w:sz w:val="32"/>
          <w:szCs w:val="32"/>
          <w:lang w:val="en-US" w:eastAsia="zh-CN"/>
        </w:rPr>
        <w:t>6</w:t>
      </w:r>
      <w:r>
        <w:rPr>
          <w:rFonts w:hint="eastAsia" w:hAnsi="宋体" w:cs="宋体"/>
          <w:b/>
          <w:spacing w:val="32"/>
          <w:position w:val="-6"/>
          <w:sz w:val="32"/>
          <w:szCs w:val="32"/>
        </w:rPr>
        <w:t>月</w:t>
      </w:r>
    </w:p>
    <w:p w14:paraId="72197CAA">
      <w:pPr>
        <w:pStyle w:val="60"/>
        <w:rPr>
          <w:rFonts w:hint="eastAsia" w:hAnsi="宋体" w:cs="宋体"/>
          <w:b/>
          <w:spacing w:val="32"/>
          <w:position w:val="-6"/>
          <w:sz w:val="32"/>
          <w:szCs w:val="32"/>
        </w:rPr>
        <w:sectPr>
          <w:footerReference r:id="rId3" w:type="default"/>
          <w:footerReference r:id="rId4"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3F306F28">
      <w:pPr>
        <w:pageBreakBefore/>
        <w:rPr>
          <w:rFonts w:hint="eastAsia" w:ascii="宋体" w:hAnsi="宋体" w:cs="宋体"/>
          <w:b/>
          <w:spacing w:val="24"/>
          <w:position w:val="-6"/>
          <w:sz w:val="36"/>
          <w:szCs w:val="36"/>
        </w:rPr>
      </w:pPr>
    </w:p>
    <w:bookmarkEnd w:id="0"/>
    <w:p w14:paraId="7186E515">
      <w:pPr>
        <w:adjustRightInd w:val="0"/>
        <w:spacing w:line="360" w:lineRule="auto"/>
        <w:jc w:val="center"/>
        <w:textAlignment w:val="baseline"/>
        <w:rPr>
          <w:rFonts w:hint="eastAsia" w:ascii="宋体" w:hAnsi="宋体" w:cs="宋体"/>
          <w:b/>
          <w:bCs/>
          <w:kern w:val="0"/>
          <w:sz w:val="32"/>
          <w:szCs w:val="32"/>
        </w:rPr>
      </w:pPr>
      <w:r>
        <w:rPr>
          <w:rFonts w:hint="eastAsia" w:ascii="宋体" w:hAnsi="宋体" w:cs="宋体"/>
          <w:b/>
          <w:bCs/>
          <w:kern w:val="0"/>
          <w:sz w:val="32"/>
          <w:szCs w:val="32"/>
        </w:rPr>
        <w:t>目录</w:t>
      </w:r>
    </w:p>
    <w:p w14:paraId="46222589">
      <w:pPr>
        <w:pStyle w:val="20"/>
        <w:tabs>
          <w:tab w:val="right" w:leader="dot" w:pos="8306"/>
        </w:tabs>
      </w:pPr>
      <w:r>
        <w:fldChar w:fldCharType="begin"/>
      </w:r>
      <w:r>
        <w:instrText xml:space="preserve">TOC \o "1-1" \h \u </w:instrText>
      </w:r>
      <w:r>
        <w:fldChar w:fldCharType="separate"/>
      </w:r>
      <w:r>
        <w:fldChar w:fldCharType="begin"/>
      </w:r>
      <w:r>
        <w:instrText xml:space="preserve"> HYPERLINK \l _Toc28605 </w:instrText>
      </w:r>
      <w:r>
        <w:fldChar w:fldCharType="separate"/>
      </w:r>
      <w:r>
        <w:rPr>
          <w:rFonts w:hint="eastAsia" w:ascii="宋体" w:hAnsi="宋体" w:cs="宋体"/>
          <w:kern w:val="0"/>
          <w:szCs w:val="24"/>
        </w:rPr>
        <w:t>1 总则</w:t>
      </w:r>
      <w:r>
        <w:tab/>
      </w:r>
      <w:r>
        <w:fldChar w:fldCharType="begin"/>
      </w:r>
      <w:r>
        <w:instrText xml:space="preserve"> PAGEREF _Toc28605 \h </w:instrText>
      </w:r>
      <w:r>
        <w:fldChar w:fldCharType="separate"/>
      </w:r>
      <w:r>
        <w:t>3</w:t>
      </w:r>
      <w:r>
        <w:fldChar w:fldCharType="end"/>
      </w:r>
      <w:r>
        <w:fldChar w:fldCharType="end"/>
      </w:r>
    </w:p>
    <w:p w14:paraId="4524A2C5">
      <w:pPr>
        <w:pStyle w:val="20"/>
        <w:tabs>
          <w:tab w:val="right" w:leader="dot" w:pos="8306"/>
        </w:tabs>
      </w:pPr>
      <w:r>
        <w:fldChar w:fldCharType="begin"/>
      </w:r>
      <w:r>
        <w:instrText xml:space="preserve"> HYPERLINK \l _Toc9618 </w:instrText>
      </w:r>
      <w:r>
        <w:fldChar w:fldCharType="separate"/>
      </w:r>
      <w:r>
        <w:rPr>
          <w:rFonts w:hint="eastAsia" w:ascii="宋体" w:hAnsi="宋体" w:cs="宋体"/>
          <w:kern w:val="0"/>
          <w:szCs w:val="24"/>
        </w:rPr>
        <w:t>2 工作</w:t>
      </w:r>
      <w:r>
        <w:rPr>
          <w:rFonts w:hint="eastAsia" w:ascii="宋体" w:hAnsi="宋体" w:cs="宋体"/>
          <w:kern w:val="0"/>
          <w:szCs w:val="24"/>
          <w:lang w:val="en-US" w:eastAsia="zh-CN"/>
        </w:rPr>
        <w:t>概况</w:t>
      </w:r>
      <w:r>
        <w:tab/>
      </w:r>
      <w:r>
        <w:fldChar w:fldCharType="begin"/>
      </w:r>
      <w:r>
        <w:instrText xml:space="preserve"> PAGEREF _Toc9618 \h </w:instrText>
      </w:r>
      <w:r>
        <w:fldChar w:fldCharType="separate"/>
      </w:r>
      <w:r>
        <w:t>4</w:t>
      </w:r>
      <w:r>
        <w:fldChar w:fldCharType="end"/>
      </w:r>
      <w:r>
        <w:fldChar w:fldCharType="end"/>
      </w:r>
    </w:p>
    <w:p w14:paraId="2BC51BA9">
      <w:pPr>
        <w:pStyle w:val="20"/>
        <w:tabs>
          <w:tab w:val="right" w:leader="dot" w:pos="8306"/>
        </w:tabs>
      </w:pPr>
      <w:r>
        <w:fldChar w:fldCharType="begin"/>
      </w:r>
      <w:r>
        <w:instrText xml:space="preserve"> HYPERLINK \l _Toc29280 </w:instrText>
      </w:r>
      <w:r>
        <w:fldChar w:fldCharType="separate"/>
      </w:r>
      <w:r>
        <w:rPr>
          <w:rFonts w:hint="eastAsia" w:ascii="宋体" w:hAnsi="宋体" w:eastAsia="宋体" w:cs="宋体"/>
          <w:bCs/>
          <w:kern w:val="0"/>
          <w:szCs w:val="24"/>
        </w:rPr>
        <w:t>3 工作范围</w:t>
      </w:r>
      <w:r>
        <w:tab/>
      </w:r>
      <w:r>
        <w:fldChar w:fldCharType="begin"/>
      </w:r>
      <w:r>
        <w:instrText xml:space="preserve"> PAGEREF _Toc29280 \h </w:instrText>
      </w:r>
      <w:r>
        <w:fldChar w:fldCharType="separate"/>
      </w:r>
      <w:r>
        <w:t>4</w:t>
      </w:r>
      <w:r>
        <w:fldChar w:fldCharType="end"/>
      </w:r>
      <w:r>
        <w:fldChar w:fldCharType="end"/>
      </w:r>
    </w:p>
    <w:p w14:paraId="290542CE">
      <w:pPr>
        <w:pStyle w:val="20"/>
        <w:tabs>
          <w:tab w:val="right" w:leader="dot" w:pos="8306"/>
        </w:tabs>
      </w:pPr>
      <w:r>
        <w:fldChar w:fldCharType="begin"/>
      </w:r>
      <w:r>
        <w:instrText xml:space="preserve"> HYPERLINK \l _Toc24958 </w:instrText>
      </w:r>
      <w:r>
        <w:fldChar w:fldCharType="separate"/>
      </w:r>
      <w:r>
        <w:rPr>
          <w:rFonts w:hint="eastAsia" w:ascii="宋体" w:hAnsi="宋体" w:cs="宋体"/>
          <w:kern w:val="0"/>
          <w:szCs w:val="24"/>
        </w:rPr>
        <w:t>4 引用标准</w:t>
      </w:r>
      <w:r>
        <w:tab/>
      </w:r>
      <w:r>
        <w:fldChar w:fldCharType="begin"/>
      </w:r>
      <w:r>
        <w:instrText xml:space="preserve"> PAGEREF _Toc24958 \h </w:instrText>
      </w:r>
      <w:r>
        <w:fldChar w:fldCharType="separate"/>
      </w:r>
      <w:r>
        <w:t>4</w:t>
      </w:r>
      <w:r>
        <w:fldChar w:fldCharType="end"/>
      </w:r>
      <w:r>
        <w:fldChar w:fldCharType="end"/>
      </w:r>
    </w:p>
    <w:p w14:paraId="0C16FE58">
      <w:pPr>
        <w:pStyle w:val="20"/>
        <w:tabs>
          <w:tab w:val="right" w:leader="dot" w:pos="8306"/>
        </w:tabs>
      </w:pPr>
      <w:r>
        <w:fldChar w:fldCharType="begin"/>
      </w:r>
      <w:r>
        <w:instrText xml:space="preserve"> HYPERLINK \l _Toc29245 </w:instrText>
      </w:r>
      <w:r>
        <w:fldChar w:fldCharType="separate"/>
      </w:r>
      <w:r>
        <w:rPr>
          <w:rFonts w:hint="eastAsia" w:ascii="宋体" w:hAnsi="宋体" w:cs="宋体"/>
          <w:kern w:val="0"/>
          <w:szCs w:val="24"/>
        </w:rPr>
        <w:t xml:space="preserve">5 </w:t>
      </w:r>
      <w:r>
        <w:rPr>
          <w:rFonts w:hint="eastAsia" w:ascii="宋体" w:hAnsi="宋体" w:cs="宋体"/>
          <w:kern w:val="0"/>
          <w:szCs w:val="24"/>
          <w:highlight w:val="none"/>
        </w:rPr>
        <w:t>技术要求</w:t>
      </w:r>
      <w:r>
        <w:tab/>
      </w:r>
      <w:r>
        <w:fldChar w:fldCharType="begin"/>
      </w:r>
      <w:r>
        <w:instrText xml:space="preserve"> PAGEREF _Toc29245 \h </w:instrText>
      </w:r>
      <w:r>
        <w:fldChar w:fldCharType="separate"/>
      </w:r>
      <w:r>
        <w:t>4</w:t>
      </w:r>
      <w:r>
        <w:fldChar w:fldCharType="end"/>
      </w:r>
      <w:r>
        <w:fldChar w:fldCharType="end"/>
      </w:r>
    </w:p>
    <w:p w14:paraId="407681E8">
      <w:pPr>
        <w:pStyle w:val="20"/>
        <w:tabs>
          <w:tab w:val="right" w:leader="dot" w:pos="8306"/>
        </w:tabs>
      </w:pPr>
      <w:r>
        <w:fldChar w:fldCharType="begin"/>
      </w:r>
      <w:r>
        <w:instrText xml:space="preserve"> HYPERLINK \l _Toc18856 </w:instrText>
      </w:r>
      <w:r>
        <w:fldChar w:fldCharType="separate"/>
      </w:r>
      <w:r>
        <w:rPr>
          <w:rFonts w:hint="eastAsia" w:ascii="宋体" w:hAnsi="宋体" w:cs="宋体"/>
          <w:kern w:val="0"/>
          <w:szCs w:val="24"/>
        </w:rPr>
        <w:t>6 资料管理</w:t>
      </w:r>
      <w:r>
        <w:tab/>
      </w:r>
      <w:r>
        <w:fldChar w:fldCharType="begin"/>
      </w:r>
      <w:r>
        <w:instrText xml:space="preserve"> PAGEREF _Toc18856 \h </w:instrText>
      </w:r>
      <w:r>
        <w:fldChar w:fldCharType="separate"/>
      </w:r>
      <w:r>
        <w:t>6</w:t>
      </w:r>
      <w:r>
        <w:fldChar w:fldCharType="end"/>
      </w:r>
      <w:r>
        <w:fldChar w:fldCharType="end"/>
      </w:r>
    </w:p>
    <w:p w14:paraId="42CADA47">
      <w:pPr>
        <w:pStyle w:val="20"/>
        <w:tabs>
          <w:tab w:val="right" w:leader="dot" w:pos="8306"/>
        </w:tabs>
      </w:pPr>
      <w:r>
        <w:fldChar w:fldCharType="begin"/>
      </w:r>
      <w:r>
        <w:instrText xml:space="preserve"> HYPERLINK \l _Toc31393 </w:instrText>
      </w:r>
      <w:r>
        <w:fldChar w:fldCharType="separate"/>
      </w:r>
      <w:r>
        <w:rPr>
          <w:rFonts w:hint="eastAsia" w:ascii="宋体" w:hAnsi="宋体"/>
          <w:kern w:val="0"/>
          <w:szCs w:val="24"/>
        </w:rPr>
        <w:t>7 售后服务及技术培训</w:t>
      </w:r>
      <w:r>
        <w:tab/>
      </w:r>
      <w:r>
        <w:fldChar w:fldCharType="begin"/>
      </w:r>
      <w:r>
        <w:instrText xml:space="preserve"> PAGEREF _Toc31393 \h </w:instrText>
      </w:r>
      <w:r>
        <w:fldChar w:fldCharType="separate"/>
      </w:r>
      <w:r>
        <w:t>7</w:t>
      </w:r>
      <w:r>
        <w:fldChar w:fldCharType="end"/>
      </w:r>
      <w:r>
        <w:fldChar w:fldCharType="end"/>
      </w:r>
    </w:p>
    <w:p w14:paraId="50320DE5">
      <w:pPr>
        <w:pStyle w:val="20"/>
        <w:tabs>
          <w:tab w:val="right" w:leader="dot" w:pos="8306"/>
        </w:tabs>
      </w:pPr>
      <w:r>
        <w:fldChar w:fldCharType="begin"/>
      </w:r>
      <w:r>
        <w:instrText xml:space="preserve"> HYPERLINK \l _Toc1399 </w:instrText>
      </w:r>
      <w:r>
        <w:fldChar w:fldCharType="separate"/>
      </w:r>
      <w:r>
        <w:rPr>
          <w:rFonts w:hint="eastAsia" w:ascii="宋体" w:hAnsi="宋体" w:cs="宋体"/>
          <w:kern w:val="0"/>
          <w:szCs w:val="24"/>
        </w:rPr>
        <w:t>8 质量保证</w:t>
      </w:r>
      <w:r>
        <w:tab/>
      </w:r>
      <w:r>
        <w:fldChar w:fldCharType="begin"/>
      </w:r>
      <w:r>
        <w:instrText xml:space="preserve"> PAGEREF _Toc1399 \h </w:instrText>
      </w:r>
      <w:r>
        <w:fldChar w:fldCharType="separate"/>
      </w:r>
      <w:r>
        <w:t>8</w:t>
      </w:r>
      <w:r>
        <w:fldChar w:fldCharType="end"/>
      </w:r>
      <w:r>
        <w:fldChar w:fldCharType="end"/>
      </w:r>
    </w:p>
    <w:p w14:paraId="7E782362">
      <w:pPr>
        <w:pStyle w:val="20"/>
        <w:tabs>
          <w:tab w:val="right" w:leader="dot" w:pos="8306"/>
        </w:tabs>
      </w:pPr>
      <w:r>
        <w:fldChar w:fldCharType="begin"/>
      </w:r>
      <w:r>
        <w:instrText xml:space="preserve"> HYPERLINK \l _Toc353 </w:instrText>
      </w:r>
      <w:r>
        <w:fldChar w:fldCharType="separate"/>
      </w:r>
      <w:r>
        <w:rPr>
          <w:rFonts w:hint="eastAsia" w:ascii="宋体" w:hAnsi="宋体" w:cs="宋体"/>
          <w:kern w:val="0"/>
          <w:szCs w:val="24"/>
        </w:rPr>
        <w:t>9 包装、运输和贮存</w:t>
      </w:r>
      <w:r>
        <w:tab/>
      </w:r>
      <w:r>
        <w:fldChar w:fldCharType="begin"/>
      </w:r>
      <w:r>
        <w:instrText xml:space="preserve"> PAGEREF _Toc353 \h </w:instrText>
      </w:r>
      <w:r>
        <w:fldChar w:fldCharType="separate"/>
      </w:r>
      <w:r>
        <w:t>8</w:t>
      </w:r>
      <w:r>
        <w:fldChar w:fldCharType="end"/>
      </w:r>
      <w:r>
        <w:fldChar w:fldCharType="end"/>
      </w:r>
    </w:p>
    <w:p w14:paraId="50D982CB">
      <w:pPr>
        <w:pStyle w:val="20"/>
        <w:tabs>
          <w:tab w:val="right" w:leader="dot" w:pos="8306"/>
        </w:tabs>
      </w:pPr>
      <w:r>
        <w:fldChar w:fldCharType="end"/>
      </w:r>
      <w:r>
        <w:fldChar w:fldCharType="begin"/>
      </w:r>
      <w:r>
        <w:instrText xml:space="preserve"> HYPERLINK \l _Toc1204 </w:instrText>
      </w:r>
      <w:r>
        <w:fldChar w:fldCharType="separate"/>
      </w:r>
      <w:r>
        <w:fldChar w:fldCharType="end"/>
      </w:r>
    </w:p>
    <w:p w14:paraId="1AD7275B">
      <w:pPr>
        <w:adjustRightInd w:val="0"/>
        <w:spacing w:line="360" w:lineRule="auto"/>
        <w:textAlignment w:val="baseline"/>
      </w:pPr>
    </w:p>
    <w:p w14:paraId="70C151DB">
      <w:pPr>
        <w:pStyle w:val="31"/>
      </w:pPr>
    </w:p>
    <w:p w14:paraId="421C0C4C">
      <w:pPr>
        <w:pStyle w:val="31"/>
        <w:rPr>
          <w:rFonts w:hint="eastAsia"/>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63C98EB1">
      <w:pPr>
        <w:pStyle w:val="4"/>
        <w:numPr>
          <w:ilvl w:val="0"/>
          <w:numId w:val="4"/>
        </w:numPr>
        <w:spacing w:before="0" w:after="0" w:line="360" w:lineRule="auto"/>
        <w:rPr>
          <w:rFonts w:hint="eastAsia" w:ascii="宋体" w:hAnsi="宋体" w:cs="宋体"/>
          <w:kern w:val="0"/>
          <w:sz w:val="24"/>
          <w:szCs w:val="24"/>
        </w:rPr>
      </w:pPr>
      <w:bookmarkStart w:id="1" w:name="_Toc21939"/>
      <w:bookmarkStart w:id="2" w:name="_Toc28605"/>
      <w:bookmarkStart w:id="3" w:name="_Toc32270_WPSOffice_Level1"/>
      <w:bookmarkStart w:id="4" w:name="_Toc27288_WPSOffice_Level1"/>
      <w:r>
        <w:rPr>
          <w:rFonts w:hint="eastAsia" w:ascii="宋体" w:hAnsi="宋体" w:cs="宋体"/>
          <w:kern w:val="0"/>
          <w:sz w:val="24"/>
          <w:szCs w:val="24"/>
        </w:rPr>
        <w:t>总则</w:t>
      </w:r>
      <w:bookmarkEnd w:id="1"/>
      <w:bookmarkEnd w:id="2"/>
      <w:bookmarkEnd w:id="3"/>
      <w:bookmarkEnd w:id="4"/>
    </w:p>
    <w:p w14:paraId="6B5FD152">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为适应南方电网数字电网集团有限公司深圳分公司发展需要，规范采购招标技术要求，特制定本技术条件书。本技术条件书适用于</w:t>
      </w:r>
      <w:r>
        <w:rPr>
          <w:rFonts w:hint="eastAsia" w:ascii="宋体" w:hAnsi="宋体" w:cs="宋体"/>
          <w:sz w:val="24"/>
          <w:lang w:eastAsia="zh-CN"/>
        </w:rPr>
        <w:t>2026年南方电网数字电网集团有限公司深圳分公司信息类软硬件（全流量检测分析设备、流量汇聚镜像设备、上网行为管理、防病毒系统、数据库审计系统）投标寻源项目</w:t>
      </w:r>
      <w:r>
        <w:rPr>
          <w:rFonts w:hint="eastAsia" w:ascii="宋体" w:hAnsi="宋体" w:cs="宋体"/>
          <w:sz w:val="24"/>
        </w:rPr>
        <w:t>。</w:t>
      </w:r>
    </w:p>
    <w:p w14:paraId="0C020F21">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本技术条件书提出的是最低限度的技术要求, 并未对一切技术细节做出规定, 也未充分引述有关标准和规范的条文,</w:t>
      </w:r>
      <w:r>
        <w:rPr>
          <w:rFonts w:hint="eastAsia" w:ascii="宋体" w:hAnsi="宋体" w:cs="宋体"/>
          <w:sz w:val="24"/>
          <w:lang w:eastAsia="zh-CN"/>
        </w:rPr>
        <w:t>报价人</w:t>
      </w:r>
      <w:r>
        <w:rPr>
          <w:rFonts w:hint="eastAsia" w:ascii="宋体" w:hAnsi="宋体" w:cs="宋体"/>
          <w:sz w:val="24"/>
        </w:rPr>
        <w:t>应提供符合本技术条件书和工业标准的优质产品。</w:t>
      </w:r>
    </w:p>
    <w:p w14:paraId="5CCCC275">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如果</w:t>
      </w:r>
      <w:r>
        <w:rPr>
          <w:rFonts w:hint="eastAsia" w:ascii="宋体" w:hAnsi="宋体" w:cs="宋体"/>
          <w:sz w:val="24"/>
          <w:lang w:eastAsia="zh-CN"/>
        </w:rPr>
        <w:t>报价人</w:t>
      </w:r>
      <w:r>
        <w:rPr>
          <w:rFonts w:hint="eastAsia" w:ascii="宋体" w:hAnsi="宋体" w:cs="宋体"/>
          <w:sz w:val="24"/>
        </w:rPr>
        <w:t>没有以书面形式对本技术条件书的条文提出异议, 则意味着</w:t>
      </w:r>
      <w:r>
        <w:rPr>
          <w:rFonts w:hint="eastAsia" w:ascii="宋体" w:hAnsi="宋体" w:cs="宋体"/>
          <w:sz w:val="24"/>
          <w:lang w:eastAsia="zh-CN"/>
        </w:rPr>
        <w:t>报价人</w:t>
      </w:r>
      <w:r>
        <w:rPr>
          <w:rFonts w:hint="eastAsia" w:ascii="宋体" w:hAnsi="宋体" w:cs="宋体"/>
          <w:sz w:val="24"/>
        </w:rPr>
        <w:t>方提供的设备(或系统)完全符合本技术条件书的要求。如有异议, 不管是多么微小, 都应在报价书中以“对谈判技术文件的意见和同谈判技术文件的差异”为标题的专门章节中加以详细描述。</w:t>
      </w:r>
    </w:p>
    <w:p w14:paraId="34A27F2C">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本技术条件书所使用的标准如遇与</w:t>
      </w:r>
      <w:r>
        <w:rPr>
          <w:rFonts w:hint="eastAsia" w:ascii="宋体" w:hAnsi="宋体" w:cs="宋体"/>
          <w:sz w:val="24"/>
          <w:lang w:eastAsia="zh-CN"/>
        </w:rPr>
        <w:t>报价人</w:t>
      </w:r>
      <w:r>
        <w:rPr>
          <w:rFonts w:hint="eastAsia" w:ascii="宋体" w:hAnsi="宋体" w:cs="宋体"/>
          <w:sz w:val="24"/>
        </w:rPr>
        <w:t>所执行的标准不一致时, 按较高标准执行。</w:t>
      </w:r>
    </w:p>
    <w:p w14:paraId="6347886A">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本技术条件书经</w:t>
      </w:r>
      <w:r>
        <w:rPr>
          <w:rFonts w:hint="eastAsia" w:ascii="宋体" w:hAnsi="宋体" w:cs="宋体"/>
          <w:sz w:val="24"/>
          <w:lang w:eastAsia="zh-CN"/>
        </w:rPr>
        <w:t>投标寻源方</w:t>
      </w:r>
      <w:r>
        <w:rPr>
          <w:rFonts w:hint="eastAsia" w:ascii="宋体" w:hAnsi="宋体" w:cs="宋体"/>
          <w:sz w:val="24"/>
        </w:rPr>
        <w:t>、</w:t>
      </w:r>
      <w:r>
        <w:rPr>
          <w:rFonts w:hint="eastAsia" w:ascii="宋体" w:hAnsi="宋体" w:cs="宋体"/>
          <w:sz w:val="24"/>
          <w:lang w:eastAsia="zh-CN"/>
        </w:rPr>
        <w:t>报价人</w:t>
      </w:r>
      <w:r>
        <w:rPr>
          <w:rFonts w:hint="eastAsia" w:ascii="宋体" w:hAnsi="宋体" w:cs="宋体"/>
          <w:sz w:val="24"/>
        </w:rPr>
        <w:t>双方确认后作为订货合同的技术附件，与合同正文具有同等法律效力。</w:t>
      </w:r>
    </w:p>
    <w:p w14:paraId="3CCBC398">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在响应文件中应如实反映应标产品与本技术条件书的技术差异。如果</w:t>
      </w:r>
      <w:r>
        <w:rPr>
          <w:rFonts w:hint="eastAsia" w:ascii="宋体" w:hAnsi="宋体" w:cs="宋体"/>
          <w:sz w:val="24"/>
          <w:lang w:eastAsia="zh-CN"/>
        </w:rPr>
        <w:t>报价人</w:t>
      </w:r>
      <w:r>
        <w:rPr>
          <w:rFonts w:hint="eastAsia" w:ascii="宋体" w:hAnsi="宋体" w:cs="宋体"/>
          <w:sz w:val="24"/>
        </w:rPr>
        <w:t>没有提出技术差异，而在执行合同的过程中，</w:t>
      </w:r>
      <w:r>
        <w:rPr>
          <w:rFonts w:hint="eastAsia" w:ascii="宋体" w:hAnsi="宋体" w:cs="宋体"/>
          <w:sz w:val="24"/>
          <w:lang w:eastAsia="zh-CN"/>
        </w:rPr>
        <w:t>投标寻源方</w:t>
      </w:r>
      <w:r>
        <w:rPr>
          <w:rFonts w:hint="eastAsia" w:ascii="宋体" w:hAnsi="宋体" w:cs="宋体"/>
          <w:sz w:val="24"/>
        </w:rPr>
        <w:t>发现</w:t>
      </w:r>
      <w:r>
        <w:rPr>
          <w:rFonts w:hint="eastAsia" w:ascii="宋体" w:hAnsi="宋体" w:cs="宋体"/>
          <w:sz w:val="24"/>
          <w:lang w:eastAsia="zh-CN"/>
        </w:rPr>
        <w:t>报价人</w:t>
      </w:r>
      <w:r>
        <w:rPr>
          <w:rFonts w:hint="eastAsia" w:ascii="宋体" w:hAnsi="宋体" w:cs="宋体"/>
          <w:sz w:val="24"/>
        </w:rPr>
        <w:t>提供的产品与其应标技术文件的条文存在差异，</w:t>
      </w:r>
      <w:r>
        <w:rPr>
          <w:rFonts w:hint="eastAsia" w:ascii="宋体" w:hAnsi="宋体" w:cs="宋体"/>
          <w:sz w:val="24"/>
          <w:lang w:eastAsia="zh-CN"/>
        </w:rPr>
        <w:t>投标寻源方</w:t>
      </w:r>
      <w:r>
        <w:rPr>
          <w:rFonts w:hint="eastAsia" w:ascii="宋体" w:hAnsi="宋体" w:cs="宋体"/>
          <w:sz w:val="24"/>
        </w:rPr>
        <w:t>有权利要求退货，并将对下一年度的评标工作有不同程度的影响。</w:t>
      </w:r>
    </w:p>
    <w:p w14:paraId="1480020E">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应在应标技术部分按本技术条件书的要求如实详细的填写应标设备的标准配置表，并在应标商务部分按此标准配置进行报价，如发现二者有矛盾之处，将对评标工作有不同程度的影响。</w:t>
      </w:r>
    </w:p>
    <w:p w14:paraId="00C55E10">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应充分理解本技术条件书并按本技术条件书的具体条款、格式要求填写应标的技术文件，如发现应标的技术文件条款、格式不符合本技术条件书的要求，则认为应标不严肃，在评标时将有不同程度的扣分。</w:t>
      </w:r>
    </w:p>
    <w:p w14:paraId="03B858AF">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本技术条件书未尽事宜, 由</w:t>
      </w:r>
      <w:r>
        <w:rPr>
          <w:rFonts w:hint="eastAsia" w:ascii="宋体" w:hAnsi="宋体" w:cs="宋体"/>
          <w:sz w:val="24"/>
          <w:lang w:eastAsia="zh-CN"/>
        </w:rPr>
        <w:t>投标寻源方</w:t>
      </w:r>
      <w:r>
        <w:rPr>
          <w:rFonts w:hint="eastAsia" w:ascii="宋体" w:hAnsi="宋体" w:cs="宋体"/>
          <w:sz w:val="24"/>
        </w:rPr>
        <w:t>、</w:t>
      </w:r>
      <w:r>
        <w:rPr>
          <w:rFonts w:hint="eastAsia" w:ascii="宋体" w:hAnsi="宋体" w:cs="宋体"/>
          <w:sz w:val="24"/>
          <w:lang w:eastAsia="zh-CN"/>
        </w:rPr>
        <w:t>报价人</w:t>
      </w:r>
      <w:r>
        <w:rPr>
          <w:rFonts w:hint="eastAsia" w:ascii="宋体" w:hAnsi="宋体" w:cs="宋体"/>
          <w:sz w:val="24"/>
        </w:rPr>
        <w:t>双方协商确定。</w:t>
      </w:r>
    </w:p>
    <w:p w14:paraId="0399D903">
      <w:pPr>
        <w:pStyle w:val="4"/>
        <w:keepNext/>
        <w:keepLines/>
        <w:pageBreakBefore/>
        <w:widowControl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s="宋体"/>
          <w:kern w:val="0"/>
          <w:sz w:val="24"/>
          <w:szCs w:val="24"/>
        </w:rPr>
      </w:pPr>
      <w:bookmarkStart w:id="5" w:name="_Toc9618"/>
      <w:r>
        <w:rPr>
          <w:rFonts w:hint="eastAsia" w:ascii="宋体" w:hAnsi="宋体" w:cs="宋体"/>
          <w:kern w:val="0"/>
          <w:sz w:val="24"/>
          <w:szCs w:val="24"/>
        </w:rPr>
        <w:t>工作</w:t>
      </w:r>
      <w:r>
        <w:rPr>
          <w:rFonts w:hint="eastAsia" w:ascii="宋体" w:hAnsi="宋体" w:cs="宋体"/>
          <w:kern w:val="0"/>
          <w:sz w:val="24"/>
          <w:szCs w:val="24"/>
          <w:lang w:val="en-US" w:eastAsia="zh-CN"/>
        </w:rPr>
        <w:t>概况</w:t>
      </w:r>
      <w:bookmarkEnd w:id="5"/>
    </w:p>
    <w:p w14:paraId="6518788B">
      <w:pPr>
        <w:pStyle w:val="6"/>
        <w:numPr>
          <w:ilvl w:val="2"/>
          <w:numId w:val="4"/>
        </w:numPr>
        <w:spacing w:before="0" w:after="0" w:line="360" w:lineRule="auto"/>
        <w:ind w:left="0" w:firstLine="0"/>
        <w:rPr>
          <w:rFonts w:hint="eastAsia" w:ascii="宋体" w:hAnsi="宋体" w:cs="宋体"/>
          <w:b w:val="0"/>
          <w:sz w:val="24"/>
          <w:szCs w:val="24"/>
        </w:rPr>
      </w:pPr>
      <w:r>
        <w:rPr>
          <w:rFonts w:hint="eastAsia" w:ascii="宋体" w:hAnsi="宋体" w:cs="宋体"/>
          <w:b w:val="0"/>
          <w:sz w:val="24"/>
          <w:szCs w:val="24"/>
          <w:lang w:val="en-US" w:eastAsia="zh-CN"/>
        </w:rPr>
        <w:t>为满足项目实施交付需求，计划采购</w:t>
      </w:r>
      <w:bookmarkStart w:id="6" w:name="_Toc29756"/>
      <w:bookmarkStart w:id="7" w:name="_Toc29958"/>
      <w:r>
        <w:rPr>
          <w:rFonts w:hint="eastAsia" w:ascii="宋体" w:hAnsi="宋体" w:cs="宋体"/>
          <w:b w:val="0"/>
          <w:sz w:val="24"/>
          <w:szCs w:val="24"/>
          <w:lang w:val="en-US" w:eastAsia="zh-CN"/>
        </w:rPr>
        <w:t>上网行为管理4台</w:t>
      </w:r>
      <w:bookmarkEnd w:id="6"/>
      <w:bookmarkEnd w:id="7"/>
      <w:r>
        <w:rPr>
          <w:rFonts w:hint="eastAsia" w:ascii="宋体" w:hAnsi="宋体" w:cs="宋体"/>
          <w:b w:val="0"/>
          <w:sz w:val="24"/>
          <w:szCs w:val="24"/>
          <w:lang w:val="en-US" w:eastAsia="zh-CN"/>
        </w:rPr>
        <w:t>。</w:t>
      </w:r>
    </w:p>
    <w:p w14:paraId="5572A4C6">
      <w:pPr>
        <w:pStyle w:val="4"/>
        <w:numPr>
          <w:ilvl w:val="0"/>
          <w:numId w:val="4"/>
        </w:numPr>
        <w:spacing w:before="0" w:after="0" w:line="360" w:lineRule="auto"/>
        <w:rPr>
          <w:rFonts w:hint="eastAsia" w:ascii="宋体" w:hAnsi="宋体" w:eastAsia="宋体" w:cs="宋体"/>
          <w:b/>
          <w:bCs/>
          <w:kern w:val="0"/>
          <w:sz w:val="24"/>
          <w:szCs w:val="24"/>
        </w:rPr>
      </w:pPr>
      <w:bookmarkStart w:id="8" w:name="_Toc317689829"/>
      <w:bookmarkStart w:id="9" w:name="_Toc24890_WPSOffice_Level1"/>
      <w:bookmarkStart w:id="10" w:name="_Toc317690117"/>
      <w:bookmarkStart w:id="11" w:name="_Toc18031_WPSOffice_Level1"/>
      <w:bookmarkStart w:id="12" w:name="_Toc29280"/>
      <w:bookmarkStart w:id="13" w:name="_Toc317067398"/>
      <w:bookmarkStart w:id="14" w:name="_Toc3695"/>
      <w:r>
        <w:rPr>
          <w:rFonts w:hint="eastAsia" w:ascii="宋体" w:hAnsi="宋体" w:eastAsia="宋体" w:cs="宋体"/>
          <w:b/>
          <w:bCs/>
          <w:kern w:val="0"/>
          <w:sz w:val="24"/>
          <w:szCs w:val="24"/>
        </w:rPr>
        <w:t>工作范围</w:t>
      </w:r>
      <w:bookmarkEnd w:id="8"/>
      <w:bookmarkEnd w:id="9"/>
      <w:bookmarkEnd w:id="10"/>
      <w:bookmarkEnd w:id="11"/>
      <w:bookmarkEnd w:id="12"/>
      <w:bookmarkEnd w:id="13"/>
      <w:bookmarkEnd w:id="14"/>
    </w:p>
    <w:p w14:paraId="23E151EC">
      <w:pPr>
        <w:numPr>
          <w:ilvl w:val="1"/>
          <w:numId w:val="4"/>
        </w:numPr>
        <w:adjustRightInd w:val="0"/>
        <w:spacing w:line="360" w:lineRule="auto"/>
        <w:ind w:left="0" w:firstLine="0"/>
        <w:outlineLvl w:val="1"/>
        <w:rPr>
          <w:rFonts w:hint="eastAsia" w:ascii="宋体" w:hAnsi="宋体" w:cs="宋体"/>
          <w:sz w:val="24"/>
        </w:rPr>
      </w:pPr>
      <w:bookmarkStart w:id="15" w:name="_Toc317689831"/>
      <w:bookmarkStart w:id="16" w:name="_Toc317690119"/>
      <w:bookmarkStart w:id="17" w:name="_Toc317067400"/>
      <w:bookmarkStart w:id="18" w:name="_Toc18434"/>
      <w:bookmarkStart w:id="19" w:name="_Toc8887_WPSOffice_Level1"/>
      <w:bookmarkStart w:id="20" w:name="_Toc924_WPSOffice_Level1"/>
      <w:r>
        <w:rPr>
          <w:rFonts w:hint="eastAsia" w:ascii="宋体" w:hAnsi="宋体" w:cs="宋体"/>
          <w:sz w:val="24"/>
        </w:rPr>
        <w:t>服务界限</w:t>
      </w:r>
      <w:bookmarkEnd w:id="15"/>
      <w:bookmarkEnd w:id="16"/>
      <w:bookmarkEnd w:id="17"/>
    </w:p>
    <w:p w14:paraId="6E17E119">
      <w:pPr>
        <w:pStyle w:val="6"/>
        <w:numPr>
          <w:ilvl w:val="2"/>
          <w:numId w:val="4"/>
        </w:numPr>
        <w:spacing w:before="0" w:after="0" w:line="360" w:lineRule="auto"/>
        <w:ind w:left="0" w:firstLine="0"/>
        <w:rPr>
          <w:rFonts w:hint="eastAsia" w:ascii="宋体" w:hAnsi="宋体" w:cs="宋体"/>
          <w:b w:val="0"/>
          <w:sz w:val="24"/>
          <w:szCs w:val="24"/>
        </w:rPr>
      </w:pPr>
      <w:r>
        <w:rPr>
          <w:rFonts w:hint="eastAsia" w:ascii="宋体" w:hAnsi="宋体" w:cs="宋体"/>
          <w:b w:val="0"/>
          <w:sz w:val="24"/>
          <w:szCs w:val="24"/>
        </w:rPr>
        <w:t>现场</w:t>
      </w:r>
      <w:r>
        <w:rPr>
          <w:rFonts w:hint="eastAsia" w:ascii="宋体" w:hAnsi="宋体" w:cs="宋体"/>
          <w:b w:val="0"/>
          <w:sz w:val="24"/>
          <w:szCs w:val="24"/>
          <w:lang w:val="en-US" w:eastAsia="zh-CN"/>
        </w:rPr>
        <w:t>授权</w:t>
      </w:r>
      <w:r>
        <w:rPr>
          <w:rFonts w:hint="eastAsia" w:ascii="宋体" w:hAnsi="宋体" w:cs="宋体"/>
          <w:b w:val="0"/>
          <w:sz w:val="24"/>
          <w:szCs w:val="24"/>
        </w:rPr>
        <w:t>安装和</w:t>
      </w:r>
      <w:r>
        <w:rPr>
          <w:rFonts w:hint="eastAsia" w:ascii="宋体" w:hAnsi="宋体" w:cs="宋体"/>
          <w:b w:val="0"/>
          <w:sz w:val="24"/>
          <w:szCs w:val="24"/>
          <w:lang w:val="en-US" w:eastAsia="zh-CN"/>
        </w:rPr>
        <w:t>调试</w:t>
      </w:r>
      <w:r>
        <w:rPr>
          <w:rFonts w:hint="eastAsia" w:ascii="宋体" w:hAnsi="宋体" w:cs="宋体"/>
          <w:b w:val="0"/>
          <w:sz w:val="24"/>
          <w:szCs w:val="24"/>
        </w:rPr>
        <w:t>在</w:t>
      </w:r>
      <w:r>
        <w:rPr>
          <w:rFonts w:hint="eastAsia" w:ascii="宋体" w:hAnsi="宋体" w:cs="宋体"/>
          <w:b w:val="0"/>
          <w:sz w:val="24"/>
          <w:szCs w:val="24"/>
          <w:lang w:eastAsia="zh-CN"/>
        </w:rPr>
        <w:t>报价人</w:t>
      </w:r>
      <w:r>
        <w:rPr>
          <w:rFonts w:hint="eastAsia" w:ascii="宋体" w:hAnsi="宋体" w:cs="宋体"/>
          <w:b w:val="0"/>
          <w:sz w:val="24"/>
          <w:szCs w:val="24"/>
        </w:rPr>
        <w:t>的技术指导和监督下由</w:t>
      </w:r>
      <w:r>
        <w:rPr>
          <w:rFonts w:hint="eastAsia" w:ascii="宋体" w:hAnsi="宋体" w:cs="宋体"/>
          <w:b w:val="0"/>
          <w:sz w:val="24"/>
          <w:szCs w:val="24"/>
          <w:lang w:eastAsia="zh-CN"/>
        </w:rPr>
        <w:t>投标寻源方</w:t>
      </w:r>
      <w:r>
        <w:rPr>
          <w:rFonts w:hint="eastAsia" w:ascii="宋体" w:hAnsi="宋体" w:cs="宋体"/>
          <w:b w:val="0"/>
          <w:sz w:val="24"/>
          <w:szCs w:val="24"/>
        </w:rPr>
        <w:t>完成，</w:t>
      </w:r>
      <w:r>
        <w:rPr>
          <w:rFonts w:hint="eastAsia" w:ascii="宋体" w:hAnsi="宋体" w:cs="宋体"/>
          <w:b w:val="0"/>
          <w:sz w:val="24"/>
          <w:szCs w:val="24"/>
          <w:lang w:eastAsia="zh-CN"/>
        </w:rPr>
        <w:t>报价人</w:t>
      </w:r>
      <w:r>
        <w:rPr>
          <w:rFonts w:hint="eastAsia" w:ascii="宋体" w:hAnsi="宋体" w:cs="宋体"/>
          <w:b w:val="0"/>
          <w:sz w:val="24"/>
          <w:szCs w:val="24"/>
        </w:rPr>
        <w:t>协助</w:t>
      </w:r>
      <w:r>
        <w:rPr>
          <w:rFonts w:hint="eastAsia" w:ascii="宋体" w:hAnsi="宋体" w:cs="宋体"/>
          <w:b w:val="0"/>
          <w:sz w:val="24"/>
          <w:szCs w:val="24"/>
          <w:lang w:eastAsia="zh-CN"/>
        </w:rPr>
        <w:t>投标寻源方</w:t>
      </w:r>
      <w:r>
        <w:rPr>
          <w:rFonts w:hint="eastAsia" w:ascii="宋体" w:hAnsi="宋体" w:cs="宋体"/>
          <w:b w:val="0"/>
          <w:sz w:val="24"/>
          <w:szCs w:val="24"/>
        </w:rPr>
        <w:t>按标准检查安装质量，处理调试投运过程中出现的问题；</w:t>
      </w:r>
    </w:p>
    <w:p w14:paraId="045D2F49">
      <w:pPr>
        <w:numPr>
          <w:ilvl w:val="1"/>
          <w:numId w:val="4"/>
        </w:numPr>
        <w:adjustRightInd w:val="0"/>
        <w:spacing w:line="360" w:lineRule="auto"/>
        <w:ind w:left="0" w:firstLine="0"/>
        <w:outlineLvl w:val="1"/>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到货周期</w:t>
      </w:r>
    </w:p>
    <w:p w14:paraId="17E59880">
      <w:pPr>
        <w:spacing w:line="360" w:lineRule="auto"/>
        <w:ind w:firstLine="480" w:firstLineChars="200"/>
        <w:rPr>
          <w:rFonts w:hint="eastAsia" w:ascii="宋体" w:hAnsi="宋体" w:eastAsia="宋体" w:cs="宋体"/>
          <w:sz w:val="24"/>
          <w:highlight w:val="none"/>
          <w:lang w:val="en-US" w:eastAsia="zh-CN"/>
        </w:rPr>
      </w:pPr>
      <w:r>
        <w:rPr>
          <w:rFonts w:hint="eastAsia" w:ascii="宋体" w:hAnsi="宋体" w:eastAsia="宋体" w:cs="Times New Roman"/>
          <w:sz w:val="24"/>
          <w:highlight w:val="none"/>
          <w:lang w:val="en-US" w:eastAsia="zh-CN"/>
        </w:rPr>
        <w:t>要求自合同签订之日起30日内到货。</w:t>
      </w:r>
      <w:r>
        <w:rPr>
          <w:rFonts w:hint="eastAsia" w:ascii="宋体" w:hAnsi="宋体" w:eastAsia="宋体" w:cs="Times New Roman"/>
          <w:sz w:val="24"/>
          <w:highlight w:val="none"/>
        </w:rPr>
        <w:t xml:space="preserve"> </w:t>
      </w:r>
    </w:p>
    <w:p w14:paraId="4FD5F023">
      <w:pPr>
        <w:pStyle w:val="4"/>
        <w:numPr>
          <w:ilvl w:val="0"/>
          <w:numId w:val="4"/>
        </w:numPr>
        <w:spacing w:before="0" w:after="0" w:line="360" w:lineRule="auto"/>
        <w:rPr>
          <w:rFonts w:hint="eastAsia" w:ascii="宋体" w:hAnsi="宋体" w:cs="宋体"/>
          <w:kern w:val="0"/>
          <w:sz w:val="24"/>
          <w:szCs w:val="24"/>
        </w:rPr>
      </w:pPr>
      <w:bookmarkStart w:id="21" w:name="_Toc24958"/>
      <w:r>
        <w:rPr>
          <w:rFonts w:hint="eastAsia" w:ascii="宋体" w:hAnsi="宋体" w:cs="宋体"/>
          <w:kern w:val="0"/>
          <w:sz w:val="24"/>
          <w:szCs w:val="24"/>
        </w:rPr>
        <w:t>引用标准</w:t>
      </w:r>
      <w:bookmarkEnd w:id="18"/>
      <w:bookmarkEnd w:id="19"/>
      <w:bookmarkEnd w:id="20"/>
      <w:bookmarkEnd w:id="21"/>
    </w:p>
    <w:p w14:paraId="2F7170D2">
      <w:pPr>
        <w:spacing w:line="360" w:lineRule="auto"/>
        <w:ind w:firstLine="420"/>
        <w:rPr>
          <w:rFonts w:hint="eastAsia" w:ascii="宋体" w:hAnsi="宋体" w:cs="宋体"/>
          <w:sz w:val="24"/>
        </w:rPr>
      </w:pPr>
      <w:bookmarkStart w:id="22" w:name="FLDBZBH"/>
      <w:bookmarkEnd w:id="22"/>
      <w:r>
        <w:rPr>
          <w:rFonts w:hint="eastAsia" w:ascii="宋体" w:hAnsi="宋体" w:cs="宋体"/>
          <w:sz w:val="24"/>
        </w:rPr>
        <w:t>除本招标书另有说明外，</w:t>
      </w:r>
      <w:r>
        <w:rPr>
          <w:rFonts w:hint="eastAsia" w:ascii="宋体" w:hAnsi="宋体" w:cs="宋体"/>
          <w:sz w:val="24"/>
          <w:lang w:eastAsia="zh-CN"/>
        </w:rPr>
        <w:t>报价人</w:t>
      </w:r>
      <w:r>
        <w:rPr>
          <w:rFonts w:hint="eastAsia" w:ascii="宋体" w:hAnsi="宋体" w:cs="宋体"/>
          <w:sz w:val="24"/>
        </w:rPr>
        <w:t>提供的所有设备均应按照下列标准进行设计、制造、检验和安装。所用的标准必须是最新版本。如果这些标准的内容有不同之处时，应按照最高标准的条款执行或按双方协商同意的标准执行。如果</w:t>
      </w:r>
      <w:r>
        <w:rPr>
          <w:rFonts w:hint="eastAsia" w:ascii="宋体" w:hAnsi="宋体" w:cs="宋体"/>
          <w:sz w:val="24"/>
          <w:lang w:eastAsia="zh-CN"/>
        </w:rPr>
        <w:t>报价人</w:t>
      </w:r>
      <w:r>
        <w:rPr>
          <w:rFonts w:hint="eastAsia" w:ascii="宋体" w:hAnsi="宋体" w:cs="宋体"/>
          <w:sz w:val="24"/>
        </w:rPr>
        <w:t>选用本条件书以外的标准时，需提交这种替换标准相当于或优于本条件书规定的标准的说明。标准如下：</w:t>
      </w:r>
    </w:p>
    <w:p w14:paraId="375527DD">
      <w:pPr>
        <w:spacing w:line="360" w:lineRule="auto"/>
        <w:rPr>
          <w:rFonts w:hint="eastAsia" w:ascii="宋体" w:hAnsi="宋体" w:cs="宋体"/>
          <w:sz w:val="24"/>
        </w:rPr>
      </w:pPr>
      <w:r>
        <w:rPr>
          <w:rFonts w:hint="eastAsia" w:ascii="宋体" w:hAnsi="宋体" w:cs="宋体"/>
          <w:sz w:val="24"/>
        </w:rPr>
        <w:t>（1）GB-------中华人民共和国国家标准</w:t>
      </w:r>
    </w:p>
    <w:p w14:paraId="6722E461">
      <w:pPr>
        <w:spacing w:line="360" w:lineRule="auto"/>
        <w:rPr>
          <w:rFonts w:hint="eastAsia" w:ascii="宋体" w:hAnsi="宋体" w:cs="宋体"/>
          <w:sz w:val="24"/>
        </w:rPr>
      </w:pPr>
      <w:r>
        <w:rPr>
          <w:rFonts w:hint="eastAsia" w:ascii="宋体" w:hAnsi="宋体" w:cs="宋体"/>
          <w:sz w:val="24"/>
        </w:rPr>
        <w:t>（2）DL-------中华人民共和国电力行业标准</w:t>
      </w:r>
    </w:p>
    <w:p w14:paraId="45FE145A">
      <w:pPr>
        <w:spacing w:line="360" w:lineRule="auto"/>
        <w:rPr>
          <w:rFonts w:hint="eastAsia" w:ascii="宋体" w:hAnsi="宋体" w:cs="宋体"/>
          <w:sz w:val="24"/>
        </w:rPr>
      </w:pPr>
      <w:r>
        <w:rPr>
          <w:rFonts w:hint="eastAsia" w:ascii="宋体" w:hAnsi="宋体" w:cs="宋体"/>
          <w:sz w:val="24"/>
        </w:rPr>
        <w:t>（3）《电力二次系统安全防护规定》</w:t>
      </w:r>
    </w:p>
    <w:p w14:paraId="030BF818">
      <w:pPr>
        <w:spacing w:line="360" w:lineRule="auto"/>
        <w:rPr>
          <w:rFonts w:hint="eastAsia" w:ascii="宋体" w:hAnsi="宋体" w:cs="宋体"/>
          <w:sz w:val="24"/>
        </w:rPr>
      </w:pPr>
      <w:r>
        <w:rPr>
          <w:rFonts w:hint="eastAsia" w:ascii="宋体" w:hAnsi="宋体" w:cs="宋体"/>
          <w:sz w:val="24"/>
        </w:rPr>
        <w:t>（4）中国信息安全测评中心</w:t>
      </w:r>
    </w:p>
    <w:p w14:paraId="078E2F83">
      <w:pPr>
        <w:spacing w:line="360" w:lineRule="auto"/>
        <w:rPr>
          <w:rFonts w:hint="eastAsia" w:ascii="宋体" w:hAnsi="宋体" w:cs="宋体"/>
          <w:sz w:val="24"/>
        </w:rPr>
      </w:pPr>
      <w:r>
        <w:rPr>
          <w:rFonts w:hint="eastAsia" w:ascii="宋体" w:hAnsi="宋体" w:cs="宋体"/>
          <w:sz w:val="24"/>
        </w:rPr>
        <w:t>（5）国家保密科技测评中心</w:t>
      </w:r>
    </w:p>
    <w:p w14:paraId="7CD4E74D">
      <w:pPr>
        <w:spacing w:line="360" w:lineRule="auto"/>
        <w:rPr>
          <w:rFonts w:hint="eastAsia" w:ascii="宋体" w:hAnsi="宋体" w:cs="宋体"/>
          <w:sz w:val="24"/>
        </w:rPr>
      </w:pPr>
      <w:r>
        <w:rPr>
          <w:rFonts w:hint="eastAsia" w:ascii="宋体" w:hAnsi="宋体" w:cs="宋体"/>
          <w:sz w:val="24"/>
        </w:rPr>
        <w:t>（6）ISO------国际标准化组织标准</w:t>
      </w:r>
    </w:p>
    <w:p w14:paraId="208FBF34">
      <w:pPr>
        <w:spacing w:line="360" w:lineRule="auto"/>
        <w:rPr>
          <w:rFonts w:hint="eastAsia" w:ascii="宋体" w:hAnsi="宋体" w:cs="宋体"/>
          <w:sz w:val="24"/>
        </w:rPr>
      </w:pPr>
      <w:r>
        <w:rPr>
          <w:rFonts w:hint="eastAsia" w:ascii="宋体" w:hAnsi="宋体" w:cs="宋体"/>
          <w:sz w:val="24"/>
        </w:rPr>
        <w:t>（7）IEC------国际电工委员会标准</w:t>
      </w:r>
    </w:p>
    <w:p w14:paraId="510C3AAE">
      <w:pPr>
        <w:spacing w:line="360" w:lineRule="auto"/>
        <w:rPr>
          <w:rFonts w:hint="eastAsia" w:ascii="宋体" w:hAnsi="宋体" w:cs="宋体"/>
          <w:sz w:val="24"/>
        </w:rPr>
      </w:pPr>
      <w:r>
        <w:rPr>
          <w:rFonts w:hint="eastAsia" w:ascii="宋体" w:hAnsi="宋体" w:cs="宋体"/>
          <w:sz w:val="24"/>
        </w:rPr>
        <w:t>（8）ITU-T----国际电信联盟标准</w:t>
      </w:r>
    </w:p>
    <w:p w14:paraId="66670D4C">
      <w:pPr>
        <w:spacing w:line="360" w:lineRule="auto"/>
        <w:rPr>
          <w:rFonts w:hint="eastAsia" w:ascii="宋体" w:hAnsi="宋体" w:cs="宋体"/>
          <w:sz w:val="24"/>
        </w:rPr>
      </w:pPr>
      <w:r>
        <w:rPr>
          <w:rFonts w:hint="eastAsia" w:ascii="宋体" w:hAnsi="宋体" w:cs="宋体"/>
          <w:sz w:val="24"/>
        </w:rPr>
        <w:t>（9）CCITT ------国际电报和电话咨询委员会</w:t>
      </w:r>
    </w:p>
    <w:p w14:paraId="0A0D2A62">
      <w:pPr>
        <w:spacing w:line="360" w:lineRule="auto"/>
        <w:rPr>
          <w:rFonts w:hint="eastAsia" w:ascii="宋体" w:hAnsi="宋体" w:cs="宋体"/>
          <w:sz w:val="24"/>
        </w:rPr>
      </w:pPr>
      <w:r>
        <w:rPr>
          <w:rFonts w:hint="eastAsia" w:ascii="宋体" w:hAnsi="宋体" w:cs="宋体"/>
          <w:sz w:val="24"/>
        </w:rPr>
        <w:t>（10）ITU------国际电信联盟</w:t>
      </w:r>
    </w:p>
    <w:p w14:paraId="21CC00E9">
      <w:pPr>
        <w:spacing w:line="360" w:lineRule="auto"/>
        <w:rPr>
          <w:rFonts w:hint="eastAsia" w:ascii="宋体" w:hAnsi="宋体" w:cs="宋体"/>
          <w:sz w:val="24"/>
        </w:rPr>
      </w:pPr>
      <w:r>
        <w:rPr>
          <w:rFonts w:hint="eastAsia" w:ascii="宋体" w:hAnsi="宋体" w:cs="宋体"/>
          <w:sz w:val="24"/>
        </w:rPr>
        <w:t>（11）SI------标准国际单位制</w:t>
      </w:r>
    </w:p>
    <w:p w14:paraId="4A28641A">
      <w:pPr>
        <w:spacing w:line="360" w:lineRule="auto"/>
        <w:rPr>
          <w:rFonts w:hint="eastAsia" w:ascii="宋体" w:hAnsi="宋体" w:cs="宋体"/>
          <w:sz w:val="24"/>
          <w:highlight w:val="none"/>
        </w:rPr>
      </w:pPr>
      <w:r>
        <w:rPr>
          <w:rFonts w:hint="eastAsia" w:ascii="宋体" w:hAnsi="宋体" w:cs="宋体"/>
          <w:sz w:val="24"/>
        </w:rPr>
        <w:t>（12）其它招标方指定的规约</w:t>
      </w:r>
    </w:p>
    <w:p w14:paraId="60076311">
      <w:pPr>
        <w:pStyle w:val="4"/>
        <w:numPr>
          <w:ilvl w:val="0"/>
          <w:numId w:val="4"/>
        </w:numPr>
        <w:spacing w:before="0" w:after="0" w:line="360" w:lineRule="auto"/>
        <w:rPr>
          <w:rFonts w:hint="eastAsia" w:ascii="宋体" w:hAnsi="宋体" w:cs="宋体"/>
          <w:kern w:val="0"/>
          <w:sz w:val="24"/>
          <w:szCs w:val="24"/>
          <w:highlight w:val="none"/>
        </w:rPr>
      </w:pPr>
      <w:bookmarkStart w:id="23" w:name="_Toc6702_WPSOffice_Level1"/>
      <w:bookmarkStart w:id="24" w:name="_Toc24881_WPSOffice_Level1"/>
      <w:bookmarkStart w:id="25" w:name="_Toc29245"/>
      <w:bookmarkStart w:id="26" w:name="_Toc20131"/>
      <w:r>
        <w:rPr>
          <w:rFonts w:hint="eastAsia" w:ascii="宋体" w:hAnsi="宋体" w:cs="宋体"/>
          <w:kern w:val="0"/>
          <w:sz w:val="24"/>
          <w:szCs w:val="24"/>
          <w:highlight w:val="none"/>
        </w:rPr>
        <w:t>技术要求</w:t>
      </w:r>
      <w:bookmarkEnd w:id="23"/>
      <w:bookmarkEnd w:id="24"/>
      <w:bookmarkEnd w:id="25"/>
      <w:bookmarkEnd w:id="26"/>
    </w:p>
    <w:p w14:paraId="5E2F1D97">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highlight w:val="none"/>
          <w:lang w:val="en-US" w:eastAsia="zh-CN"/>
        </w:rPr>
        <w:t>其中★项目为关键参数</w:t>
      </w:r>
      <w:r>
        <w:rPr>
          <w:rFonts w:hint="eastAsia" w:cs="宋体"/>
          <w:b w:val="0"/>
          <w:bCs w:val="0"/>
          <w:color w:val="auto"/>
          <w:kern w:val="0"/>
          <w:sz w:val="24"/>
          <w:szCs w:val="24"/>
          <w:highlight w:val="none"/>
          <w:lang w:val="en-US" w:eastAsia="zh-CN"/>
        </w:rPr>
        <w:t>、否决项</w:t>
      </w:r>
      <w:r>
        <w:rPr>
          <w:rFonts w:hint="eastAsia" w:ascii="宋体" w:hAnsi="宋体" w:eastAsia="宋体" w:cs="宋体"/>
          <w:b w:val="0"/>
          <w:bCs w:val="0"/>
          <w:color w:val="auto"/>
          <w:kern w:val="0"/>
          <w:sz w:val="24"/>
          <w:szCs w:val="24"/>
          <w:highlight w:val="none"/>
          <w:lang w:val="en-US" w:eastAsia="zh-CN"/>
        </w:rPr>
        <w:t>。▲项目为重点评分项，如优于指标要求需提供证明</w:t>
      </w:r>
      <w:r>
        <w:rPr>
          <w:rFonts w:hint="eastAsia" w:ascii="宋体" w:hAnsi="宋体" w:eastAsia="宋体" w:cs="宋体"/>
          <w:b w:val="0"/>
          <w:bCs w:val="0"/>
          <w:color w:val="auto"/>
          <w:kern w:val="0"/>
          <w:sz w:val="24"/>
          <w:szCs w:val="24"/>
          <w:lang w:val="en-US" w:eastAsia="zh-CN"/>
        </w:rPr>
        <w:t>材料并加盖公章。</w:t>
      </w:r>
    </w:p>
    <w:p w14:paraId="714FA496">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1、★本项目采购的设备须满足自主可控要求，满足IPv4/IPv6协议双栈要求，提供承诺函。</w:t>
      </w:r>
    </w:p>
    <w:p w14:paraId="136E68D0">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2、★产品到货后按照国家及南网的要求，如需开展系统入网安评、商用密码应用安全性评估、信息系统安全等级测评及备案等合规性审查工作，以及如需开展数认平台、统一密码平台等安全管控系统接入集成工作，涉及相关系统集成及网络安全测评费用且无其他相关项目支撑的，由投标方承担所投产品的集成与测评费用，提供承诺函。</w:t>
      </w:r>
    </w:p>
    <w:p w14:paraId="57314B9F">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3、★采购设备在并网投运时应确保不存在弱口令风险，在维保期内发现弱口令风险应按合同和技术协议要求整改，提供承诺函。</w:t>
      </w:r>
    </w:p>
    <w:p w14:paraId="775842A7">
      <w:pPr>
        <w:numPr>
          <w:ilvl w:val="1"/>
          <w:numId w:val="4"/>
        </w:numPr>
        <w:adjustRightInd w:val="0"/>
        <w:spacing w:line="360" w:lineRule="auto"/>
        <w:ind w:left="0" w:firstLine="0"/>
        <w:outlineLvl w:val="1"/>
        <w:rPr>
          <w:rFonts w:hint="eastAsia" w:ascii="宋体" w:hAnsi="宋体" w:eastAsia="宋体" w:cs="宋体"/>
          <w:sz w:val="24"/>
          <w:szCs w:val="24"/>
        </w:rPr>
      </w:pPr>
      <w:r>
        <w:rPr>
          <w:rFonts w:hint="eastAsia" w:ascii="宋体" w:hAnsi="宋体" w:eastAsia="宋体" w:cs="宋体"/>
          <w:sz w:val="24"/>
          <w:szCs w:val="24"/>
          <w:lang w:val="en-US" w:eastAsia="zh-CN"/>
        </w:rPr>
        <w:t>技术指标要求</w:t>
      </w:r>
    </w:p>
    <w:p w14:paraId="70B7CDDC">
      <w:pPr>
        <w:numPr>
          <w:ilvl w:val="0"/>
          <w:numId w:val="0"/>
        </w:numPr>
        <w:adjustRightInd w:val="0"/>
        <w:spacing w:line="360" w:lineRule="auto"/>
        <w:ind w:leftChars="0"/>
        <w:outlineLvl w:val="1"/>
        <w:rPr>
          <w:rFonts w:hint="eastAsia" w:ascii="宋体" w:hAnsi="宋体" w:eastAsia="宋体" w:cs="宋体"/>
          <w:b/>
          <w:bCs/>
          <w:sz w:val="24"/>
          <w:szCs w:val="24"/>
        </w:rPr>
      </w:pPr>
      <w:r>
        <w:rPr>
          <w:rFonts w:hint="eastAsia" w:ascii="宋体" w:hAnsi="宋体" w:cs="宋体"/>
          <w:b/>
          <w:bCs/>
          <w:sz w:val="24"/>
          <w:szCs w:val="24"/>
          <w:lang w:val="en-US" w:eastAsia="zh-CN"/>
        </w:rPr>
        <w:t>5.1.1</w:t>
      </w:r>
      <w:r>
        <w:rPr>
          <w:rFonts w:hint="eastAsia" w:ascii="宋体" w:hAnsi="宋体" w:eastAsia="宋体" w:cs="宋体"/>
          <w:b/>
          <w:bCs/>
          <w:sz w:val="24"/>
          <w:szCs w:val="24"/>
        </w:rPr>
        <w:t>上网行为管理（4台）</w:t>
      </w:r>
    </w:p>
    <w:tbl>
      <w:tblPr>
        <w:tblStyle w:val="24"/>
        <w:tblpPr w:leftFromText="180" w:rightFromText="180" w:vertAnchor="text" w:tblpY="1"/>
        <w:tblOverlap w:val="never"/>
        <w:tblW w:w="494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5"/>
        <w:gridCol w:w="1481"/>
        <w:gridCol w:w="6246"/>
      </w:tblGrid>
      <w:tr w14:paraId="0D7CC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pct"/>
            <w:shd w:val="clear" w:color="auto" w:fill="D9D9D9"/>
            <w:noWrap w:val="0"/>
            <w:vAlign w:val="center"/>
          </w:tcPr>
          <w:p w14:paraId="5864B373">
            <w:pPr>
              <w:pStyle w:val="65"/>
              <w:rPr>
                <w:rFonts w:hint="eastAsia" w:ascii="宋体" w:hAnsi="宋体" w:eastAsia="宋体" w:cs="宋体"/>
                <w:szCs w:val="24"/>
                <w:highlight w:val="none"/>
              </w:rPr>
            </w:pPr>
            <w:r>
              <w:rPr>
                <w:rFonts w:hint="eastAsia" w:ascii="宋体" w:hAnsi="宋体" w:eastAsia="宋体" w:cs="宋体"/>
                <w:szCs w:val="24"/>
                <w:highlight w:val="none"/>
              </w:rPr>
              <w:t>指标项</w:t>
            </w:r>
          </w:p>
        </w:tc>
        <w:tc>
          <w:tcPr>
            <w:tcW w:w="787" w:type="pct"/>
            <w:shd w:val="clear" w:color="auto" w:fill="D9D9D9"/>
            <w:noWrap w:val="0"/>
            <w:vAlign w:val="center"/>
          </w:tcPr>
          <w:p w14:paraId="7A4C08E6">
            <w:pPr>
              <w:pStyle w:val="65"/>
              <w:rPr>
                <w:rFonts w:hint="eastAsia" w:ascii="宋体" w:hAnsi="宋体" w:eastAsia="宋体" w:cs="宋体"/>
                <w:szCs w:val="24"/>
                <w:highlight w:val="none"/>
              </w:rPr>
            </w:pPr>
            <w:r>
              <w:rPr>
                <w:rFonts w:hint="eastAsia" w:ascii="宋体" w:hAnsi="宋体" w:eastAsia="宋体" w:cs="宋体"/>
                <w:szCs w:val="24"/>
                <w:highlight w:val="none"/>
              </w:rPr>
              <w:t>指标子项</w:t>
            </w:r>
          </w:p>
        </w:tc>
        <w:tc>
          <w:tcPr>
            <w:tcW w:w="3320" w:type="pct"/>
            <w:shd w:val="clear" w:color="auto" w:fill="D9D9D9"/>
            <w:noWrap w:val="0"/>
            <w:vAlign w:val="center"/>
          </w:tcPr>
          <w:p w14:paraId="3D8EABB6">
            <w:pPr>
              <w:pStyle w:val="65"/>
              <w:rPr>
                <w:rFonts w:hint="eastAsia" w:ascii="宋体" w:hAnsi="宋体" w:eastAsia="宋体" w:cs="宋体"/>
                <w:szCs w:val="24"/>
                <w:highlight w:val="none"/>
              </w:rPr>
            </w:pPr>
            <w:r>
              <w:rPr>
                <w:rFonts w:hint="eastAsia" w:ascii="宋体" w:hAnsi="宋体" w:eastAsia="宋体" w:cs="宋体"/>
                <w:szCs w:val="24"/>
                <w:highlight w:val="none"/>
              </w:rPr>
              <w:t>指标要求</w:t>
            </w:r>
          </w:p>
        </w:tc>
      </w:tr>
      <w:tr w14:paraId="06034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pct"/>
            <w:vMerge w:val="restart"/>
            <w:noWrap w:val="0"/>
            <w:vAlign w:val="center"/>
          </w:tcPr>
          <w:p w14:paraId="670E31EB">
            <w:pPr>
              <w:rPr>
                <w:rFonts w:ascii="宋体" w:hAnsi="宋体"/>
                <w:sz w:val="21"/>
                <w:szCs w:val="21"/>
                <w:highlight w:val="none"/>
              </w:rPr>
            </w:pPr>
            <w:r>
              <w:rPr>
                <w:rFonts w:hint="eastAsia" w:ascii="宋体" w:hAnsi="宋体" w:cs="宋体"/>
                <w:color w:val="000000"/>
                <w:sz w:val="21"/>
                <w:szCs w:val="21"/>
                <w:highlight w:val="none"/>
                <w:lang w:bidi="ar"/>
              </w:rPr>
              <w:t>产品规格</w:t>
            </w:r>
          </w:p>
        </w:tc>
        <w:tc>
          <w:tcPr>
            <w:tcW w:w="787" w:type="pct"/>
            <w:noWrap w:val="0"/>
            <w:vAlign w:val="center"/>
          </w:tcPr>
          <w:p w14:paraId="23CBEA21">
            <w:pPr>
              <w:rPr>
                <w:rFonts w:hint="eastAsia" w:ascii="宋体" w:hAnsi="宋体" w:eastAsia="宋体" w:cs="宋体"/>
                <w:color w:val="000000"/>
                <w:sz w:val="21"/>
                <w:szCs w:val="21"/>
                <w:highlight w:val="none"/>
                <w:lang w:val="en-US" w:eastAsia="zh-CN" w:bidi="ar"/>
              </w:rPr>
            </w:pPr>
            <w:r>
              <w:rPr>
                <w:rFonts w:hint="eastAsia" w:ascii="宋体" w:hAnsi="宋体" w:cs="宋体"/>
                <w:color w:val="000000"/>
                <w:sz w:val="21"/>
                <w:szCs w:val="21"/>
                <w:highlight w:val="none"/>
                <w:lang w:bidi="ar"/>
              </w:rPr>
              <w:t>硬件</w:t>
            </w:r>
            <w:r>
              <w:rPr>
                <w:rFonts w:hint="eastAsia" w:ascii="宋体" w:hAnsi="宋体" w:cs="宋体"/>
                <w:color w:val="000000"/>
                <w:sz w:val="21"/>
                <w:szCs w:val="21"/>
                <w:highlight w:val="none"/>
                <w:lang w:val="en-US" w:eastAsia="zh-CN" w:bidi="ar"/>
              </w:rPr>
              <w:t>规格</w:t>
            </w:r>
          </w:p>
        </w:tc>
        <w:tc>
          <w:tcPr>
            <w:tcW w:w="3320" w:type="pct"/>
            <w:noWrap w:val="0"/>
            <w:vAlign w:val="center"/>
          </w:tcPr>
          <w:p w14:paraId="560D6F65">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★不少于4个以太网电口，2个SFP口，2个SFP+口，冗余电源。</w:t>
            </w:r>
          </w:p>
        </w:tc>
      </w:tr>
      <w:tr w14:paraId="7BC78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pct"/>
            <w:vMerge w:val="continue"/>
            <w:noWrap w:val="0"/>
            <w:vAlign w:val="center"/>
          </w:tcPr>
          <w:p w14:paraId="4CDC58E9">
            <w:pPr>
              <w:rPr>
                <w:rFonts w:ascii="宋体" w:hAnsi="宋体"/>
                <w:sz w:val="21"/>
                <w:szCs w:val="21"/>
                <w:highlight w:val="none"/>
              </w:rPr>
            </w:pPr>
          </w:p>
        </w:tc>
        <w:tc>
          <w:tcPr>
            <w:tcW w:w="1445" w:type="dxa"/>
            <w:noWrap w:val="0"/>
            <w:vAlign w:val="center"/>
          </w:tcPr>
          <w:p w14:paraId="6FE2758D">
            <w:pPr>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val="en-US" w:eastAsia="zh-CN" w:bidi="ar"/>
              </w:rPr>
              <w:t>安全要求</w:t>
            </w:r>
          </w:p>
        </w:tc>
        <w:tc>
          <w:tcPr>
            <w:tcW w:w="6096" w:type="dxa"/>
            <w:noWrap w:val="0"/>
            <w:vAlign w:val="top"/>
          </w:tcPr>
          <w:p w14:paraId="4A8BE6FB">
            <w:pPr>
              <w:rPr>
                <w:rFonts w:hint="eastAsia" w:ascii="宋体" w:hAnsi="宋体" w:eastAsia="宋体" w:cs="宋体"/>
                <w:color w:val="000000"/>
                <w:sz w:val="21"/>
                <w:szCs w:val="21"/>
                <w:highlight w:val="none"/>
                <w:lang w:val="en-US" w:eastAsia="zh-CN" w:bidi="ar"/>
              </w:rPr>
            </w:pPr>
            <w:r>
              <w:rPr>
                <w:rFonts w:hint="eastAsia" w:ascii="宋体" w:hAnsi="宋体" w:eastAsia="宋体" w:cs="宋体"/>
                <w:color w:val="000000"/>
                <w:sz w:val="21"/>
                <w:szCs w:val="21"/>
                <w:highlight w:val="none"/>
                <w:lang w:val="en-US" w:eastAsia="zh-CN" w:bidi="ar"/>
              </w:rPr>
              <w:t>1.投标产品标准不低于《通用服务器政府采购需求标准（2023 版）》要求，详见中国信息安全测评中心（www.itsec.gov.cn）和国家保密科技测评中心（www.nsstec.org.cn）公告结果。</w:t>
            </w:r>
          </w:p>
          <w:p w14:paraId="270C257A">
            <w:pPr>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val="en-US" w:eastAsia="zh-CN" w:bidi="ar"/>
              </w:rPr>
              <w:t>2.CPU和操作系统应当符合安全可靠测评要求。</w:t>
            </w:r>
          </w:p>
        </w:tc>
      </w:tr>
      <w:tr w14:paraId="055D9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pct"/>
            <w:vMerge w:val="continue"/>
            <w:noWrap w:val="0"/>
            <w:vAlign w:val="center"/>
          </w:tcPr>
          <w:p w14:paraId="005A2A5F">
            <w:pPr>
              <w:rPr>
                <w:rFonts w:ascii="宋体" w:hAnsi="宋体"/>
                <w:sz w:val="21"/>
                <w:szCs w:val="21"/>
                <w:highlight w:val="none"/>
              </w:rPr>
            </w:pPr>
          </w:p>
        </w:tc>
        <w:tc>
          <w:tcPr>
            <w:tcW w:w="1481" w:type="dxa"/>
            <w:noWrap w:val="0"/>
            <w:vAlign w:val="center"/>
          </w:tcPr>
          <w:p w14:paraId="3C4CE9CC">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性能要求</w:t>
            </w:r>
          </w:p>
        </w:tc>
        <w:tc>
          <w:tcPr>
            <w:tcW w:w="6246" w:type="dxa"/>
            <w:noWrap w:val="0"/>
            <w:vAlign w:val="center"/>
          </w:tcPr>
          <w:p w14:paraId="3DCAFC61">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▲网络层吞吐量≥10 Gbps，应用层吞吐量≥1Gbps，带宽性能≥1 Gbps，用户数≥ 5000，每秒新建连接数≥10000,最大并发连接数≥400000；</w:t>
            </w:r>
          </w:p>
        </w:tc>
      </w:tr>
      <w:tr w14:paraId="3DA18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pct"/>
            <w:vMerge w:val="continue"/>
            <w:noWrap w:val="0"/>
            <w:vAlign w:val="center"/>
          </w:tcPr>
          <w:p w14:paraId="1AF88D4B">
            <w:pPr>
              <w:rPr>
                <w:rFonts w:ascii="宋体" w:hAnsi="宋体"/>
                <w:sz w:val="21"/>
                <w:szCs w:val="21"/>
                <w:highlight w:val="none"/>
              </w:rPr>
            </w:pPr>
          </w:p>
        </w:tc>
        <w:tc>
          <w:tcPr>
            <w:tcW w:w="787" w:type="pct"/>
            <w:noWrap w:val="0"/>
            <w:vAlign w:val="center"/>
          </w:tcPr>
          <w:p w14:paraId="1667C358">
            <w:pPr>
              <w:rPr>
                <w:rFonts w:hint="default" w:ascii="宋体" w:hAnsi="宋体" w:eastAsia="宋体"/>
                <w:sz w:val="21"/>
                <w:szCs w:val="21"/>
                <w:highlight w:val="none"/>
                <w:lang w:val="en-US" w:eastAsia="zh-CN"/>
              </w:rPr>
            </w:pPr>
            <w:r>
              <w:rPr>
                <w:rFonts w:hint="eastAsia" w:ascii="宋体" w:hAnsi="宋体"/>
                <w:sz w:val="21"/>
                <w:szCs w:val="21"/>
                <w:highlight w:val="none"/>
                <w:lang w:val="en-US" w:eastAsia="zh-CN"/>
              </w:rPr>
              <w:t>设备功能</w:t>
            </w:r>
          </w:p>
        </w:tc>
        <w:tc>
          <w:tcPr>
            <w:tcW w:w="3320" w:type="pct"/>
            <w:noWrap w:val="0"/>
            <w:vAlign w:val="center"/>
          </w:tcPr>
          <w:p w14:paraId="3C6E23D3">
            <w:pPr>
              <w:rPr>
                <w:rFonts w:hint="eastAsia" w:ascii="宋体" w:hAnsi="宋体"/>
                <w:sz w:val="21"/>
                <w:szCs w:val="21"/>
                <w:highlight w:val="none"/>
              </w:rPr>
            </w:pPr>
            <w:r>
              <w:rPr>
                <w:rFonts w:hint="eastAsia" w:ascii="宋体" w:hAnsi="宋体" w:cs="Times New Roman"/>
                <w:sz w:val="21"/>
                <w:szCs w:val="21"/>
                <w:highlight w:val="none"/>
                <w:lang w:val="en-US" w:eastAsia="zh-CN"/>
              </w:rPr>
              <w:t>该设备为软硬件一体设备，需实现对内网用户互联网访问行为进行身份认证、访问控制、流量限速、内容过滤及全面行为审计，满足网络安全监管要求。</w:t>
            </w:r>
          </w:p>
        </w:tc>
      </w:tr>
      <w:tr w14:paraId="7DDE2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pct"/>
            <w:vMerge w:val="restart"/>
            <w:noWrap w:val="0"/>
            <w:vAlign w:val="center"/>
          </w:tcPr>
          <w:p w14:paraId="1A925902">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运维管理</w:t>
            </w:r>
          </w:p>
        </w:tc>
        <w:tc>
          <w:tcPr>
            <w:tcW w:w="787" w:type="pct"/>
            <w:noWrap w:val="0"/>
            <w:vAlign w:val="center"/>
          </w:tcPr>
          <w:p w14:paraId="78366A04">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多主模式</w:t>
            </w:r>
          </w:p>
        </w:tc>
        <w:tc>
          <w:tcPr>
            <w:tcW w:w="3320" w:type="pct"/>
            <w:noWrap w:val="0"/>
            <w:vAlign w:val="center"/>
          </w:tcPr>
          <w:p w14:paraId="5C3453B2">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▲支持两台设备同时做主机的部署模式；</w:t>
            </w:r>
          </w:p>
        </w:tc>
      </w:tr>
      <w:tr w14:paraId="5DD1E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pct"/>
            <w:vMerge w:val="continue"/>
            <w:noWrap w:val="0"/>
            <w:vAlign w:val="center"/>
          </w:tcPr>
          <w:p w14:paraId="7B6BC2FF">
            <w:pPr>
              <w:rPr>
                <w:rFonts w:hint="eastAsia" w:ascii="宋体" w:hAnsi="宋体" w:cs="宋体"/>
                <w:color w:val="000000"/>
                <w:sz w:val="21"/>
                <w:szCs w:val="21"/>
                <w:highlight w:val="none"/>
                <w:lang w:bidi="ar"/>
              </w:rPr>
            </w:pPr>
          </w:p>
        </w:tc>
        <w:tc>
          <w:tcPr>
            <w:tcW w:w="787" w:type="pct"/>
            <w:noWrap w:val="0"/>
            <w:vAlign w:val="center"/>
          </w:tcPr>
          <w:p w14:paraId="6A1EFB8E">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可视化展示</w:t>
            </w:r>
          </w:p>
        </w:tc>
        <w:tc>
          <w:tcPr>
            <w:tcW w:w="3320" w:type="pct"/>
            <w:noWrap w:val="0"/>
            <w:vAlign w:val="center"/>
          </w:tcPr>
          <w:p w14:paraId="7A41DE52">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支持首页显示在线用户、流量分析、行为日志分析、应用流量排名、用户流量排名、资产类型分布、新设备发现趋势、TOP违规检查项、TOP违规用户、行为风险分析包括：终端接入、上网安全、系统状态、接入状态；</w:t>
            </w:r>
          </w:p>
        </w:tc>
      </w:tr>
      <w:tr w14:paraId="1FB0A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pct"/>
            <w:vMerge w:val="continue"/>
            <w:noWrap w:val="0"/>
            <w:vAlign w:val="center"/>
          </w:tcPr>
          <w:p w14:paraId="27A23762">
            <w:pPr>
              <w:rPr>
                <w:rFonts w:hint="eastAsia" w:ascii="宋体" w:hAnsi="宋体" w:cs="宋体"/>
                <w:color w:val="000000"/>
                <w:sz w:val="21"/>
                <w:szCs w:val="21"/>
                <w:highlight w:val="none"/>
                <w:lang w:bidi="ar"/>
              </w:rPr>
            </w:pPr>
          </w:p>
        </w:tc>
        <w:tc>
          <w:tcPr>
            <w:tcW w:w="787" w:type="pct"/>
            <w:vMerge w:val="restart"/>
            <w:noWrap w:val="0"/>
            <w:vAlign w:val="center"/>
          </w:tcPr>
          <w:p w14:paraId="5D55E432">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故障排查</w:t>
            </w:r>
          </w:p>
        </w:tc>
        <w:tc>
          <w:tcPr>
            <w:tcW w:w="3320" w:type="pct"/>
            <w:noWrap w:val="0"/>
            <w:vAlign w:val="center"/>
          </w:tcPr>
          <w:p w14:paraId="372330EE">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支持网络故障排查，支持PPS异常、丢包异常、ARP异常、内网DOS攻击等异常情况实时监测，显示每日异常事件个数及情况；</w:t>
            </w:r>
            <w:r>
              <w:rPr>
                <w:rFonts w:hint="eastAsia" w:ascii="宋体" w:hAnsi="宋体" w:cs="宋体"/>
                <w:color w:val="000000"/>
                <w:sz w:val="21"/>
                <w:szCs w:val="21"/>
                <w:highlight w:val="none"/>
              </w:rPr>
              <w:t>（提供截图证明并加盖厂商公章）</w:t>
            </w:r>
          </w:p>
        </w:tc>
      </w:tr>
      <w:tr w14:paraId="6C0F5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pct"/>
            <w:vMerge w:val="continue"/>
            <w:noWrap w:val="0"/>
            <w:vAlign w:val="center"/>
          </w:tcPr>
          <w:p w14:paraId="7C9EA17C">
            <w:pPr>
              <w:rPr>
                <w:rFonts w:hint="eastAsia" w:ascii="宋体" w:hAnsi="宋体" w:cs="宋体"/>
                <w:color w:val="000000"/>
                <w:sz w:val="21"/>
                <w:szCs w:val="21"/>
                <w:highlight w:val="none"/>
                <w:lang w:bidi="ar"/>
              </w:rPr>
            </w:pPr>
          </w:p>
        </w:tc>
        <w:tc>
          <w:tcPr>
            <w:tcW w:w="787" w:type="pct"/>
            <w:vMerge w:val="continue"/>
            <w:noWrap w:val="0"/>
            <w:vAlign w:val="center"/>
          </w:tcPr>
          <w:p w14:paraId="0FDE6A48">
            <w:pPr>
              <w:rPr>
                <w:rFonts w:hint="eastAsia" w:ascii="宋体" w:hAnsi="宋体" w:cs="宋体"/>
                <w:color w:val="000000"/>
                <w:sz w:val="21"/>
                <w:szCs w:val="21"/>
                <w:highlight w:val="none"/>
                <w:lang w:bidi="ar"/>
              </w:rPr>
            </w:pPr>
          </w:p>
        </w:tc>
        <w:tc>
          <w:tcPr>
            <w:tcW w:w="3320" w:type="pct"/>
            <w:noWrap w:val="0"/>
            <w:vAlign w:val="center"/>
          </w:tcPr>
          <w:p w14:paraId="4660C585">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Web访问质量检测，针对内网用户的web访问质量进行检测，对整体网络提供清晰的整体网络质量评级；</w:t>
            </w:r>
          </w:p>
        </w:tc>
      </w:tr>
      <w:tr w14:paraId="59E1B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pct"/>
            <w:noWrap w:val="0"/>
            <w:vAlign w:val="center"/>
          </w:tcPr>
          <w:p w14:paraId="6E7A2461">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认证管理</w:t>
            </w:r>
          </w:p>
        </w:tc>
        <w:tc>
          <w:tcPr>
            <w:tcW w:w="787" w:type="pct"/>
            <w:noWrap w:val="0"/>
            <w:vAlign w:val="center"/>
          </w:tcPr>
          <w:p w14:paraId="7C1FB62F">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认证管理</w:t>
            </w:r>
          </w:p>
        </w:tc>
        <w:tc>
          <w:tcPr>
            <w:tcW w:w="3320" w:type="pct"/>
            <w:noWrap w:val="0"/>
            <w:vAlign w:val="center"/>
          </w:tcPr>
          <w:p w14:paraId="1B1FFDE6">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支持802.1x认证，可对接本地和AD域用户源进行用户名密码认证。</w:t>
            </w:r>
          </w:p>
        </w:tc>
      </w:tr>
      <w:tr w14:paraId="04EB5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pct"/>
            <w:vMerge w:val="restart"/>
            <w:noWrap w:val="0"/>
            <w:vAlign w:val="center"/>
          </w:tcPr>
          <w:p w14:paraId="30F642AB">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流量管理</w:t>
            </w:r>
          </w:p>
        </w:tc>
        <w:tc>
          <w:tcPr>
            <w:tcW w:w="787" w:type="pct"/>
            <w:noWrap w:val="0"/>
            <w:vAlign w:val="center"/>
          </w:tcPr>
          <w:p w14:paraId="0DE641C8">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动态流量调整</w:t>
            </w:r>
          </w:p>
        </w:tc>
        <w:tc>
          <w:tcPr>
            <w:tcW w:w="3320" w:type="pct"/>
            <w:noWrap w:val="0"/>
            <w:vAlign w:val="center"/>
          </w:tcPr>
          <w:p w14:paraId="53B1EF6E">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支持在设置流量策略后，根据整体线路或者某流量通道内的空闲情况，自动启用和停止使用流量控制策略，以提升带宽的高使用率；线路空闲值可自定义；</w:t>
            </w:r>
            <w:r>
              <w:rPr>
                <w:rFonts w:hint="eastAsia" w:ascii="宋体" w:hAnsi="宋体" w:cs="宋体"/>
                <w:color w:val="000000"/>
                <w:sz w:val="21"/>
                <w:szCs w:val="21"/>
                <w:highlight w:val="none"/>
              </w:rPr>
              <w:t>（提供截图证明并加盖厂商公章）</w:t>
            </w:r>
          </w:p>
        </w:tc>
      </w:tr>
      <w:tr w14:paraId="40CE7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pct"/>
            <w:vMerge w:val="continue"/>
            <w:noWrap w:val="0"/>
            <w:vAlign w:val="center"/>
          </w:tcPr>
          <w:p w14:paraId="0A881170">
            <w:pPr>
              <w:rPr>
                <w:rFonts w:hint="eastAsia" w:ascii="宋体" w:hAnsi="宋体" w:cs="宋体"/>
                <w:color w:val="000000"/>
                <w:sz w:val="21"/>
                <w:szCs w:val="21"/>
                <w:highlight w:val="none"/>
                <w:lang w:bidi="ar"/>
              </w:rPr>
            </w:pPr>
          </w:p>
        </w:tc>
        <w:tc>
          <w:tcPr>
            <w:tcW w:w="787" w:type="pct"/>
            <w:noWrap w:val="0"/>
            <w:vAlign w:val="center"/>
          </w:tcPr>
          <w:p w14:paraId="3E6717BD">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P2P智能流控</w:t>
            </w:r>
          </w:p>
        </w:tc>
        <w:tc>
          <w:tcPr>
            <w:tcW w:w="3320" w:type="pct"/>
            <w:noWrap w:val="0"/>
            <w:vAlign w:val="center"/>
          </w:tcPr>
          <w:p w14:paraId="5FF0A086">
            <w:pPr>
              <w:rPr>
                <w:rFonts w:hint="eastAsia" w:ascii="宋体" w:hAnsi="宋体" w:cs="宋体"/>
                <w:color w:val="000000"/>
                <w:sz w:val="21"/>
                <w:szCs w:val="21"/>
                <w:highlight w:val="none"/>
                <w:lang w:bidi="ar"/>
              </w:rPr>
            </w:pPr>
            <w:r>
              <w:rPr>
                <w:rFonts w:ascii="宋体" w:hAnsi="宋体" w:cs="宋体"/>
                <w:color w:val="000000"/>
                <w:sz w:val="21"/>
                <w:szCs w:val="21"/>
                <w:highlight w:val="none"/>
                <w:lang w:bidi="ar"/>
              </w:rPr>
              <w:t>通过抑制P2P下行丢包，减少P2P下行流量，缓解网络出口在流控后仍存在的压力问题</w:t>
            </w:r>
            <w:r>
              <w:rPr>
                <w:rFonts w:hint="eastAsia" w:ascii="宋体" w:hAnsi="宋体" w:cs="宋体"/>
                <w:color w:val="000000"/>
                <w:sz w:val="21"/>
                <w:szCs w:val="21"/>
                <w:highlight w:val="none"/>
                <w:lang w:bidi="ar"/>
              </w:rPr>
              <w:t>；</w:t>
            </w:r>
            <w:r>
              <w:rPr>
                <w:rFonts w:hint="eastAsia" w:ascii="宋体" w:hAnsi="宋体" w:cs="宋体"/>
                <w:color w:val="000000"/>
                <w:sz w:val="21"/>
                <w:szCs w:val="21"/>
                <w:highlight w:val="none"/>
              </w:rPr>
              <w:t>（提供截图证明并加盖厂商公章）</w:t>
            </w:r>
          </w:p>
        </w:tc>
      </w:tr>
      <w:tr w14:paraId="6120A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pct"/>
            <w:vMerge w:val="continue"/>
            <w:noWrap w:val="0"/>
            <w:vAlign w:val="center"/>
          </w:tcPr>
          <w:p w14:paraId="399DA543">
            <w:pPr>
              <w:rPr>
                <w:rFonts w:hint="eastAsia" w:ascii="宋体" w:hAnsi="宋体" w:cs="宋体"/>
                <w:color w:val="000000"/>
                <w:sz w:val="21"/>
                <w:szCs w:val="21"/>
                <w:highlight w:val="none"/>
                <w:lang w:bidi="ar"/>
              </w:rPr>
            </w:pPr>
          </w:p>
        </w:tc>
        <w:tc>
          <w:tcPr>
            <w:tcW w:w="787" w:type="pct"/>
            <w:noWrap w:val="0"/>
            <w:vAlign w:val="center"/>
          </w:tcPr>
          <w:p w14:paraId="13BEBFDA">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流量配额</w:t>
            </w:r>
          </w:p>
        </w:tc>
        <w:tc>
          <w:tcPr>
            <w:tcW w:w="3320" w:type="pct"/>
            <w:noWrap w:val="0"/>
            <w:vAlign w:val="center"/>
          </w:tcPr>
          <w:p w14:paraId="6AEC6A60">
            <w:pPr>
              <w:rPr>
                <w:rFonts w:ascii="宋体" w:hAnsi="宋体" w:cs="宋体"/>
                <w:color w:val="000000"/>
                <w:sz w:val="21"/>
                <w:szCs w:val="21"/>
                <w:highlight w:val="none"/>
                <w:lang w:bidi="ar"/>
              </w:rPr>
            </w:pPr>
            <w:r>
              <w:rPr>
                <w:rFonts w:hint="eastAsia" w:ascii="宋体" w:hAnsi="宋体" w:cs="宋体"/>
                <w:color w:val="000000"/>
                <w:sz w:val="21"/>
                <w:szCs w:val="21"/>
                <w:highlight w:val="none"/>
                <w:lang w:bidi="ar"/>
              </w:rPr>
              <w:t>支持对单个用户/用户组、位置、终端类型等设置日流量、月流量配额功能；必须支持流量配额的配置、实时使用量查询。</w:t>
            </w:r>
          </w:p>
          <w:p w14:paraId="456076A7">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能够实时看到各级流控通道的状态：包括所属线路、瞬时速率、通道占用比例、用户数、保证带宽、最大带宽、优先级，启用状态等；</w:t>
            </w:r>
          </w:p>
        </w:tc>
      </w:tr>
      <w:tr w14:paraId="2604F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pct"/>
            <w:vMerge w:val="restart"/>
            <w:noWrap w:val="0"/>
            <w:vAlign w:val="center"/>
          </w:tcPr>
          <w:p w14:paraId="13CBC76C">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应用访问管理</w:t>
            </w:r>
          </w:p>
        </w:tc>
        <w:tc>
          <w:tcPr>
            <w:tcW w:w="787" w:type="pct"/>
            <w:noWrap w:val="0"/>
            <w:vAlign w:val="center"/>
          </w:tcPr>
          <w:p w14:paraId="7BC008E5">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应用识别规则库</w:t>
            </w:r>
          </w:p>
        </w:tc>
        <w:tc>
          <w:tcPr>
            <w:tcW w:w="3320" w:type="pct"/>
            <w:noWrap w:val="0"/>
            <w:vAlign w:val="center"/>
          </w:tcPr>
          <w:p w14:paraId="0302A546">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设备内置应用识别规则库，支持不低于8000种以上应用规则数和不低于8000种以上的应用；支持根据标签选择应用，并支持给每个应用自定义标签；支持根据标签选择一类应用做控制；支持不低于3000种以上主流Saas应用，对Saas应用有默认分类标签，帮助客户统一配置策略；</w:t>
            </w:r>
            <w:r>
              <w:rPr>
                <w:rFonts w:hint="eastAsia" w:ascii="宋体" w:hAnsi="宋体" w:cs="宋体"/>
                <w:color w:val="000000"/>
                <w:sz w:val="21"/>
                <w:szCs w:val="21"/>
                <w:highlight w:val="none"/>
              </w:rPr>
              <w:t>（提供权威机构检测报告并加盖厂商公章）</w:t>
            </w:r>
          </w:p>
        </w:tc>
      </w:tr>
      <w:tr w14:paraId="25FD0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pct"/>
            <w:vMerge w:val="continue"/>
            <w:noWrap w:val="0"/>
            <w:vAlign w:val="center"/>
          </w:tcPr>
          <w:p w14:paraId="4DF81FA2">
            <w:pPr>
              <w:rPr>
                <w:rFonts w:hint="eastAsia" w:ascii="宋体" w:hAnsi="宋体" w:cs="宋体"/>
                <w:color w:val="000000"/>
                <w:sz w:val="21"/>
                <w:szCs w:val="21"/>
                <w:highlight w:val="none"/>
                <w:lang w:bidi="ar"/>
              </w:rPr>
            </w:pPr>
          </w:p>
        </w:tc>
        <w:tc>
          <w:tcPr>
            <w:tcW w:w="787" w:type="pct"/>
            <w:noWrap w:val="0"/>
            <w:vAlign w:val="center"/>
          </w:tcPr>
          <w:p w14:paraId="565C4906">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URL库管理</w:t>
            </w:r>
          </w:p>
        </w:tc>
        <w:tc>
          <w:tcPr>
            <w:tcW w:w="3320" w:type="pct"/>
            <w:noWrap w:val="0"/>
            <w:vAlign w:val="center"/>
          </w:tcPr>
          <w:p w14:paraId="7D5962A5">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能够针对各种URL类型做识别和分类，同时所有URL类型都支持区分“网站浏览”、“文件上传”、“其他上传”、“HTTPS”等细分行为并分别做权限控制；</w:t>
            </w:r>
          </w:p>
        </w:tc>
      </w:tr>
      <w:tr w14:paraId="4D4E6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pct"/>
            <w:vMerge w:val="continue"/>
            <w:noWrap w:val="0"/>
            <w:vAlign w:val="center"/>
          </w:tcPr>
          <w:p w14:paraId="641D887D">
            <w:pPr>
              <w:rPr>
                <w:rFonts w:hint="eastAsia" w:ascii="宋体" w:hAnsi="宋体" w:cs="宋体"/>
                <w:color w:val="000000"/>
                <w:sz w:val="21"/>
                <w:szCs w:val="21"/>
                <w:highlight w:val="none"/>
                <w:lang w:bidi="ar"/>
              </w:rPr>
            </w:pPr>
          </w:p>
        </w:tc>
        <w:tc>
          <w:tcPr>
            <w:tcW w:w="787" w:type="pct"/>
            <w:noWrap w:val="0"/>
            <w:vAlign w:val="center"/>
          </w:tcPr>
          <w:p w14:paraId="0C6DB1A1">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网页过滤</w:t>
            </w:r>
          </w:p>
        </w:tc>
        <w:tc>
          <w:tcPr>
            <w:tcW w:w="3320" w:type="pct"/>
            <w:noWrap w:val="0"/>
            <w:vAlign w:val="center"/>
          </w:tcPr>
          <w:p w14:paraId="318BC987">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支持根据访问的URL进行网页过滤，支持设置拒绝以IP访问网页行为；</w:t>
            </w:r>
          </w:p>
        </w:tc>
      </w:tr>
      <w:tr w14:paraId="6E7AD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pct"/>
            <w:noWrap w:val="0"/>
            <w:vAlign w:val="center"/>
          </w:tcPr>
          <w:p w14:paraId="5364C1BD">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网络共享管理</w:t>
            </w:r>
          </w:p>
        </w:tc>
        <w:tc>
          <w:tcPr>
            <w:tcW w:w="787" w:type="pct"/>
            <w:noWrap w:val="0"/>
            <w:vAlign w:val="center"/>
          </w:tcPr>
          <w:p w14:paraId="74335009">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防共享接入</w:t>
            </w:r>
          </w:p>
        </w:tc>
        <w:tc>
          <w:tcPr>
            <w:tcW w:w="3320" w:type="pct"/>
            <w:noWrap w:val="0"/>
            <w:vAlign w:val="center"/>
          </w:tcPr>
          <w:p w14:paraId="23657A79">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支持发现私接路由（或者共享软件等）共享网络的行为，支持“仅统计电脑”和“统计所有终端”两种模式，自定义配置终端数量和冻结时间，支持添加信任列表，支持例外排除功能；支持以IP或用户名的维度统计一段时间内的趋势图。</w:t>
            </w:r>
          </w:p>
        </w:tc>
      </w:tr>
      <w:tr w14:paraId="0D1D8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pct"/>
            <w:vMerge w:val="restart"/>
            <w:noWrap w:val="0"/>
            <w:vAlign w:val="center"/>
          </w:tcPr>
          <w:p w14:paraId="0BF72B73">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终端资产管理</w:t>
            </w:r>
          </w:p>
        </w:tc>
        <w:tc>
          <w:tcPr>
            <w:tcW w:w="787" w:type="pct"/>
            <w:noWrap w:val="0"/>
            <w:vAlign w:val="center"/>
          </w:tcPr>
          <w:p w14:paraId="50BE2573">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IP地址管理</w:t>
            </w:r>
          </w:p>
        </w:tc>
        <w:tc>
          <w:tcPr>
            <w:tcW w:w="3320" w:type="pct"/>
            <w:noWrap w:val="0"/>
            <w:vAlign w:val="center"/>
          </w:tcPr>
          <w:p w14:paraId="1118B088">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支持图形化查看当前内网IP使用情况，帮助管理员减少人工维护IP表的工作量；</w:t>
            </w:r>
          </w:p>
        </w:tc>
      </w:tr>
      <w:tr w14:paraId="6404D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pct"/>
            <w:vMerge w:val="continue"/>
            <w:noWrap w:val="0"/>
            <w:vAlign w:val="center"/>
          </w:tcPr>
          <w:p w14:paraId="674256ED">
            <w:pPr>
              <w:rPr>
                <w:rFonts w:hint="eastAsia" w:ascii="宋体" w:hAnsi="宋体" w:cs="宋体"/>
                <w:color w:val="000000"/>
                <w:sz w:val="21"/>
                <w:szCs w:val="21"/>
                <w:highlight w:val="none"/>
                <w:lang w:bidi="ar"/>
              </w:rPr>
            </w:pPr>
          </w:p>
        </w:tc>
        <w:tc>
          <w:tcPr>
            <w:tcW w:w="787" w:type="pct"/>
            <w:noWrap w:val="0"/>
            <w:vAlign w:val="center"/>
          </w:tcPr>
          <w:p w14:paraId="24804099">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外联控制</w:t>
            </w:r>
          </w:p>
        </w:tc>
        <w:tc>
          <w:tcPr>
            <w:tcW w:w="3320" w:type="pct"/>
            <w:noWrap w:val="0"/>
            <w:vAlign w:val="center"/>
          </w:tcPr>
          <w:p w14:paraId="3329AACE">
            <w:pPr>
              <w:rPr>
                <w:rFonts w:ascii="宋体" w:hAnsi="宋体" w:cs="宋体"/>
                <w:color w:val="000000"/>
                <w:sz w:val="21"/>
                <w:szCs w:val="21"/>
                <w:highlight w:val="none"/>
                <w:lang w:bidi="ar"/>
              </w:rPr>
            </w:pPr>
            <w:r>
              <w:rPr>
                <w:rFonts w:hint="eastAsia" w:ascii="宋体" w:hAnsi="宋体" w:cs="宋体"/>
                <w:color w:val="000000"/>
                <w:sz w:val="21"/>
                <w:szCs w:val="21"/>
                <w:highlight w:val="none"/>
                <w:lang w:bidi="ar"/>
              </w:rPr>
              <w:t>统信、麒麟等信创终端支持设置终端访问地址白名单和黑名单，写入终端防火墙ACL策略，实现强访问管控;管控规则可离线生效；</w:t>
            </w:r>
          </w:p>
          <w:p w14:paraId="588F4007">
            <w:pPr>
              <w:rPr>
                <w:rFonts w:hint="eastAsia" w:ascii="宋体" w:hAnsi="宋体" w:cs="宋体"/>
                <w:color w:val="000000"/>
                <w:sz w:val="21"/>
                <w:szCs w:val="21"/>
                <w:highlight w:val="none"/>
                <w:lang w:bidi="ar"/>
              </w:rPr>
            </w:pPr>
            <w:r>
              <w:rPr>
                <w:rFonts w:ascii="宋体" w:hAnsi="宋体" w:cs="宋体"/>
                <w:color w:val="000000"/>
                <w:sz w:val="21"/>
                <w:szCs w:val="21"/>
                <w:highlight w:val="none"/>
                <w:lang w:bidi="ar"/>
              </w:rPr>
              <w:t>windows终端支持SSL中间人解密与客户端解密能力的，确保数据传输的透明性与安全性。</w:t>
            </w:r>
          </w:p>
        </w:tc>
      </w:tr>
      <w:tr w14:paraId="4AA26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pct"/>
            <w:vMerge w:val="restart"/>
            <w:noWrap w:val="0"/>
            <w:vAlign w:val="center"/>
          </w:tcPr>
          <w:p w14:paraId="4BF77A7F">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业务访问审计</w:t>
            </w:r>
          </w:p>
        </w:tc>
        <w:tc>
          <w:tcPr>
            <w:tcW w:w="787" w:type="pct"/>
            <w:noWrap w:val="0"/>
            <w:vAlign w:val="center"/>
          </w:tcPr>
          <w:p w14:paraId="59AD9AAA">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业务系统自定义</w:t>
            </w:r>
          </w:p>
        </w:tc>
        <w:tc>
          <w:tcPr>
            <w:tcW w:w="3320" w:type="pct"/>
            <w:noWrap w:val="0"/>
            <w:vAlign w:val="center"/>
          </w:tcPr>
          <w:p w14:paraId="16FFF8C2">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支持自定义业务系统名称、描述，绑定到相应的IP地址和端口或域名，以每个业务系统作为单独审计对象；</w:t>
            </w:r>
          </w:p>
        </w:tc>
      </w:tr>
      <w:tr w14:paraId="039C5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pct"/>
            <w:vMerge w:val="continue"/>
            <w:noWrap w:val="0"/>
            <w:vAlign w:val="center"/>
          </w:tcPr>
          <w:p w14:paraId="1F6B038D">
            <w:pPr>
              <w:rPr>
                <w:rFonts w:hint="eastAsia" w:ascii="宋体" w:hAnsi="宋体" w:cs="宋体"/>
                <w:color w:val="000000"/>
                <w:sz w:val="21"/>
                <w:szCs w:val="21"/>
                <w:highlight w:val="none"/>
                <w:lang w:bidi="ar"/>
              </w:rPr>
            </w:pPr>
          </w:p>
        </w:tc>
        <w:tc>
          <w:tcPr>
            <w:tcW w:w="787" w:type="pct"/>
            <w:noWrap w:val="0"/>
            <w:vAlign w:val="center"/>
          </w:tcPr>
          <w:p w14:paraId="18E34546">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业务访问审计</w:t>
            </w:r>
          </w:p>
        </w:tc>
        <w:tc>
          <w:tcPr>
            <w:tcW w:w="3320" w:type="pct"/>
            <w:noWrap w:val="0"/>
            <w:vAlign w:val="center"/>
          </w:tcPr>
          <w:p w14:paraId="250AD408">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支持WEB/FTP/SMB类型业务的行为和内容审计，对上传/下载文件可选择只审计文件名或同时审计文件内容；</w:t>
            </w:r>
          </w:p>
        </w:tc>
      </w:tr>
      <w:tr w14:paraId="5A149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pct"/>
            <w:vMerge w:val="restart"/>
            <w:noWrap w:val="0"/>
            <w:vAlign w:val="center"/>
          </w:tcPr>
          <w:p w14:paraId="2DA6DC52">
            <w:pPr>
              <w:rPr>
                <w:rFonts w:hint="eastAsia" w:ascii="宋体" w:hAnsi="宋体"/>
                <w:sz w:val="21"/>
                <w:szCs w:val="21"/>
                <w:highlight w:val="none"/>
              </w:rPr>
            </w:pPr>
            <w:r>
              <w:rPr>
                <w:rFonts w:hint="eastAsia" w:ascii="宋体" w:hAnsi="宋体" w:cs="宋体"/>
                <w:color w:val="000000"/>
                <w:sz w:val="21"/>
                <w:szCs w:val="21"/>
                <w:highlight w:val="none"/>
                <w:lang w:bidi="ar"/>
              </w:rPr>
              <w:t>日志管理</w:t>
            </w:r>
          </w:p>
        </w:tc>
        <w:tc>
          <w:tcPr>
            <w:tcW w:w="787" w:type="pct"/>
            <w:noWrap w:val="0"/>
            <w:vAlign w:val="center"/>
          </w:tcPr>
          <w:p w14:paraId="786B0300">
            <w:pPr>
              <w:rPr>
                <w:rFonts w:hint="eastAsia" w:ascii="宋体" w:hAnsi="宋体"/>
                <w:sz w:val="21"/>
                <w:szCs w:val="21"/>
                <w:highlight w:val="none"/>
              </w:rPr>
            </w:pPr>
            <w:r>
              <w:rPr>
                <w:rFonts w:hint="eastAsia" w:ascii="宋体" w:hAnsi="宋体" w:cs="宋体"/>
                <w:color w:val="000000"/>
                <w:sz w:val="21"/>
                <w:szCs w:val="21"/>
                <w:highlight w:val="none"/>
                <w:lang w:bidi="ar"/>
              </w:rPr>
              <w:t>审计通路</w:t>
            </w:r>
          </w:p>
        </w:tc>
        <w:tc>
          <w:tcPr>
            <w:tcW w:w="3320" w:type="pct"/>
            <w:noWrap w:val="0"/>
            <w:vAlign w:val="center"/>
          </w:tcPr>
          <w:p w14:paraId="4983B49F">
            <w:pPr>
              <w:rPr>
                <w:rFonts w:hint="eastAsia" w:ascii="宋体" w:hAnsi="宋体"/>
                <w:sz w:val="21"/>
                <w:szCs w:val="21"/>
                <w:highlight w:val="none"/>
              </w:rPr>
            </w:pPr>
            <w:r>
              <w:rPr>
                <w:rFonts w:hint="eastAsia" w:ascii="宋体" w:hAnsi="宋体" w:cs="宋体"/>
                <w:color w:val="000000"/>
                <w:sz w:val="21"/>
                <w:szCs w:val="21"/>
                <w:highlight w:val="none"/>
                <w:lang w:bidi="ar"/>
              </w:rPr>
              <w:t>支持IM聊天软件、邮件客户端、云笔记、网盘、浏览器、远程协助工具、文件传输工具、会议软件、打印机、文件解密等途径的文件外发行为进行日志审计。</w:t>
            </w:r>
            <w:r>
              <w:rPr>
                <w:rFonts w:hint="eastAsia" w:ascii="宋体" w:hAnsi="宋体" w:cs="宋体"/>
                <w:color w:val="000000"/>
                <w:sz w:val="21"/>
                <w:szCs w:val="21"/>
                <w:highlight w:val="none"/>
              </w:rPr>
              <w:t>（提供截图证明并加盖厂商公章）</w:t>
            </w:r>
          </w:p>
        </w:tc>
      </w:tr>
      <w:tr w14:paraId="24C52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pct"/>
            <w:vMerge w:val="continue"/>
            <w:noWrap w:val="0"/>
            <w:vAlign w:val="center"/>
          </w:tcPr>
          <w:p w14:paraId="4179A16A">
            <w:pPr>
              <w:rPr>
                <w:rFonts w:hint="eastAsia" w:ascii="宋体" w:hAnsi="宋体" w:cs="宋体"/>
                <w:color w:val="000000"/>
                <w:sz w:val="21"/>
                <w:szCs w:val="21"/>
                <w:highlight w:val="none"/>
                <w:lang w:bidi="ar"/>
              </w:rPr>
            </w:pPr>
          </w:p>
        </w:tc>
        <w:tc>
          <w:tcPr>
            <w:tcW w:w="787" w:type="pct"/>
            <w:noWrap w:val="0"/>
            <w:vAlign w:val="center"/>
          </w:tcPr>
          <w:p w14:paraId="0F39336E">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日志中心</w:t>
            </w:r>
          </w:p>
        </w:tc>
        <w:tc>
          <w:tcPr>
            <w:tcW w:w="3320" w:type="pct"/>
            <w:noWrap w:val="0"/>
            <w:vAlign w:val="center"/>
          </w:tcPr>
          <w:p w14:paraId="0D666304">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支持内置、外置日志中心,并支持分级配置管理员日志查看权限；</w:t>
            </w:r>
          </w:p>
        </w:tc>
      </w:tr>
      <w:tr w14:paraId="4549C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pct"/>
            <w:vMerge w:val="continue"/>
            <w:noWrap w:val="0"/>
            <w:vAlign w:val="center"/>
          </w:tcPr>
          <w:p w14:paraId="326D5004">
            <w:pPr>
              <w:rPr>
                <w:rFonts w:hint="eastAsia" w:ascii="宋体" w:hAnsi="宋体" w:cs="宋体"/>
                <w:color w:val="000000"/>
                <w:sz w:val="21"/>
                <w:szCs w:val="21"/>
                <w:highlight w:val="none"/>
                <w:lang w:bidi="ar"/>
              </w:rPr>
            </w:pPr>
          </w:p>
        </w:tc>
        <w:tc>
          <w:tcPr>
            <w:tcW w:w="787" w:type="pct"/>
            <w:noWrap w:val="0"/>
            <w:vAlign w:val="center"/>
          </w:tcPr>
          <w:p w14:paraId="62593524">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上网行为统计报表</w:t>
            </w:r>
          </w:p>
        </w:tc>
        <w:tc>
          <w:tcPr>
            <w:tcW w:w="3320" w:type="pct"/>
            <w:noWrap w:val="0"/>
            <w:vAlign w:val="center"/>
          </w:tcPr>
          <w:p w14:paraId="02D4FB84">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支持基于时间段/用户/用户组/终端类型/位置等维度的多种上网行为统计排行报表，至少包括5种;</w:t>
            </w:r>
          </w:p>
        </w:tc>
      </w:tr>
      <w:tr w14:paraId="0C800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pct"/>
            <w:noWrap w:val="0"/>
            <w:vAlign w:val="center"/>
          </w:tcPr>
          <w:p w14:paraId="679C24F4">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资质要求</w:t>
            </w:r>
          </w:p>
        </w:tc>
        <w:tc>
          <w:tcPr>
            <w:tcW w:w="787" w:type="pct"/>
            <w:noWrap w:val="0"/>
            <w:vAlign w:val="center"/>
          </w:tcPr>
          <w:p w14:paraId="711CBB88">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资质要求</w:t>
            </w:r>
          </w:p>
        </w:tc>
        <w:tc>
          <w:tcPr>
            <w:tcW w:w="3320" w:type="pct"/>
            <w:noWrap w:val="0"/>
            <w:vAlign w:val="center"/>
          </w:tcPr>
          <w:p w14:paraId="340812F5">
            <w:pPr>
              <w:rPr>
                <w:rFonts w:ascii="宋体" w:hAnsi="宋体" w:cs="宋体"/>
                <w:color w:val="000000"/>
                <w:sz w:val="21"/>
                <w:szCs w:val="21"/>
                <w:highlight w:val="none"/>
                <w:lang w:bidi="ar"/>
              </w:rPr>
            </w:pPr>
            <w:r>
              <w:rPr>
                <w:rFonts w:hint="eastAsia" w:ascii="宋体" w:hAnsi="宋体" w:cs="宋体"/>
                <w:color w:val="000000"/>
                <w:sz w:val="21"/>
                <w:szCs w:val="21"/>
                <w:highlight w:val="none"/>
                <w:lang w:bidi="ar"/>
              </w:rPr>
              <w:t>公安部计算机信息系统安全产品质量监督检验中心《网络安全专用产品安全检测证书》或同等效力的其他证书</w:t>
            </w:r>
          </w:p>
          <w:p w14:paraId="6C7D6E81">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中国网络安全审查认证和市场监管大数据中心《网络关键设备和网络安全专用产品安全认证证书》</w:t>
            </w:r>
          </w:p>
        </w:tc>
      </w:tr>
      <w:tr w14:paraId="2394B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dxa"/>
            <w:noWrap w:val="0"/>
            <w:vAlign w:val="center"/>
          </w:tcPr>
          <w:p w14:paraId="307B510F">
            <w:pPr>
              <w:rPr>
                <w:rFonts w:hint="eastAsia" w:ascii="宋体" w:hAnsi="宋体" w:cs="宋体"/>
                <w:color w:val="000000"/>
                <w:sz w:val="21"/>
                <w:szCs w:val="21"/>
                <w:highlight w:val="none"/>
                <w:lang w:bidi="ar"/>
              </w:rPr>
            </w:pPr>
            <w:r>
              <w:rPr>
                <w:rFonts w:hint="eastAsia" w:ascii="宋体" w:hAnsi="宋体" w:eastAsia="宋体" w:cs="宋体"/>
                <w:sz w:val="21"/>
                <w:szCs w:val="21"/>
                <w:highlight w:val="none"/>
                <w:lang w:eastAsia="zh-CN"/>
              </w:rPr>
              <w:t>自主可控要求</w:t>
            </w:r>
          </w:p>
        </w:tc>
        <w:tc>
          <w:tcPr>
            <w:tcW w:w="1481" w:type="dxa"/>
            <w:noWrap w:val="0"/>
            <w:vAlign w:val="center"/>
          </w:tcPr>
          <w:p w14:paraId="40F671ED">
            <w:pPr>
              <w:rPr>
                <w:rFonts w:hint="eastAsia" w:ascii="宋体" w:hAnsi="宋体" w:cs="宋体"/>
                <w:color w:val="000000"/>
                <w:sz w:val="21"/>
                <w:szCs w:val="21"/>
                <w:highlight w:val="none"/>
                <w:lang w:bidi="ar"/>
              </w:rPr>
            </w:pPr>
            <w:r>
              <w:rPr>
                <w:rFonts w:hint="eastAsia" w:ascii="宋体" w:hAnsi="宋体" w:eastAsia="宋体" w:cs="宋体"/>
                <w:b w:val="0"/>
                <w:bCs w:val="0"/>
                <w:color w:val="auto"/>
                <w:kern w:val="0"/>
                <w:sz w:val="24"/>
                <w:szCs w:val="24"/>
                <w:lang w:val="en-US" w:eastAsia="zh-CN"/>
              </w:rPr>
              <w:t>★</w:t>
            </w:r>
            <w:r>
              <w:rPr>
                <w:rFonts w:hint="eastAsia" w:ascii="宋体" w:hAnsi="宋体" w:eastAsia="宋体" w:cs="宋体"/>
                <w:sz w:val="21"/>
                <w:szCs w:val="21"/>
                <w:highlight w:val="none"/>
                <w:lang w:eastAsia="zh-CN"/>
              </w:rPr>
              <w:t>自主可控要求</w:t>
            </w:r>
          </w:p>
        </w:tc>
        <w:tc>
          <w:tcPr>
            <w:tcW w:w="6246" w:type="dxa"/>
            <w:noWrap w:val="0"/>
            <w:vAlign w:val="center"/>
          </w:tcPr>
          <w:p w14:paraId="4B764797">
            <w:pPr>
              <w:numPr>
                <w:ilvl w:val="0"/>
                <w:numId w:val="0"/>
              </w:num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1.该设备涉及的主要芯片产品（处理器、DRAM、Flash、安全芯片）需要满足自主可控要求。</w:t>
            </w:r>
          </w:p>
          <w:p w14:paraId="6C8ECEF6">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需提供软件物料清单(SBOM)，详细列明软件所包含的所有组件、库、依赖项及其版本、许可证和来源信息，并满足合规性要求，交付的软件不能有高危及以上漏洞，软件部署运行环境须满足以下要求，并提供证明材料；</w:t>
            </w:r>
          </w:p>
          <w:p w14:paraId="27F3C1BF">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.软件部署运行环境须满足以下要求：</w:t>
            </w:r>
          </w:p>
          <w:p w14:paraId="2C17270D">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1）CPU：该软件兼容通过国家安全可靠测评的 CPU（ARM、X86、MIPS）架构。</w:t>
            </w:r>
          </w:p>
          <w:p w14:paraId="5C0BFD2D">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2）操作系统：该软件兼容 UOS、麒麟等linux类型的桌面自主可控操作系统和服务器自主可控操作系统。</w:t>
            </w:r>
          </w:p>
          <w:p w14:paraId="7A66983B">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3）数据库：该软件兼容达梦等关系数据库。</w:t>
            </w:r>
          </w:p>
          <w:p w14:paraId="07F48381">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4）应用服务器中间件：该软件兼容中创等应用服务器中间件。</w:t>
            </w:r>
          </w:p>
          <w:p w14:paraId="37177CCF">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5）浏览器：兼容自主可控终端下的奇安信浏览器、360安全浏览器。</w:t>
            </w:r>
          </w:p>
          <w:p w14:paraId="0A1942E2">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.本项目所采购的软件产品100%为国产自主可控软件，如软件涉及境外厂商开发、境外版权所有、境外主体提供，涉及境外组件、境外模块、境外云服务、境外接口依赖，需做申明。</w:t>
            </w:r>
          </w:p>
          <w:p w14:paraId="7D08F13E">
            <w:pPr>
              <w:rPr>
                <w:rFonts w:hint="eastAsia" w:ascii="宋体" w:hAnsi="宋体" w:cs="宋体"/>
                <w:color w:val="000000"/>
                <w:sz w:val="21"/>
                <w:szCs w:val="21"/>
                <w:highlight w:val="none"/>
                <w:lang w:bidi="ar"/>
              </w:rPr>
            </w:pPr>
            <w:r>
              <w:rPr>
                <w:rFonts w:hint="eastAsia" w:ascii="宋体" w:hAnsi="宋体" w:cs="宋体"/>
                <w:i w:val="0"/>
                <w:iCs w:val="0"/>
                <w:color w:val="000000"/>
                <w:kern w:val="0"/>
                <w:sz w:val="21"/>
                <w:szCs w:val="21"/>
                <w:u w:val="none"/>
                <w:lang w:val="en-US" w:eastAsia="zh-CN" w:bidi="ar"/>
              </w:rPr>
              <w:t>5</w:t>
            </w:r>
            <w:bookmarkStart w:id="74" w:name="_GoBack"/>
            <w:bookmarkEnd w:id="74"/>
            <w:r>
              <w:rPr>
                <w:rFonts w:hint="eastAsia" w:ascii="宋体" w:hAnsi="宋体" w:eastAsia="宋体" w:cs="宋体"/>
                <w:i w:val="0"/>
                <w:iCs w:val="0"/>
                <w:color w:val="000000"/>
                <w:kern w:val="0"/>
                <w:sz w:val="21"/>
                <w:szCs w:val="21"/>
                <w:u w:val="none"/>
                <w:lang w:val="en-US" w:eastAsia="zh-CN" w:bidi="ar"/>
              </w:rPr>
              <w:t>.原厂需就以上要求提供自主可控承诺函并加盖原厂公章。</w:t>
            </w:r>
          </w:p>
        </w:tc>
      </w:tr>
    </w:tbl>
    <w:p w14:paraId="168365D2">
      <w:pPr>
        <w:pStyle w:val="4"/>
        <w:numPr>
          <w:ilvl w:val="0"/>
          <w:numId w:val="4"/>
        </w:numPr>
        <w:spacing w:before="0" w:after="0" w:line="360" w:lineRule="auto"/>
        <w:rPr>
          <w:rFonts w:hint="eastAsia" w:ascii="宋体" w:hAnsi="宋体" w:cs="宋体"/>
          <w:kern w:val="0"/>
          <w:sz w:val="24"/>
          <w:szCs w:val="24"/>
        </w:rPr>
      </w:pPr>
      <w:bookmarkStart w:id="27" w:name="_Toc221619634"/>
      <w:bookmarkEnd w:id="27"/>
      <w:bookmarkStart w:id="28" w:name="_Toc221617187"/>
      <w:bookmarkEnd w:id="28"/>
      <w:bookmarkStart w:id="29" w:name="_Toc221610060"/>
      <w:bookmarkEnd w:id="29"/>
      <w:bookmarkStart w:id="30" w:name="_Toc221619632"/>
      <w:bookmarkEnd w:id="30"/>
      <w:bookmarkStart w:id="31" w:name="_Toc221619631"/>
      <w:bookmarkEnd w:id="31"/>
      <w:bookmarkStart w:id="32" w:name="_Toc221610059"/>
      <w:bookmarkEnd w:id="32"/>
      <w:bookmarkStart w:id="33" w:name="_Toc221617186"/>
      <w:bookmarkEnd w:id="33"/>
      <w:bookmarkStart w:id="34" w:name="_Toc221610057"/>
      <w:bookmarkEnd w:id="34"/>
      <w:bookmarkStart w:id="35" w:name="_Toc221617188"/>
      <w:bookmarkEnd w:id="35"/>
      <w:bookmarkStart w:id="36" w:name="_Toc221610058"/>
      <w:bookmarkEnd w:id="36"/>
      <w:bookmarkStart w:id="37" w:name="_Toc221617189"/>
      <w:bookmarkEnd w:id="37"/>
      <w:bookmarkStart w:id="38" w:name="_Toc221619633"/>
      <w:bookmarkEnd w:id="38"/>
      <w:bookmarkStart w:id="39" w:name="_Toc4389_WPSOffice_Level1"/>
      <w:bookmarkStart w:id="40" w:name="_Toc15293"/>
      <w:bookmarkStart w:id="41" w:name="_Toc18856"/>
      <w:bookmarkStart w:id="42" w:name="_Toc27549_WPSOffice_Level1"/>
      <w:r>
        <w:rPr>
          <w:rFonts w:hint="eastAsia" w:ascii="宋体" w:hAnsi="宋体" w:cs="宋体"/>
          <w:kern w:val="0"/>
          <w:sz w:val="24"/>
          <w:szCs w:val="24"/>
        </w:rPr>
        <w:t>资料管理</w:t>
      </w:r>
      <w:bookmarkEnd w:id="39"/>
      <w:bookmarkEnd w:id="40"/>
      <w:bookmarkEnd w:id="41"/>
      <w:bookmarkEnd w:id="42"/>
    </w:p>
    <w:p w14:paraId="51150875">
      <w:pPr>
        <w:numPr>
          <w:ilvl w:val="1"/>
          <w:numId w:val="4"/>
        </w:numPr>
        <w:adjustRightInd w:val="0"/>
        <w:spacing w:line="360" w:lineRule="auto"/>
        <w:ind w:left="0" w:firstLine="0"/>
        <w:outlineLvl w:val="1"/>
        <w:rPr>
          <w:rFonts w:hint="eastAsia" w:ascii="宋体" w:hAnsi="宋体" w:cs="宋体"/>
          <w:sz w:val="24"/>
        </w:rPr>
      </w:pPr>
      <w:bookmarkStart w:id="43" w:name="_Toc270322069"/>
      <w:r>
        <w:rPr>
          <w:rFonts w:hint="eastAsia" w:ascii="宋体" w:hAnsi="宋体" w:cs="宋体"/>
          <w:sz w:val="24"/>
        </w:rPr>
        <w:t>文档范围</w:t>
      </w:r>
      <w:bookmarkEnd w:id="43"/>
    </w:p>
    <w:p w14:paraId="688AB0A1">
      <w:pPr>
        <w:pStyle w:val="31"/>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b w:val="0"/>
          <w:bCs w:val="0"/>
          <w:sz w:val="24"/>
        </w:rPr>
      </w:pPr>
      <w:r>
        <w:rPr>
          <w:rFonts w:hint="eastAsia" w:ascii="宋体" w:hAnsi="宋体" w:eastAsia="宋体" w:cs="宋体"/>
          <w:b w:val="0"/>
          <w:bCs w:val="0"/>
          <w:spacing w:val="0"/>
          <w:kern w:val="2"/>
          <w:sz w:val="24"/>
          <w:szCs w:val="24"/>
          <w:lang w:val="en-US" w:eastAsia="zh-CN" w:bidi="ar-SA"/>
        </w:rPr>
        <w:t>为确保本系统的安装、投产、运行和维护，</w:t>
      </w:r>
      <w:r>
        <w:rPr>
          <w:rFonts w:hint="eastAsia" w:ascii="宋体" w:hAnsi="宋体" w:cs="宋体"/>
          <w:sz w:val="24"/>
        </w:rPr>
        <w:t>供方应</w:t>
      </w:r>
      <w:r>
        <w:rPr>
          <w:rFonts w:hint="eastAsia" w:ascii="宋体" w:hAnsi="宋体" w:cs="宋体"/>
          <w:sz w:val="24"/>
          <w:lang w:val="en-US" w:eastAsia="zh-CN"/>
        </w:rPr>
        <w:t>需</w:t>
      </w:r>
      <w:r>
        <w:rPr>
          <w:rFonts w:hint="eastAsia" w:ascii="宋体" w:hAnsi="宋体" w:eastAsia="宋体" w:cs="宋体"/>
          <w:b w:val="0"/>
          <w:bCs w:val="0"/>
          <w:spacing w:val="0"/>
          <w:kern w:val="2"/>
          <w:sz w:val="24"/>
          <w:szCs w:val="24"/>
          <w:lang w:val="en-US" w:eastAsia="zh-CN" w:bidi="ar-SA"/>
        </w:rPr>
        <w:t>在合同规定时间内，提供系统所有设备技术文档和操作使用手册，并对其所提供的全部技术资料的准确性负责。投标方提供的文件和资料应能满足招标方进行系统维护和进一步开发的需要。提供的图纸应符合标准规格。向</w:t>
      </w:r>
      <w:r>
        <w:rPr>
          <w:rFonts w:hint="eastAsia" w:ascii="宋体" w:hAnsi="宋体" w:cs="宋体"/>
          <w:b w:val="0"/>
          <w:bCs w:val="0"/>
          <w:spacing w:val="0"/>
          <w:kern w:val="2"/>
          <w:sz w:val="24"/>
          <w:szCs w:val="24"/>
          <w:lang w:val="en-US" w:eastAsia="zh-CN" w:bidi="ar-SA"/>
        </w:rPr>
        <w:t>投标寻源方</w:t>
      </w:r>
      <w:r>
        <w:rPr>
          <w:rFonts w:hint="eastAsia" w:ascii="宋体" w:hAnsi="宋体" w:eastAsia="宋体" w:cs="宋体"/>
          <w:b w:val="0"/>
          <w:bCs w:val="0"/>
          <w:spacing w:val="0"/>
          <w:kern w:val="2"/>
          <w:sz w:val="24"/>
          <w:szCs w:val="24"/>
          <w:lang w:val="en-US" w:eastAsia="zh-CN" w:bidi="ar-SA"/>
        </w:rPr>
        <w:t>提供</w:t>
      </w:r>
      <w:r>
        <w:rPr>
          <w:rFonts w:hint="eastAsia" w:ascii="宋体" w:hAnsi="宋体" w:cs="宋体"/>
          <w:sz w:val="24"/>
        </w:rPr>
        <w:t>相关验收资料</w:t>
      </w:r>
      <w:r>
        <w:rPr>
          <w:rFonts w:hint="eastAsia" w:ascii="宋体" w:hAnsi="宋体" w:eastAsia="宋体" w:cs="宋体"/>
          <w:b w:val="0"/>
          <w:bCs w:val="0"/>
          <w:spacing w:val="0"/>
          <w:kern w:val="2"/>
          <w:sz w:val="24"/>
          <w:szCs w:val="24"/>
          <w:lang w:val="en-US" w:eastAsia="zh-CN" w:bidi="ar-SA"/>
        </w:rPr>
        <w:t>（</w:t>
      </w:r>
      <w:r>
        <w:rPr>
          <w:rFonts w:hint="eastAsia" w:ascii="宋体" w:hAnsi="宋体" w:cs="宋体"/>
          <w:b w:val="0"/>
          <w:bCs w:val="0"/>
          <w:sz w:val="24"/>
        </w:rPr>
        <w:t>电子版扫描件一套，书面材料一套</w:t>
      </w:r>
      <w:r>
        <w:rPr>
          <w:rFonts w:hint="eastAsia" w:ascii="宋体" w:hAnsi="宋体" w:cs="宋体"/>
          <w:b w:val="0"/>
          <w:bCs w:val="0"/>
          <w:sz w:val="24"/>
          <w:lang w:eastAsia="zh-CN"/>
        </w:rPr>
        <w:t>）</w:t>
      </w:r>
      <w:r>
        <w:rPr>
          <w:rFonts w:hint="eastAsia" w:ascii="宋体" w:hAnsi="宋体" w:cs="宋体"/>
          <w:b w:val="0"/>
          <w:bCs w:val="0"/>
          <w:sz w:val="24"/>
        </w:rPr>
        <w:t>。包括</w:t>
      </w:r>
      <w:r>
        <w:rPr>
          <w:rFonts w:hint="eastAsia" w:ascii="宋体" w:hAnsi="宋体" w:cs="宋体"/>
          <w:b w:val="0"/>
          <w:bCs w:val="0"/>
          <w:sz w:val="24"/>
          <w:lang w:val="en-US" w:eastAsia="zh-CN"/>
        </w:rPr>
        <w:t>但不限于</w:t>
      </w:r>
      <w:r>
        <w:rPr>
          <w:rFonts w:hint="eastAsia" w:ascii="宋体" w:hAnsi="宋体" w:cs="宋体"/>
          <w:b w:val="0"/>
          <w:bCs w:val="0"/>
          <w:sz w:val="24"/>
        </w:rPr>
        <w:t>：</w:t>
      </w:r>
    </w:p>
    <w:tbl>
      <w:tblPr>
        <w:tblStyle w:val="24"/>
        <w:tblW w:w="3341" w:type="pct"/>
        <w:jc w:val="center"/>
        <w:tblLayout w:type="autofit"/>
        <w:tblCellMar>
          <w:top w:w="0" w:type="dxa"/>
          <w:left w:w="108" w:type="dxa"/>
          <w:bottom w:w="0" w:type="dxa"/>
          <w:right w:w="108" w:type="dxa"/>
        </w:tblCellMar>
      </w:tblPr>
      <w:tblGrid>
        <w:gridCol w:w="881"/>
        <w:gridCol w:w="3377"/>
        <w:gridCol w:w="2099"/>
      </w:tblGrid>
      <w:tr w14:paraId="1E50BB76">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47EF5C46">
            <w:pPr>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项目</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1AEDF67A">
            <w:pPr>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说明</w:t>
            </w:r>
          </w:p>
        </w:tc>
        <w:tc>
          <w:tcPr>
            <w:tcW w:w="1651" w:type="pct"/>
            <w:tcBorders>
              <w:top w:val="single" w:color="000000" w:sz="4" w:space="0"/>
              <w:left w:val="single" w:color="000000" w:sz="4" w:space="0"/>
              <w:bottom w:val="single" w:color="000000" w:sz="4" w:space="0"/>
              <w:right w:val="single" w:color="000000" w:sz="4" w:space="0"/>
            </w:tcBorders>
            <w:noWrap/>
            <w:vAlign w:val="center"/>
          </w:tcPr>
          <w:p w14:paraId="13FE45CE">
            <w:pPr>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数量</w:t>
            </w:r>
          </w:p>
        </w:tc>
      </w:tr>
      <w:tr w14:paraId="6FAD1DE6">
        <w:tblPrEx>
          <w:tblCellMar>
            <w:top w:w="0" w:type="dxa"/>
            <w:left w:w="108" w:type="dxa"/>
            <w:bottom w:w="0" w:type="dxa"/>
            <w:right w:w="108" w:type="dxa"/>
          </w:tblCellMar>
        </w:tblPrEx>
        <w:trPr>
          <w:trHeight w:val="338"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55D7B8CE">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53DFECFC">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用户使用手册</w:t>
            </w:r>
          </w:p>
        </w:tc>
        <w:tc>
          <w:tcPr>
            <w:tcW w:w="1651" w:type="pct"/>
            <w:tcBorders>
              <w:top w:val="single" w:color="000000" w:sz="4" w:space="0"/>
              <w:left w:val="single" w:color="000000" w:sz="4" w:space="0"/>
              <w:bottom w:val="single" w:color="000000" w:sz="4" w:space="0"/>
              <w:right w:val="single" w:color="000000" w:sz="4" w:space="0"/>
            </w:tcBorders>
            <w:noWrap/>
            <w:vAlign w:val="center"/>
          </w:tcPr>
          <w:p w14:paraId="302AAD1D">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747151B0">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397BE833">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2</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4621DC3E">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系统维护手册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75005650">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5ADCA9F8">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612BB559">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3</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66ABAE77">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系统功能说明手册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1B83FA0A">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300514DC">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428C51FE">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4</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7E4EB1F5">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系统安装和配置手册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37B0B888">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058EDE66">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238B405F">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5</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7CF0549A">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系统测试手册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56F342C3">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bl>
    <w:p w14:paraId="76B531A4">
      <w:pPr>
        <w:pStyle w:val="31"/>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b w:val="0"/>
          <w:bCs w:val="0"/>
          <w:sz w:val="24"/>
        </w:rPr>
      </w:pPr>
    </w:p>
    <w:p w14:paraId="7CB23149">
      <w:pPr>
        <w:numPr>
          <w:ilvl w:val="1"/>
          <w:numId w:val="4"/>
        </w:numPr>
        <w:adjustRightInd w:val="0"/>
        <w:spacing w:line="360" w:lineRule="auto"/>
        <w:ind w:left="0" w:firstLine="0"/>
        <w:outlineLvl w:val="1"/>
        <w:rPr>
          <w:rFonts w:hint="eastAsia" w:ascii="宋体" w:hAnsi="宋体" w:cs="宋体"/>
          <w:sz w:val="24"/>
        </w:rPr>
      </w:pPr>
      <w:bookmarkStart w:id="44" w:name="_Toc270322070"/>
      <w:r>
        <w:rPr>
          <w:rFonts w:hint="eastAsia" w:ascii="宋体" w:hAnsi="宋体" w:cs="宋体"/>
          <w:sz w:val="24"/>
          <w:lang w:eastAsia="zh-CN"/>
        </w:rPr>
        <w:t>报价人</w:t>
      </w:r>
      <w:r>
        <w:rPr>
          <w:rFonts w:hint="eastAsia" w:ascii="宋体" w:hAnsi="宋体" w:cs="宋体"/>
          <w:sz w:val="24"/>
        </w:rPr>
        <w:t>的责任</w:t>
      </w:r>
      <w:bookmarkEnd w:id="44"/>
    </w:p>
    <w:p w14:paraId="26B0C8C7">
      <w:pPr>
        <w:tabs>
          <w:tab w:val="left" w:pos="1148"/>
        </w:tabs>
        <w:spacing w:line="360" w:lineRule="auto"/>
        <w:ind w:firstLine="480"/>
        <w:jc w:val="left"/>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应对其所提供的全部文档的准确性和完整性负责。所有由</w:t>
      </w:r>
      <w:r>
        <w:rPr>
          <w:rFonts w:hint="eastAsia" w:ascii="宋体" w:hAnsi="宋体" w:cs="宋体"/>
          <w:sz w:val="24"/>
          <w:lang w:eastAsia="zh-CN"/>
        </w:rPr>
        <w:t>报价人</w:t>
      </w:r>
      <w:r>
        <w:rPr>
          <w:rFonts w:hint="eastAsia" w:ascii="宋体" w:hAnsi="宋体" w:cs="宋体"/>
          <w:sz w:val="24"/>
        </w:rPr>
        <w:t>采购供货的第三方设备的技术手册的准确性由</w:t>
      </w:r>
      <w:r>
        <w:rPr>
          <w:rFonts w:hint="eastAsia" w:ascii="宋体" w:hAnsi="宋体" w:cs="宋体"/>
          <w:sz w:val="24"/>
          <w:lang w:eastAsia="zh-CN"/>
        </w:rPr>
        <w:t>报价人</w:t>
      </w:r>
      <w:r>
        <w:rPr>
          <w:rFonts w:hint="eastAsia" w:ascii="宋体" w:hAnsi="宋体" w:cs="宋体"/>
          <w:sz w:val="24"/>
        </w:rPr>
        <w:t>负责。</w:t>
      </w:r>
    </w:p>
    <w:p w14:paraId="10D34EF8">
      <w:pPr>
        <w:pStyle w:val="4"/>
        <w:numPr>
          <w:ilvl w:val="0"/>
          <w:numId w:val="4"/>
        </w:numPr>
        <w:spacing w:before="0" w:after="0" w:line="360" w:lineRule="auto"/>
        <w:rPr>
          <w:rFonts w:hint="eastAsia" w:ascii="宋体" w:hAnsi="宋体"/>
          <w:kern w:val="0"/>
          <w:sz w:val="24"/>
          <w:szCs w:val="24"/>
        </w:rPr>
      </w:pPr>
      <w:bookmarkStart w:id="45" w:name="_Toc58225921"/>
      <w:bookmarkStart w:id="46" w:name="_Toc8849_WPSOffice_Level1"/>
      <w:bookmarkStart w:id="47" w:name="_Toc27007"/>
      <w:bookmarkStart w:id="48" w:name="_Toc27515"/>
      <w:bookmarkStart w:id="49" w:name="_Toc31393"/>
      <w:bookmarkStart w:id="50" w:name="_Toc31121_WPSOffice_Level1"/>
      <w:bookmarkStart w:id="51" w:name="_Toc187218714"/>
      <w:r>
        <w:rPr>
          <w:rFonts w:hint="eastAsia" w:ascii="宋体" w:hAnsi="宋体"/>
          <w:kern w:val="0"/>
          <w:sz w:val="24"/>
          <w:szCs w:val="24"/>
        </w:rPr>
        <w:t>售后服务及技术培训</w:t>
      </w:r>
      <w:bookmarkEnd w:id="45"/>
      <w:bookmarkEnd w:id="46"/>
      <w:bookmarkEnd w:id="47"/>
      <w:bookmarkEnd w:id="48"/>
      <w:bookmarkEnd w:id="49"/>
      <w:bookmarkEnd w:id="50"/>
    </w:p>
    <w:p w14:paraId="0996555D">
      <w:pPr>
        <w:tabs>
          <w:tab w:val="left" w:pos="1148"/>
        </w:tabs>
        <w:spacing w:line="360" w:lineRule="auto"/>
        <w:ind w:firstLine="480"/>
        <w:jc w:val="left"/>
        <w:rPr>
          <w:rFonts w:hint="eastAsia" w:ascii="宋体" w:hAnsi="宋体" w:cs="宋体"/>
          <w:sz w:val="24"/>
        </w:rPr>
      </w:pPr>
      <w:bookmarkStart w:id="52" w:name="_Toc317690130"/>
      <w:bookmarkStart w:id="53" w:name="_Toc317067408"/>
      <w:bookmarkStart w:id="54" w:name="_Toc8224_WPSOffice_Level1"/>
      <w:bookmarkStart w:id="55" w:name="_Toc20893"/>
      <w:bookmarkStart w:id="56" w:name="_Toc32297"/>
      <w:bookmarkStart w:id="57" w:name="_Toc317689842"/>
      <w:bookmarkStart w:id="58" w:name="_Toc23917"/>
      <w:bookmarkStart w:id="59" w:name="_Toc58225922"/>
      <w:bookmarkStart w:id="60" w:name="_Toc17375_WPSOffice_Level1"/>
      <w:r>
        <w:rPr>
          <w:rFonts w:hint="eastAsia" w:ascii="宋体" w:hAnsi="宋体" w:cs="宋体"/>
          <w:sz w:val="24"/>
        </w:rPr>
        <w:t>在产品质保期内有制造质量的货物，由供货方负责修理或更换。对非甲方责任造成的货物损坏，供货方有优先提供更换的义务。</w:t>
      </w:r>
    </w:p>
    <w:p w14:paraId="1CB6C561">
      <w:pPr>
        <w:tabs>
          <w:tab w:val="left" w:pos="1148"/>
        </w:tabs>
        <w:spacing w:line="360" w:lineRule="auto"/>
        <w:ind w:firstLine="480"/>
        <w:jc w:val="left"/>
        <w:rPr>
          <w:rFonts w:hint="eastAsia" w:ascii="宋体" w:hAnsi="宋体" w:cs="宋体"/>
          <w:sz w:val="24"/>
        </w:rPr>
      </w:pPr>
      <w:r>
        <w:rPr>
          <w:rFonts w:hint="eastAsia" w:ascii="宋体" w:hAnsi="宋体" w:cs="宋体"/>
          <w:sz w:val="24"/>
          <w:lang w:val="en-US" w:eastAsia="zh-CN"/>
        </w:rPr>
        <w:t>7</w:t>
      </w:r>
      <w:r>
        <w:rPr>
          <w:rFonts w:hint="eastAsia" w:ascii="宋体" w:hAnsi="宋体" w:cs="宋体"/>
          <w:sz w:val="24"/>
        </w:rPr>
        <w:t>.1售后服务要求</w:t>
      </w:r>
    </w:p>
    <w:p w14:paraId="078AD105">
      <w:pPr>
        <w:tabs>
          <w:tab w:val="left" w:pos="1148"/>
        </w:tabs>
        <w:spacing w:line="360" w:lineRule="auto"/>
        <w:ind w:firstLine="480"/>
        <w:jc w:val="left"/>
        <w:rPr>
          <w:rFonts w:hint="eastAsia" w:ascii="宋体" w:hAnsi="宋体" w:cs="宋体"/>
          <w:sz w:val="24"/>
          <w:highlight w:val="none"/>
        </w:rPr>
      </w:pPr>
      <w:r>
        <w:rPr>
          <w:rFonts w:hint="eastAsia" w:ascii="宋体" w:hAnsi="宋体" w:cs="宋体"/>
          <w:sz w:val="24"/>
          <w:highlight w:val="none"/>
          <w:lang w:val="en-US" w:eastAsia="zh-CN"/>
        </w:rPr>
        <w:t>7</w:t>
      </w:r>
      <w:r>
        <w:rPr>
          <w:rFonts w:hint="eastAsia" w:ascii="宋体" w:hAnsi="宋体" w:cs="宋体"/>
          <w:sz w:val="24"/>
          <w:highlight w:val="none"/>
        </w:rPr>
        <w:t>.1</w:t>
      </w:r>
      <w:r>
        <w:rPr>
          <w:rFonts w:hint="eastAsia" w:ascii="宋体" w:hAnsi="宋体" w:cs="宋体"/>
          <w:sz w:val="24"/>
          <w:highlight w:val="none"/>
          <w:lang w:val="en-US" w:eastAsia="zh-CN"/>
        </w:rPr>
        <w:t>.1</w:t>
      </w:r>
      <w:r>
        <w:rPr>
          <w:rFonts w:hint="eastAsia" w:ascii="宋体" w:hAnsi="宋体" w:cs="宋体"/>
          <w:sz w:val="24"/>
          <w:highlight w:val="none"/>
        </w:rPr>
        <w:t xml:space="preserve"> 软件类</w:t>
      </w:r>
    </w:p>
    <w:p w14:paraId="21609A42">
      <w:pPr>
        <w:numPr>
          <w:ilvl w:val="0"/>
          <w:numId w:val="0"/>
        </w:numPr>
        <w:tabs>
          <w:tab w:val="left" w:pos="1148"/>
        </w:tabs>
        <w:spacing w:line="360" w:lineRule="auto"/>
        <w:ind w:left="420" w:leftChars="0"/>
        <w:jc w:val="left"/>
        <w:rPr>
          <w:rFonts w:hint="eastAsia" w:ascii="宋体" w:hAnsi="宋体" w:cs="宋体"/>
          <w:sz w:val="24"/>
          <w:highlight w:val="none"/>
        </w:rPr>
      </w:pPr>
      <w:r>
        <w:rPr>
          <w:rFonts w:hint="eastAsia" w:ascii="宋体" w:hAnsi="宋体" w:cs="宋体"/>
          <w:sz w:val="24"/>
          <w:highlight w:val="none"/>
        </w:rPr>
        <w:t>提供</w:t>
      </w:r>
      <w:r>
        <w:rPr>
          <w:rFonts w:hint="eastAsia" w:ascii="宋体" w:hAnsi="宋体" w:cs="宋体"/>
          <w:sz w:val="24"/>
          <w:highlight w:val="none"/>
          <w:lang w:val="en-US" w:eastAsia="zh-CN"/>
        </w:rPr>
        <w:t>3</w:t>
      </w:r>
      <w:r>
        <w:rPr>
          <w:rFonts w:hint="eastAsia" w:ascii="宋体" w:hAnsi="宋体" w:cs="宋体"/>
          <w:sz w:val="24"/>
          <w:highlight w:val="none"/>
        </w:rPr>
        <w:t>年的原厂安全和性能补丁服务</w:t>
      </w:r>
      <w:r>
        <w:rPr>
          <w:rFonts w:hint="eastAsia" w:ascii="宋体" w:hAnsi="宋体" w:cs="宋体"/>
          <w:sz w:val="24"/>
          <w:highlight w:val="none"/>
          <w:lang w:val="en-US" w:eastAsia="zh-CN"/>
        </w:rPr>
        <w:t>及1</w:t>
      </w:r>
      <w:r>
        <w:rPr>
          <w:rFonts w:hint="eastAsia" w:ascii="宋体" w:hAnsi="宋体" w:cs="宋体"/>
          <w:sz w:val="24"/>
          <w:highlight w:val="none"/>
        </w:rPr>
        <w:t>年原厂标准服务，包含：</w:t>
      </w:r>
    </w:p>
    <w:p w14:paraId="74DC5986">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提供7×24小时技术支持服务，指定相对固定的技术负责人及联络电话、传真、e-mail等。</w:t>
      </w:r>
    </w:p>
    <w:p w14:paraId="741C7548">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在用户发现软件缺陷时，投标方必须在用户提出维护要求的2小时内作出响应，24小时内提交故障分析报告和解决方案，48小时内故障得以解决。</w:t>
      </w:r>
    </w:p>
    <w:p w14:paraId="3CB2F6FC">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重大软件故障时，投标方应在接到故障电话后4小时到达现场，24小时内修复故障。</w:t>
      </w:r>
    </w:p>
    <w:p w14:paraId="1F83CC1A">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在有新的系统补丁或升级版本时，在征得用户同意的情况下可进行升级或打补丁。由于未提供给用户补丁或升级而引起的运行故障由投标方负责一切后果。</w:t>
      </w:r>
    </w:p>
    <w:p w14:paraId="7AB186E1">
      <w:pPr>
        <w:tabs>
          <w:tab w:val="left" w:pos="1148"/>
        </w:tabs>
        <w:spacing w:line="360" w:lineRule="auto"/>
        <w:ind w:firstLine="480"/>
        <w:jc w:val="left"/>
        <w:rPr>
          <w:rFonts w:hint="eastAsia" w:ascii="宋体" w:hAnsi="宋体" w:cs="宋体"/>
          <w:sz w:val="24"/>
          <w:highlight w:val="none"/>
          <w:lang w:val="en-US" w:eastAsia="zh-CN"/>
        </w:rPr>
      </w:pPr>
      <w:r>
        <w:rPr>
          <w:rFonts w:hint="eastAsia" w:ascii="宋体" w:hAnsi="宋体" w:cs="宋体"/>
          <w:sz w:val="24"/>
          <w:highlight w:val="none"/>
          <w:lang w:val="en-US" w:eastAsia="zh-CN"/>
        </w:rPr>
        <w:t>7.1.2  硬件</w:t>
      </w:r>
      <w:r>
        <w:rPr>
          <w:rFonts w:hint="eastAsia" w:ascii="宋体" w:hAnsi="宋体" w:cs="宋体"/>
          <w:sz w:val="24"/>
          <w:highlight w:val="none"/>
        </w:rPr>
        <w:t>类</w:t>
      </w:r>
    </w:p>
    <w:p w14:paraId="26662D05">
      <w:pPr>
        <w:numPr>
          <w:ilvl w:val="0"/>
          <w:numId w:val="0"/>
        </w:numPr>
        <w:tabs>
          <w:tab w:val="left" w:pos="1148"/>
        </w:tabs>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提供</w:t>
      </w:r>
      <w:r>
        <w:rPr>
          <w:rFonts w:hint="eastAsia" w:ascii="宋体" w:hAnsi="宋体" w:cs="宋体"/>
          <w:sz w:val="24"/>
          <w:highlight w:val="none"/>
          <w:lang w:val="en-US" w:eastAsia="zh-CN"/>
        </w:rPr>
        <w:t>3</w:t>
      </w:r>
      <w:r>
        <w:rPr>
          <w:rFonts w:hint="eastAsia" w:ascii="宋体" w:hAnsi="宋体" w:cs="宋体"/>
          <w:sz w:val="24"/>
          <w:highlight w:val="none"/>
        </w:rPr>
        <w:t>年的设备保修服务</w:t>
      </w:r>
      <w:r>
        <w:rPr>
          <w:rFonts w:hint="eastAsia" w:ascii="宋体" w:hAnsi="宋体" w:cs="宋体"/>
          <w:sz w:val="24"/>
          <w:highlight w:val="none"/>
          <w:lang w:val="en-US" w:eastAsia="zh-CN"/>
        </w:rPr>
        <w:t>及</w:t>
      </w:r>
      <w:r>
        <w:rPr>
          <w:rFonts w:hint="eastAsia" w:ascii="宋体" w:hAnsi="宋体" w:cs="宋体"/>
          <w:sz w:val="24"/>
          <w:highlight w:val="none"/>
        </w:rPr>
        <w:t>1年原厂标准服务，包含：</w:t>
      </w:r>
    </w:p>
    <w:p w14:paraId="0EB7D4CF">
      <w:pPr>
        <w:numPr>
          <w:ilvl w:val="0"/>
          <w:numId w:val="5"/>
        </w:numPr>
        <w:tabs>
          <w:tab w:val="left" w:pos="1148"/>
        </w:tabs>
        <w:spacing w:line="360" w:lineRule="auto"/>
        <w:ind w:left="840" w:leftChars="0" w:hanging="420" w:firstLineChars="0"/>
        <w:jc w:val="left"/>
        <w:rPr>
          <w:rFonts w:hint="eastAsia" w:ascii="宋体" w:hAnsi="宋体" w:cs="宋体"/>
          <w:sz w:val="24"/>
          <w:highlight w:val="none"/>
        </w:rPr>
      </w:pPr>
      <w:r>
        <w:rPr>
          <w:rFonts w:hint="eastAsia" w:ascii="宋体" w:hAnsi="宋体" w:cs="宋体"/>
          <w:sz w:val="24"/>
          <w:highlight w:val="none"/>
        </w:rPr>
        <w:t>提供7×24小时技术支持服务，指定相对固定的技术负责人及联络电话、传真、e-mail等。</w:t>
      </w:r>
    </w:p>
    <w:p w14:paraId="4D33BC81">
      <w:pPr>
        <w:numPr>
          <w:ilvl w:val="0"/>
          <w:numId w:val="5"/>
        </w:numPr>
        <w:tabs>
          <w:tab w:val="left" w:pos="1148"/>
        </w:tabs>
        <w:spacing w:line="360" w:lineRule="auto"/>
        <w:ind w:left="840" w:leftChars="0" w:hanging="420" w:firstLineChars="0"/>
        <w:jc w:val="left"/>
        <w:rPr>
          <w:rFonts w:hint="eastAsia" w:ascii="宋体" w:hAnsi="宋体" w:cs="宋体"/>
          <w:sz w:val="24"/>
          <w:highlight w:val="none"/>
        </w:rPr>
      </w:pPr>
      <w:r>
        <w:rPr>
          <w:rFonts w:hint="eastAsia" w:ascii="宋体" w:hAnsi="宋体" w:cs="宋体"/>
          <w:sz w:val="24"/>
          <w:highlight w:val="none"/>
        </w:rPr>
        <w:t>在用户发现系统缺陷时，投标方必须在用户提出维护要求的2小时内作出响应，24小时内提交故障分析报告和解决方案，48小时内故障得以解决。</w:t>
      </w:r>
    </w:p>
    <w:p w14:paraId="58202005">
      <w:pPr>
        <w:numPr>
          <w:ilvl w:val="0"/>
          <w:numId w:val="5"/>
        </w:numPr>
        <w:tabs>
          <w:tab w:val="left" w:pos="1148"/>
        </w:tabs>
        <w:spacing w:line="360" w:lineRule="auto"/>
        <w:ind w:left="840" w:leftChars="0" w:hanging="420" w:firstLineChars="0"/>
        <w:jc w:val="left"/>
        <w:rPr>
          <w:rFonts w:hint="eastAsia" w:ascii="宋体" w:hAnsi="宋体" w:cs="宋体"/>
          <w:sz w:val="24"/>
          <w:highlight w:val="none"/>
        </w:rPr>
      </w:pPr>
      <w:r>
        <w:rPr>
          <w:rFonts w:hint="eastAsia" w:ascii="宋体" w:hAnsi="宋体" w:cs="宋体"/>
          <w:sz w:val="24"/>
          <w:highlight w:val="none"/>
        </w:rPr>
        <w:t>重大系统故障时，投标方应在接到故障电话后4小时到达现场，24小时内修复故障。</w:t>
      </w:r>
    </w:p>
    <w:p w14:paraId="4F6C51B1">
      <w:pPr>
        <w:numPr>
          <w:ilvl w:val="0"/>
          <w:numId w:val="5"/>
        </w:numPr>
        <w:tabs>
          <w:tab w:val="left" w:pos="1148"/>
        </w:tabs>
        <w:spacing w:line="360" w:lineRule="auto"/>
        <w:ind w:left="840" w:leftChars="0" w:hanging="420" w:firstLineChars="0"/>
        <w:jc w:val="left"/>
        <w:rPr>
          <w:rFonts w:hint="eastAsia" w:ascii="宋体" w:hAnsi="宋体" w:cs="宋体"/>
        </w:rPr>
      </w:pPr>
      <w:r>
        <w:rPr>
          <w:rFonts w:hint="eastAsia" w:ascii="宋体" w:hAnsi="宋体" w:cs="宋体"/>
          <w:sz w:val="24"/>
          <w:highlight w:val="none"/>
        </w:rPr>
        <w:t>在有新的系统补丁或升级版本时，在征得用户同意的情况下可进行升级或打补丁。由于未提供给用户补丁或升级而引起的运行故障由投标方负责一切后果</w:t>
      </w:r>
      <w:r>
        <w:rPr>
          <w:rFonts w:hint="eastAsia" w:ascii="宋体" w:hAnsi="宋体" w:cs="宋体"/>
        </w:rPr>
        <w:t>。</w:t>
      </w:r>
    </w:p>
    <w:p w14:paraId="7610DD01">
      <w:pPr>
        <w:tabs>
          <w:tab w:val="left" w:pos="1148"/>
        </w:tabs>
        <w:spacing w:line="360" w:lineRule="auto"/>
        <w:ind w:firstLine="480"/>
        <w:jc w:val="left"/>
        <w:rPr>
          <w:rFonts w:hint="eastAsia" w:ascii="宋体" w:hAnsi="宋体" w:cs="宋体"/>
          <w:sz w:val="24"/>
        </w:rPr>
      </w:pPr>
      <w:r>
        <w:rPr>
          <w:rFonts w:hint="eastAsia" w:ascii="宋体" w:hAnsi="宋体" w:cs="宋体"/>
          <w:sz w:val="24"/>
          <w:lang w:val="en-US" w:eastAsia="zh-CN"/>
        </w:rPr>
        <w:t>7</w:t>
      </w:r>
      <w:r>
        <w:rPr>
          <w:rFonts w:hint="eastAsia" w:ascii="宋体" w:hAnsi="宋体" w:cs="宋体"/>
          <w:sz w:val="24"/>
        </w:rPr>
        <w:t>.2技术培训</w:t>
      </w:r>
    </w:p>
    <w:p w14:paraId="214D64B1">
      <w:pPr>
        <w:tabs>
          <w:tab w:val="left" w:pos="1148"/>
        </w:tabs>
        <w:spacing w:line="360" w:lineRule="auto"/>
        <w:ind w:firstLine="480"/>
        <w:jc w:val="left"/>
        <w:rPr>
          <w:rFonts w:hint="eastAsia" w:ascii="宋体" w:hAnsi="宋体" w:cs="宋体"/>
          <w:sz w:val="24"/>
        </w:rPr>
      </w:pPr>
      <w:r>
        <w:rPr>
          <w:rFonts w:hint="eastAsia" w:ascii="宋体" w:hAnsi="宋体" w:cs="宋体"/>
          <w:sz w:val="24"/>
        </w:rPr>
        <w:t>(1)供方负责对需方技术人员及运行、维护人员的培训；</w:t>
      </w:r>
    </w:p>
    <w:p w14:paraId="041492F4">
      <w:pPr>
        <w:tabs>
          <w:tab w:val="left" w:pos="1148"/>
        </w:tabs>
        <w:spacing w:line="360" w:lineRule="auto"/>
        <w:ind w:firstLine="480"/>
        <w:jc w:val="left"/>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2</w:t>
      </w:r>
      <w:r>
        <w:rPr>
          <w:rFonts w:hint="eastAsia" w:ascii="宋体" w:hAnsi="宋体" w:cs="宋体"/>
          <w:sz w:val="24"/>
        </w:rPr>
        <w:t>)由供方负责免费提供培训，甲方选派人员参加；</w:t>
      </w:r>
    </w:p>
    <w:p w14:paraId="434DA649">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s="宋体"/>
          <w:kern w:val="0"/>
          <w:sz w:val="24"/>
          <w:szCs w:val="24"/>
        </w:rPr>
      </w:pPr>
      <w:bookmarkStart w:id="61" w:name="_Toc1399"/>
      <w:r>
        <w:rPr>
          <w:rFonts w:hint="eastAsia" w:ascii="宋体" w:hAnsi="宋体" w:cs="宋体"/>
          <w:kern w:val="0"/>
          <w:sz w:val="24"/>
          <w:szCs w:val="24"/>
        </w:rPr>
        <w:t>质量保证</w:t>
      </w:r>
      <w:bookmarkEnd w:id="52"/>
      <w:bookmarkEnd w:id="53"/>
      <w:bookmarkEnd w:id="54"/>
      <w:bookmarkEnd w:id="55"/>
      <w:bookmarkEnd w:id="56"/>
      <w:bookmarkEnd w:id="57"/>
      <w:bookmarkEnd w:id="58"/>
      <w:bookmarkEnd w:id="59"/>
      <w:bookmarkEnd w:id="60"/>
      <w:bookmarkEnd w:id="61"/>
    </w:p>
    <w:p w14:paraId="0CFAE264">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乙方所提供货物的质量保证期为从乙方所提供货物通过验收后</w:t>
      </w:r>
      <w:r>
        <w:rPr>
          <w:rFonts w:hint="eastAsia" w:ascii="宋体" w:hAnsi="宋体" w:eastAsia="宋体" w:cs="宋体"/>
          <w:sz w:val="24"/>
          <w:szCs w:val="24"/>
          <w:lang w:val="en-US" w:eastAsia="zh-CN"/>
        </w:rPr>
        <w:t>3年</w:t>
      </w:r>
      <w:r>
        <w:rPr>
          <w:rFonts w:hint="eastAsia" w:ascii="宋体" w:hAnsi="宋体" w:eastAsia="宋体" w:cs="宋体"/>
          <w:sz w:val="24"/>
          <w:szCs w:val="24"/>
        </w:rPr>
        <w:t>。</w:t>
      </w:r>
    </w:p>
    <w:p w14:paraId="1F7AE838">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cs="宋体"/>
          <w:sz w:val="24"/>
        </w:rPr>
      </w:pPr>
      <w:r>
        <w:rPr>
          <w:rFonts w:hint="eastAsia" w:ascii="宋体" w:hAnsi="宋体" w:eastAsia="宋体" w:cs="宋体"/>
          <w:sz w:val="24"/>
          <w:szCs w:val="24"/>
        </w:rPr>
        <w:t>在乙方所提供货物质量保证期内，如发现乙方提供的货物有缺陷，不符合甲方规定，乙方应按照甲方要求进行免费修理或更换。</w:t>
      </w:r>
    </w:p>
    <w:p w14:paraId="51BCCE5A">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s="宋体"/>
          <w:kern w:val="0"/>
          <w:sz w:val="24"/>
          <w:szCs w:val="24"/>
        </w:rPr>
      </w:pPr>
      <w:bookmarkStart w:id="62" w:name="_Toc353"/>
      <w:bookmarkStart w:id="63" w:name="_Toc1204"/>
      <w:bookmarkStart w:id="64" w:name="_Toc317690135"/>
      <w:bookmarkStart w:id="65" w:name="_Toc306176806"/>
      <w:bookmarkStart w:id="66" w:name="_Toc317689847"/>
      <w:bookmarkStart w:id="67" w:name="_Toc22439_WPSOffice_Level1"/>
      <w:bookmarkStart w:id="68" w:name="_Toc58225924"/>
      <w:bookmarkStart w:id="69" w:name="_Toc4330_WPSOffice_Level1"/>
      <w:bookmarkStart w:id="70" w:name="_Toc23858"/>
      <w:bookmarkStart w:id="71" w:name="_Toc2446"/>
      <w:r>
        <w:rPr>
          <w:rFonts w:hint="eastAsia" w:ascii="宋体" w:hAnsi="宋体" w:cs="宋体"/>
          <w:kern w:val="0"/>
          <w:sz w:val="24"/>
          <w:szCs w:val="24"/>
        </w:rPr>
        <w:t>包装、运输和贮存</w:t>
      </w:r>
      <w:bookmarkEnd w:id="62"/>
      <w:bookmarkEnd w:id="63"/>
      <w:bookmarkEnd w:id="64"/>
      <w:bookmarkEnd w:id="65"/>
      <w:bookmarkEnd w:id="66"/>
      <w:bookmarkEnd w:id="67"/>
      <w:bookmarkEnd w:id="68"/>
      <w:bookmarkEnd w:id="69"/>
      <w:bookmarkEnd w:id="70"/>
      <w:bookmarkEnd w:id="71"/>
    </w:p>
    <w:p w14:paraId="4052BF4E">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bookmarkStart w:id="72" w:name="_Toc317689848"/>
      <w:bookmarkStart w:id="73" w:name="_Toc317690136"/>
      <w:r>
        <w:rPr>
          <w:rFonts w:hint="eastAsia" w:ascii="宋体" w:hAnsi="宋体" w:eastAsia="宋体" w:cs="宋体"/>
          <w:sz w:val="24"/>
          <w:szCs w:val="24"/>
        </w:rPr>
        <w:t>设备制造完成并通过试验后应及时包装, 否则应得到切实的保护, 确保其不受污损。</w:t>
      </w:r>
      <w:bookmarkEnd w:id="72"/>
      <w:bookmarkEnd w:id="73"/>
    </w:p>
    <w:p w14:paraId="73F3E6C9">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所有部件经妥善包装或装箱后, 在运输过程中尚应采取其它防护措施, 以免散失损坏或被盗。</w:t>
      </w:r>
    </w:p>
    <w:p w14:paraId="1F1C3475">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在包装箱外应标明需方的订货号、发货号。</w:t>
      </w:r>
    </w:p>
    <w:p w14:paraId="39D3254E">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各种包装应能确保各零部件在运输过程中不致遭到损坏、丢失、变形、受潮和腐蚀。</w:t>
      </w:r>
    </w:p>
    <w:p w14:paraId="336BF104">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包装箱上应有明显的包装储运图示标志(按GB/T 191-2008)。</w:t>
      </w:r>
    </w:p>
    <w:p w14:paraId="60C3F5FB">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整体产品或分别运输的部件都要适合运输和装载的要求。</w:t>
      </w:r>
    </w:p>
    <w:p w14:paraId="601C10F2">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随产品提供的技术资料应完整无缺。</w:t>
      </w:r>
    </w:p>
    <w:p w14:paraId="0CEE533A">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 xml:space="preserve">订购的新型产品除应满足本技术条件书外， </w:t>
      </w:r>
      <w:r>
        <w:rPr>
          <w:rFonts w:hint="eastAsia" w:ascii="宋体" w:hAnsi="宋体" w:eastAsia="宋体" w:cs="宋体"/>
          <w:sz w:val="24"/>
          <w:szCs w:val="24"/>
          <w:lang w:val="en-US" w:eastAsia="zh-CN"/>
        </w:rPr>
        <w:t>报价</w:t>
      </w:r>
      <w:r>
        <w:rPr>
          <w:rFonts w:hint="eastAsia" w:ascii="宋体" w:hAnsi="宋体" w:eastAsia="宋体" w:cs="宋体"/>
          <w:sz w:val="24"/>
          <w:szCs w:val="24"/>
          <w:lang w:eastAsia="zh-CN"/>
        </w:rPr>
        <w:t>人</w:t>
      </w:r>
      <w:r>
        <w:rPr>
          <w:rFonts w:hint="eastAsia" w:ascii="宋体" w:hAnsi="宋体" w:eastAsia="宋体" w:cs="宋体"/>
          <w:sz w:val="24"/>
          <w:szCs w:val="24"/>
        </w:rPr>
        <w:t>还应提供产品的鉴定证书。</w:t>
      </w:r>
    </w:p>
    <w:p w14:paraId="68515A78">
      <w:pPr>
        <w:pStyle w:val="5"/>
        <w:numPr>
          <w:ilvl w:val="1"/>
          <w:numId w:val="4"/>
        </w:numPr>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应保证制造过程中的所有工艺、材料等（包括</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的外购件在内）均应符合本技术条件书的规定。若</w:t>
      </w:r>
      <w:r>
        <w:rPr>
          <w:rFonts w:hint="eastAsia" w:ascii="宋体" w:hAnsi="宋体" w:eastAsia="宋体" w:cs="宋体"/>
          <w:sz w:val="24"/>
          <w:szCs w:val="24"/>
          <w:lang w:eastAsia="zh-CN"/>
        </w:rPr>
        <w:t>采购方</w:t>
      </w:r>
      <w:r>
        <w:rPr>
          <w:rFonts w:hint="eastAsia" w:ascii="宋体" w:hAnsi="宋体" w:eastAsia="宋体" w:cs="宋体"/>
          <w:sz w:val="24"/>
          <w:szCs w:val="24"/>
        </w:rPr>
        <w:t>根据运行经验指定</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提供某种外购零部件，</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应积极配合。</w:t>
      </w:r>
    </w:p>
    <w:p w14:paraId="32F931B7">
      <w:pPr>
        <w:pStyle w:val="5"/>
        <w:numPr>
          <w:ilvl w:val="1"/>
          <w:numId w:val="4"/>
        </w:numPr>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应遵守本技术条件书中各条款和工作项目的ISO900、GB/T1900质量保证体系, 该质量保证体系已经过国家认证和正常运转。</w:t>
      </w:r>
    </w:p>
    <w:p w14:paraId="09EF6D15">
      <w:pPr>
        <w:pStyle w:val="5"/>
        <w:numPr>
          <w:ilvl w:val="1"/>
          <w:numId w:val="4"/>
        </w:numPr>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质保期间，因制造质量问题而发生损坏，或不能正常工作时，</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应免费为</w:t>
      </w:r>
      <w:r>
        <w:rPr>
          <w:rFonts w:hint="eastAsia" w:ascii="宋体" w:hAnsi="宋体" w:eastAsia="宋体" w:cs="宋体"/>
          <w:sz w:val="24"/>
          <w:szCs w:val="24"/>
          <w:lang w:eastAsia="zh-CN"/>
        </w:rPr>
        <w:t>采购方</w:t>
      </w:r>
      <w:r>
        <w:rPr>
          <w:rFonts w:hint="eastAsia" w:ascii="宋体" w:hAnsi="宋体" w:eastAsia="宋体" w:cs="宋体"/>
          <w:sz w:val="24"/>
          <w:szCs w:val="24"/>
        </w:rPr>
        <w:t>修理或更换零部件。</w:t>
      </w:r>
    </w:p>
    <w:bookmarkEnd w:id="51"/>
    <w:p w14:paraId="0647FA03">
      <w:pPr>
        <w:pStyle w:val="13"/>
        <w:rPr>
          <w:rFonts w:hint="eastAsia"/>
          <w:sz w:val="24"/>
          <w:szCs w:val="24"/>
        </w:rPr>
      </w:pPr>
    </w:p>
    <w:sectPr>
      <w:footerReference r:id="rId5" w:type="default"/>
      <w:pgSz w:w="11907" w:h="16840"/>
      <w:pgMar w:top="1701" w:right="1021" w:bottom="1418" w:left="1588" w:header="720" w:footer="992" w:gutter="0"/>
      <w:pgBorders>
        <w:top w:val="none" w:sz="0" w:space="0"/>
        <w:left w:val="none" w:sz="0" w:space="0"/>
        <w:bottom w:val="none" w:sz="0" w:space="0"/>
        <w:right w:val="none" w:sz="0" w:space="0"/>
      </w:pgBorders>
      <w:cols w:space="720" w:num="1"/>
      <w:docGrid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ˎ̥">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方正兰亭黑简体">
    <w:altName w:val="黑体"/>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29A85">
    <w:pPr>
      <w:pStyle w:val="18"/>
      <w:framePr w:wrap="around" w:vAnchor="text" w:hAnchor="margin" w:xAlign="outside" w:y="1"/>
      <w:ind w:firstLine="360"/>
      <w:rPr>
        <w:rStyle w:val="28"/>
        <w:rFonts w:hint="eastAsia"/>
      </w:rPr>
    </w:pPr>
  </w:p>
  <w:p w14:paraId="4ABD9C3A">
    <w:pPr>
      <w:pStyle w:val="18"/>
      <w:ind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BE777">
    <w:pPr>
      <w:pStyle w:val="18"/>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65AA3">
    <w:pPr>
      <w:pStyle w:val="18"/>
      <w:ind w:firstLine="360"/>
      <w:jc w:val="center"/>
      <w:rPr>
        <w:rFonts w:hint="eastAsia"/>
      </w:rP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5</w:t>
    </w:r>
    <w:r>
      <w:rPr>
        <w:kern w:val="0"/>
        <w:szCs w:val="21"/>
      </w:rPr>
      <w:fldChar w:fldCharType="end"/>
    </w:r>
    <w:r>
      <w:rPr>
        <w:rFonts w:hint="eastAsia"/>
        <w:kern w:val="0"/>
        <w:szCs w:val="21"/>
      </w:rPr>
      <w:t xml:space="preserve"> 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95501A"/>
    <w:multiLevelType w:val="multilevel"/>
    <w:tmpl w:val="0595501A"/>
    <w:lvl w:ilvl="0" w:tentative="0">
      <w:start w:val="1"/>
      <w:numFmt w:val="decimal"/>
      <w:suff w:val="space"/>
      <w:lvlText w:val="%1."/>
      <w:lvlJc w:val="left"/>
      <w:pPr>
        <w:ind w:left="0" w:firstLine="0"/>
      </w:pPr>
      <w:rPr>
        <w:rFonts w:hint="eastAsia"/>
      </w:rPr>
    </w:lvl>
    <w:lvl w:ilvl="1" w:tentative="0">
      <w:start w:val="1"/>
      <w:numFmt w:val="decimal"/>
      <w:isLgl/>
      <w:suff w:val="space"/>
      <w:lvlText w:val="%1.%2"/>
      <w:lvlJc w:val="left"/>
      <w:pPr>
        <w:ind w:left="0" w:firstLine="0"/>
      </w:pPr>
      <w:rPr>
        <w:rFonts w:hint="default" w:ascii="Times New Roman" w:hAnsi="Times New Roman" w:cs="Times New Roman"/>
        <w:b/>
      </w:rPr>
    </w:lvl>
    <w:lvl w:ilvl="2" w:tentative="0">
      <w:start w:val="1"/>
      <w:numFmt w:val="decimal"/>
      <w:isLgl/>
      <w:suff w:val="space"/>
      <w:lvlText w:val="%1.%2.%3"/>
      <w:lvlJc w:val="left"/>
      <w:pPr>
        <w:ind w:left="0" w:firstLine="0"/>
      </w:pPr>
      <w:rPr>
        <w:rFonts w:hint="default" w:ascii="Times New Roman" w:hAnsi="Times New Roman" w:cs="Times New Roman"/>
        <w:b w:val="0"/>
        <w:i w:val="0"/>
      </w:rPr>
    </w:lvl>
    <w:lvl w:ilvl="3" w:tentative="0">
      <w:start w:val="1"/>
      <w:numFmt w:val="decimal"/>
      <w:pStyle w:val="68"/>
      <w:isLgl/>
      <w:suff w:val="space"/>
      <w:lvlText w:val="%1.%2.%3.%4"/>
      <w:lvlJc w:val="left"/>
      <w:pPr>
        <w:ind w:left="0" w:firstLine="0"/>
      </w:pPr>
      <w:rPr>
        <w:rFonts w:hint="eastAsia"/>
      </w:rPr>
    </w:lvl>
    <w:lvl w:ilvl="4" w:tentative="0">
      <w:start w:val="1"/>
      <w:numFmt w:val="decimal"/>
      <w:isLgl/>
      <w:lvlText w:val="%1.%2.%3.%4.%5"/>
      <w:lvlJc w:val="left"/>
      <w:pPr>
        <w:tabs>
          <w:tab w:val="left" w:pos="426"/>
        </w:tabs>
        <w:ind w:left="426" w:firstLine="0"/>
      </w:pPr>
      <w:rPr>
        <w:rFonts w:hint="eastAsia"/>
      </w:rPr>
    </w:lvl>
    <w:lvl w:ilvl="5" w:tentative="0">
      <w:start w:val="1"/>
      <w:numFmt w:val="decimal"/>
      <w:lvlText w:val="%1.%2.%3.%4.%5.%6"/>
      <w:lvlJc w:val="left"/>
      <w:pPr>
        <w:tabs>
          <w:tab w:val="left" w:pos="6086"/>
        </w:tabs>
        <w:ind w:left="3260" w:hanging="1134"/>
      </w:pPr>
      <w:rPr>
        <w:rFonts w:hint="eastAsia"/>
      </w:rPr>
    </w:lvl>
    <w:lvl w:ilvl="6" w:tentative="0">
      <w:start w:val="1"/>
      <w:numFmt w:val="decimal"/>
      <w:lvlText w:val="%1.%2.%3.%4.%5.%6.%7"/>
      <w:lvlJc w:val="left"/>
      <w:pPr>
        <w:tabs>
          <w:tab w:val="left" w:pos="7231"/>
        </w:tabs>
        <w:ind w:left="3827" w:hanging="1276"/>
      </w:pPr>
      <w:rPr>
        <w:rFonts w:hint="eastAsia"/>
      </w:rPr>
    </w:lvl>
    <w:lvl w:ilvl="7" w:tentative="0">
      <w:start w:val="1"/>
      <w:numFmt w:val="decimal"/>
      <w:lvlText w:val="%1.%2.%3.%4.%5.%6.%7.%8"/>
      <w:lvlJc w:val="left"/>
      <w:pPr>
        <w:tabs>
          <w:tab w:val="left" w:pos="8376"/>
        </w:tabs>
        <w:ind w:left="4394" w:hanging="1418"/>
      </w:pPr>
      <w:rPr>
        <w:rFonts w:hint="eastAsia"/>
      </w:rPr>
    </w:lvl>
    <w:lvl w:ilvl="8" w:tentative="0">
      <w:start w:val="1"/>
      <w:numFmt w:val="decimal"/>
      <w:lvlText w:val="%1.%2.%3.%4.%5.%6.%7.%8.%9"/>
      <w:lvlJc w:val="left"/>
      <w:pPr>
        <w:tabs>
          <w:tab w:val="left" w:pos="9522"/>
        </w:tabs>
        <w:ind w:left="5102" w:hanging="1700"/>
      </w:pPr>
      <w:rPr>
        <w:rFonts w:hint="eastAsia"/>
      </w:rPr>
    </w:lvl>
  </w:abstractNum>
  <w:abstractNum w:abstractNumId="1">
    <w:nsid w:val="09F53057"/>
    <w:multiLevelType w:val="multilevel"/>
    <w:tmpl w:val="09F53057"/>
    <w:lvl w:ilvl="0" w:tentative="0">
      <w:start w:val="1"/>
      <w:numFmt w:val="decimal"/>
      <w:pStyle w:val="64"/>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2">
    <w:nsid w:val="303D51EF"/>
    <w:multiLevelType w:val="multilevel"/>
    <w:tmpl w:val="303D51EF"/>
    <w:lvl w:ilvl="0" w:tentative="0">
      <w:start w:val="1"/>
      <w:numFmt w:val="decimal"/>
      <w:suff w:val="space"/>
      <w:lvlText w:val="%1"/>
      <w:lvlJc w:val="left"/>
      <w:pPr>
        <w:ind w:left="0" w:firstLine="0"/>
      </w:pPr>
      <w:rPr>
        <w:rFonts w:hint="eastAsia"/>
      </w:rPr>
    </w:lvl>
    <w:lvl w:ilvl="1" w:tentative="0">
      <w:start w:val="1"/>
      <w:numFmt w:val="decimal"/>
      <w:suff w:val="space"/>
      <w:lvlText w:val="%1.%2"/>
      <w:lvlJc w:val="left"/>
      <w:pPr>
        <w:ind w:left="227" w:hanging="227"/>
      </w:pPr>
      <w:rPr>
        <w:rFonts w:hint="eastAsia"/>
        <w:sz w:val="24"/>
        <w:szCs w:val="21"/>
      </w:rPr>
    </w:lvl>
    <w:lvl w:ilvl="2" w:tentative="0">
      <w:start w:val="1"/>
      <w:numFmt w:val="decimal"/>
      <w:suff w:val="space"/>
      <w:lvlText w:val="%1.%2.%3"/>
      <w:lvlJc w:val="left"/>
      <w:pPr>
        <w:ind w:left="1418" w:hanging="567"/>
      </w:pPr>
      <w:rPr>
        <w:rFonts w:hint="eastAsia"/>
      </w:rPr>
    </w:lvl>
    <w:lvl w:ilvl="3" w:tentative="0">
      <w:start w:val="1"/>
      <w:numFmt w:val="decimal"/>
      <w:lvlText w:val="%1.%2.%3.%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282"/>
        </w:tabs>
        <w:ind w:left="5102" w:hanging="1700"/>
      </w:pPr>
      <w:rPr>
        <w:rFonts w:hint="eastAsia"/>
      </w:rPr>
    </w:lvl>
  </w:abstractNum>
  <w:abstractNum w:abstractNumId="3">
    <w:nsid w:val="4DBBE173"/>
    <w:multiLevelType w:val="singleLevel"/>
    <w:tmpl w:val="4DBBE173"/>
    <w:lvl w:ilvl="0" w:tentative="0">
      <w:start w:val="1"/>
      <w:numFmt w:val="bullet"/>
      <w:lvlText w:val=""/>
      <w:lvlJc w:val="left"/>
      <w:pPr>
        <w:ind w:left="840" w:hanging="420"/>
      </w:pPr>
      <w:rPr>
        <w:rFonts w:hint="default" w:ascii="Wingdings" w:hAnsi="Wingdings"/>
      </w:rPr>
    </w:lvl>
  </w:abstractNum>
  <w:abstractNum w:abstractNumId="4">
    <w:nsid w:val="6CEA2025"/>
    <w:multiLevelType w:val="multilevel"/>
    <w:tmpl w:val="6CEA2025"/>
    <w:lvl w:ilvl="0" w:tentative="0">
      <w:start w:val="1"/>
      <w:numFmt w:val="none"/>
      <w:pStyle w:val="58"/>
      <w:suff w:val="nothing"/>
      <w:lvlText w:val="%1"/>
      <w:lvlJc w:val="left"/>
      <w:pPr>
        <w:ind w:left="0" w:firstLine="0"/>
      </w:pPr>
      <w:rPr>
        <w:rFonts w:hint="default" w:ascii="Times New Roman" w:hAnsi="Times New Roman"/>
        <w:b/>
        <w:i w:val="0"/>
        <w:sz w:val="21"/>
      </w:rPr>
    </w:lvl>
    <w:lvl w:ilvl="1" w:tentative="0">
      <w:start w:val="1"/>
      <w:numFmt w:val="decimal"/>
      <w:pStyle w:val="40"/>
      <w:suff w:val="nothing"/>
      <w:lvlText w:val="%1%2　"/>
      <w:lvlJc w:val="left"/>
      <w:pPr>
        <w:ind w:left="0" w:firstLine="0"/>
      </w:pPr>
      <w:rPr>
        <w:rFonts w:hint="eastAsia" w:ascii="黑体" w:hAnsi="Times New Roman" w:eastAsia="黑体"/>
        <w:b w:val="0"/>
        <w:i w:val="0"/>
        <w:sz w:val="21"/>
      </w:rPr>
    </w:lvl>
    <w:lvl w:ilvl="2" w:tentative="0">
      <w:start w:val="1"/>
      <w:numFmt w:val="decimal"/>
      <w:pStyle w:val="39"/>
      <w:suff w:val="nothing"/>
      <w:lvlText w:val="%1%2.%3　"/>
      <w:lvlJc w:val="left"/>
      <w:pPr>
        <w:ind w:left="0" w:firstLine="0"/>
      </w:pPr>
      <w:rPr>
        <w:rFonts w:hint="eastAsia" w:ascii="黑体" w:hAnsi="Times New Roman" w:eastAsia="黑体"/>
        <w:b w:val="0"/>
        <w:i w:val="0"/>
        <w:sz w:val="21"/>
      </w:rPr>
    </w:lvl>
    <w:lvl w:ilvl="3" w:tentative="0">
      <w:start w:val="1"/>
      <w:numFmt w:val="decimal"/>
      <w:pStyle w:val="41"/>
      <w:suff w:val="nothing"/>
      <w:lvlText w:val="%1%2.%3.%4　"/>
      <w:lvlJc w:val="left"/>
      <w:pPr>
        <w:ind w:left="0" w:firstLine="0"/>
      </w:pPr>
      <w:rPr>
        <w:rFonts w:hint="eastAsia" w:ascii="黑体" w:hAnsi="Times New Roman" w:eastAsia="黑体"/>
        <w:b w:val="0"/>
        <w:i w:val="0"/>
        <w:sz w:val="21"/>
      </w:rPr>
    </w:lvl>
    <w:lvl w:ilvl="4" w:tentative="0">
      <w:start w:val="1"/>
      <w:numFmt w:val="decimal"/>
      <w:pStyle w:val="63"/>
      <w:suff w:val="nothing"/>
      <w:lvlText w:val="%1%2.%3.%4.%5　"/>
      <w:lvlJc w:val="left"/>
      <w:pPr>
        <w:ind w:left="0" w:firstLine="0"/>
      </w:pPr>
      <w:rPr>
        <w:rFonts w:hint="eastAsia" w:ascii="黑体" w:hAnsi="Times New Roman" w:eastAsia="黑体"/>
        <w:b w:val="0"/>
        <w:i w:val="0"/>
        <w:sz w:val="21"/>
      </w:rPr>
    </w:lvl>
    <w:lvl w:ilvl="5" w:tentative="0">
      <w:start w:val="1"/>
      <w:numFmt w:val="decimal"/>
      <w:pStyle w:val="47"/>
      <w:suff w:val="nothing"/>
      <w:lvlText w:val="%1%2.%3.%4.%5.%6　"/>
      <w:lvlJc w:val="left"/>
      <w:pPr>
        <w:ind w:left="0" w:firstLine="0"/>
      </w:pPr>
      <w:rPr>
        <w:rFonts w:hint="eastAsia" w:ascii="黑体" w:hAnsi="Times New Roman" w:eastAsia="黑体"/>
        <w:b w:val="0"/>
        <w:i w:val="0"/>
        <w:sz w:val="21"/>
      </w:rPr>
    </w:lvl>
    <w:lvl w:ilvl="6" w:tentative="0">
      <w:start w:val="1"/>
      <w:numFmt w:val="decimal"/>
      <w:pStyle w:val="5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485"/>
    <w:rsid w:val="0000491B"/>
    <w:rsid w:val="00011B3E"/>
    <w:rsid w:val="00027568"/>
    <w:rsid w:val="000277AF"/>
    <w:rsid w:val="000304EE"/>
    <w:rsid w:val="00034483"/>
    <w:rsid w:val="000430AB"/>
    <w:rsid w:val="00053CF8"/>
    <w:rsid w:val="000735EF"/>
    <w:rsid w:val="00082452"/>
    <w:rsid w:val="00093D4F"/>
    <w:rsid w:val="000B3279"/>
    <w:rsid w:val="000B6A96"/>
    <w:rsid w:val="000C1707"/>
    <w:rsid w:val="000C2285"/>
    <w:rsid w:val="000D2B88"/>
    <w:rsid w:val="000D5553"/>
    <w:rsid w:val="000D5876"/>
    <w:rsid w:val="000E1DB9"/>
    <w:rsid w:val="000E2E10"/>
    <w:rsid w:val="000E59CC"/>
    <w:rsid w:val="000F79EB"/>
    <w:rsid w:val="001266BD"/>
    <w:rsid w:val="00137317"/>
    <w:rsid w:val="001453A8"/>
    <w:rsid w:val="001863BC"/>
    <w:rsid w:val="001945CC"/>
    <w:rsid w:val="001A57F7"/>
    <w:rsid w:val="001B19EA"/>
    <w:rsid w:val="001B47FD"/>
    <w:rsid w:val="001C1ECE"/>
    <w:rsid w:val="001D3623"/>
    <w:rsid w:val="001E0220"/>
    <w:rsid w:val="001F0793"/>
    <w:rsid w:val="002033C7"/>
    <w:rsid w:val="00204545"/>
    <w:rsid w:val="00207944"/>
    <w:rsid w:val="00216CE3"/>
    <w:rsid w:val="00223E06"/>
    <w:rsid w:val="002406F5"/>
    <w:rsid w:val="00241BA1"/>
    <w:rsid w:val="00246C56"/>
    <w:rsid w:val="00260A2F"/>
    <w:rsid w:val="00270012"/>
    <w:rsid w:val="00274E8B"/>
    <w:rsid w:val="00281994"/>
    <w:rsid w:val="002879EE"/>
    <w:rsid w:val="00293A25"/>
    <w:rsid w:val="002B39EA"/>
    <w:rsid w:val="002C6544"/>
    <w:rsid w:val="002E195B"/>
    <w:rsid w:val="002E4660"/>
    <w:rsid w:val="0030280C"/>
    <w:rsid w:val="00303643"/>
    <w:rsid w:val="003258F8"/>
    <w:rsid w:val="00373528"/>
    <w:rsid w:val="003B109D"/>
    <w:rsid w:val="003B1E8E"/>
    <w:rsid w:val="003C38CB"/>
    <w:rsid w:val="00414442"/>
    <w:rsid w:val="00416210"/>
    <w:rsid w:val="00433A13"/>
    <w:rsid w:val="0043522F"/>
    <w:rsid w:val="004378E6"/>
    <w:rsid w:val="00463930"/>
    <w:rsid w:val="004A1972"/>
    <w:rsid w:val="004B422B"/>
    <w:rsid w:val="004C1528"/>
    <w:rsid w:val="004D793C"/>
    <w:rsid w:val="004F357F"/>
    <w:rsid w:val="00503EC8"/>
    <w:rsid w:val="00504B76"/>
    <w:rsid w:val="00513E72"/>
    <w:rsid w:val="0053214F"/>
    <w:rsid w:val="00543FB5"/>
    <w:rsid w:val="005522A5"/>
    <w:rsid w:val="0056265D"/>
    <w:rsid w:val="00563D62"/>
    <w:rsid w:val="005742FA"/>
    <w:rsid w:val="00575472"/>
    <w:rsid w:val="00586EE8"/>
    <w:rsid w:val="005A03FE"/>
    <w:rsid w:val="005B7F19"/>
    <w:rsid w:val="005C163E"/>
    <w:rsid w:val="005C214E"/>
    <w:rsid w:val="005F235F"/>
    <w:rsid w:val="006037F2"/>
    <w:rsid w:val="006179B0"/>
    <w:rsid w:val="006256DA"/>
    <w:rsid w:val="00630C3F"/>
    <w:rsid w:val="00633991"/>
    <w:rsid w:val="00640634"/>
    <w:rsid w:val="006516B3"/>
    <w:rsid w:val="00662A32"/>
    <w:rsid w:val="00684605"/>
    <w:rsid w:val="006865D9"/>
    <w:rsid w:val="006B0707"/>
    <w:rsid w:val="006C21A1"/>
    <w:rsid w:val="00723E2D"/>
    <w:rsid w:val="00726B0D"/>
    <w:rsid w:val="00741658"/>
    <w:rsid w:val="00750C68"/>
    <w:rsid w:val="00767790"/>
    <w:rsid w:val="00787235"/>
    <w:rsid w:val="00796E25"/>
    <w:rsid w:val="007A7896"/>
    <w:rsid w:val="007B38EA"/>
    <w:rsid w:val="007D033E"/>
    <w:rsid w:val="007D6095"/>
    <w:rsid w:val="008010D5"/>
    <w:rsid w:val="00812523"/>
    <w:rsid w:val="00812A3F"/>
    <w:rsid w:val="00817ED3"/>
    <w:rsid w:val="00835F5B"/>
    <w:rsid w:val="008463E2"/>
    <w:rsid w:val="00846A78"/>
    <w:rsid w:val="00847800"/>
    <w:rsid w:val="0085072F"/>
    <w:rsid w:val="00860086"/>
    <w:rsid w:val="0086797C"/>
    <w:rsid w:val="008B546E"/>
    <w:rsid w:val="008B59C4"/>
    <w:rsid w:val="008D7018"/>
    <w:rsid w:val="008E0719"/>
    <w:rsid w:val="008E1595"/>
    <w:rsid w:val="008E5F07"/>
    <w:rsid w:val="008E7CD9"/>
    <w:rsid w:val="00912138"/>
    <w:rsid w:val="0091511F"/>
    <w:rsid w:val="009201D7"/>
    <w:rsid w:val="009221A7"/>
    <w:rsid w:val="009301D8"/>
    <w:rsid w:val="00932229"/>
    <w:rsid w:val="00972FB3"/>
    <w:rsid w:val="00973A35"/>
    <w:rsid w:val="00987F81"/>
    <w:rsid w:val="009A56FC"/>
    <w:rsid w:val="009B5DC7"/>
    <w:rsid w:val="009D508A"/>
    <w:rsid w:val="009F0EF1"/>
    <w:rsid w:val="009F39FA"/>
    <w:rsid w:val="00A00BFD"/>
    <w:rsid w:val="00A17DAC"/>
    <w:rsid w:val="00A30A80"/>
    <w:rsid w:val="00A3515B"/>
    <w:rsid w:val="00A44784"/>
    <w:rsid w:val="00A71C0E"/>
    <w:rsid w:val="00A76C00"/>
    <w:rsid w:val="00AC2DEE"/>
    <w:rsid w:val="00AF7800"/>
    <w:rsid w:val="00B63E45"/>
    <w:rsid w:val="00B7291B"/>
    <w:rsid w:val="00B83FBB"/>
    <w:rsid w:val="00B942B2"/>
    <w:rsid w:val="00BA04CC"/>
    <w:rsid w:val="00BA1B37"/>
    <w:rsid w:val="00BA4147"/>
    <w:rsid w:val="00BD715C"/>
    <w:rsid w:val="00BE5147"/>
    <w:rsid w:val="00BF19FB"/>
    <w:rsid w:val="00C50363"/>
    <w:rsid w:val="00C62414"/>
    <w:rsid w:val="00C73186"/>
    <w:rsid w:val="00C87532"/>
    <w:rsid w:val="00CA35E1"/>
    <w:rsid w:val="00CB328E"/>
    <w:rsid w:val="00CB5E55"/>
    <w:rsid w:val="00CC75CC"/>
    <w:rsid w:val="00CD6255"/>
    <w:rsid w:val="00CF7AB5"/>
    <w:rsid w:val="00D07120"/>
    <w:rsid w:val="00D104B1"/>
    <w:rsid w:val="00D36F7E"/>
    <w:rsid w:val="00D37F98"/>
    <w:rsid w:val="00D408A5"/>
    <w:rsid w:val="00D60680"/>
    <w:rsid w:val="00D648A8"/>
    <w:rsid w:val="00D837DD"/>
    <w:rsid w:val="00D952C9"/>
    <w:rsid w:val="00D95485"/>
    <w:rsid w:val="00DA0BD6"/>
    <w:rsid w:val="00DB0DF7"/>
    <w:rsid w:val="00DC5646"/>
    <w:rsid w:val="00DC6AE1"/>
    <w:rsid w:val="00DC6FF3"/>
    <w:rsid w:val="00DE5CFE"/>
    <w:rsid w:val="00DE7403"/>
    <w:rsid w:val="00E0614E"/>
    <w:rsid w:val="00E171E0"/>
    <w:rsid w:val="00E423E3"/>
    <w:rsid w:val="00E4600E"/>
    <w:rsid w:val="00E56A81"/>
    <w:rsid w:val="00E610C3"/>
    <w:rsid w:val="00E67196"/>
    <w:rsid w:val="00E72ADE"/>
    <w:rsid w:val="00E7485D"/>
    <w:rsid w:val="00E820C4"/>
    <w:rsid w:val="00E937E9"/>
    <w:rsid w:val="00E955F4"/>
    <w:rsid w:val="00EA5542"/>
    <w:rsid w:val="00EA78A6"/>
    <w:rsid w:val="00ED3E5A"/>
    <w:rsid w:val="00EE76BD"/>
    <w:rsid w:val="00EF4B81"/>
    <w:rsid w:val="00EF53CF"/>
    <w:rsid w:val="00F07E85"/>
    <w:rsid w:val="00F100AD"/>
    <w:rsid w:val="00F25F84"/>
    <w:rsid w:val="00F26549"/>
    <w:rsid w:val="00F5149E"/>
    <w:rsid w:val="00F661F9"/>
    <w:rsid w:val="00F72BC6"/>
    <w:rsid w:val="00F74D49"/>
    <w:rsid w:val="00F8301A"/>
    <w:rsid w:val="00F97200"/>
    <w:rsid w:val="00FB2B9C"/>
    <w:rsid w:val="00FC3642"/>
    <w:rsid w:val="00FD2E01"/>
    <w:rsid w:val="00FF3529"/>
    <w:rsid w:val="015121A7"/>
    <w:rsid w:val="025748B4"/>
    <w:rsid w:val="040B2908"/>
    <w:rsid w:val="05837358"/>
    <w:rsid w:val="066C5DAC"/>
    <w:rsid w:val="071B07B5"/>
    <w:rsid w:val="0722700A"/>
    <w:rsid w:val="07CA2C78"/>
    <w:rsid w:val="07DD7372"/>
    <w:rsid w:val="07EA44D7"/>
    <w:rsid w:val="083A7EA8"/>
    <w:rsid w:val="08C91CD7"/>
    <w:rsid w:val="08E76440"/>
    <w:rsid w:val="092D2AB3"/>
    <w:rsid w:val="09BA73C6"/>
    <w:rsid w:val="0AA93B45"/>
    <w:rsid w:val="0ACC1AE2"/>
    <w:rsid w:val="0B435618"/>
    <w:rsid w:val="0C527772"/>
    <w:rsid w:val="0C576466"/>
    <w:rsid w:val="0CA672BA"/>
    <w:rsid w:val="0D1E0936"/>
    <w:rsid w:val="0D8449CC"/>
    <w:rsid w:val="0F26399A"/>
    <w:rsid w:val="0F61537E"/>
    <w:rsid w:val="0FA25AF6"/>
    <w:rsid w:val="0FD269DF"/>
    <w:rsid w:val="10627C0A"/>
    <w:rsid w:val="10851331"/>
    <w:rsid w:val="10A572FB"/>
    <w:rsid w:val="10B86080"/>
    <w:rsid w:val="10BA701D"/>
    <w:rsid w:val="113454FB"/>
    <w:rsid w:val="114744AD"/>
    <w:rsid w:val="114F2D30"/>
    <w:rsid w:val="12306264"/>
    <w:rsid w:val="129A5AAD"/>
    <w:rsid w:val="1362689D"/>
    <w:rsid w:val="14EE06E6"/>
    <w:rsid w:val="14EF4275"/>
    <w:rsid w:val="15F370C3"/>
    <w:rsid w:val="1608780D"/>
    <w:rsid w:val="160A1B5E"/>
    <w:rsid w:val="164C23A0"/>
    <w:rsid w:val="172149CC"/>
    <w:rsid w:val="17460EE3"/>
    <w:rsid w:val="17C2739F"/>
    <w:rsid w:val="18386E60"/>
    <w:rsid w:val="184E1F0C"/>
    <w:rsid w:val="189F033C"/>
    <w:rsid w:val="18CA75FE"/>
    <w:rsid w:val="191C334A"/>
    <w:rsid w:val="19460CE0"/>
    <w:rsid w:val="1ABC3C79"/>
    <w:rsid w:val="1B5B5B18"/>
    <w:rsid w:val="1C030936"/>
    <w:rsid w:val="1E7369BB"/>
    <w:rsid w:val="1F366CA9"/>
    <w:rsid w:val="1FD360B6"/>
    <w:rsid w:val="20AE6AB2"/>
    <w:rsid w:val="20EC0D7C"/>
    <w:rsid w:val="21804100"/>
    <w:rsid w:val="223055B2"/>
    <w:rsid w:val="224225E5"/>
    <w:rsid w:val="228F562B"/>
    <w:rsid w:val="23146690"/>
    <w:rsid w:val="23224AE3"/>
    <w:rsid w:val="241F384A"/>
    <w:rsid w:val="243A1D9C"/>
    <w:rsid w:val="24584B75"/>
    <w:rsid w:val="247B3F59"/>
    <w:rsid w:val="24AF77B9"/>
    <w:rsid w:val="25BE1C80"/>
    <w:rsid w:val="26A3761A"/>
    <w:rsid w:val="26BA543F"/>
    <w:rsid w:val="27022D02"/>
    <w:rsid w:val="277975EC"/>
    <w:rsid w:val="27832FFC"/>
    <w:rsid w:val="27F6680D"/>
    <w:rsid w:val="289F4739"/>
    <w:rsid w:val="2905141E"/>
    <w:rsid w:val="29153097"/>
    <w:rsid w:val="29421A15"/>
    <w:rsid w:val="29CD0424"/>
    <w:rsid w:val="2A23099A"/>
    <w:rsid w:val="2A3707C8"/>
    <w:rsid w:val="2B937FFC"/>
    <w:rsid w:val="2BD04AB6"/>
    <w:rsid w:val="2CA71D5E"/>
    <w:rsid w:val="2E1B2474"/>
    <w:rsid w:val="2E681E16"/>
    <w:rsid w:val="2F573B7C"/>
    <w:rsid w:val="2F8567D6"/>
    <w:rsid w:val="2FCC5CEF"/>
    <w:rsid w:val="30673564"/>
    <w:rsid w:val="30D85D33"/>
    <w:rsid w:val="30F532D4"/>
    <w:rsid w:val="30FE0F8E"/>
    <w:rsid w:val="316B5C6E"/>
    <w:rsid w:val="318372DA"/>
    <w:rsid w:val="318A2460"/>
    <w:rsid w:val="3231504C"/>
    <w:rsid w:val="32623E41"/>
    <w:rsid w:val="342E6AAB"/>
    <w:rsid w:val="34A64A1B"/>
    <w:rsid w:val="34C95646"/>
    <w:rsid w:val="3597171B"/>
    <w:rsid w:val="35B3492D"/>
    <w:rsid w:val="365708EE"/>
    <w:rsid w:val="367508D7"/>
    <w:rsid w:val="37C86AC9"/>
    <w:rsid w:val="37CA00BF"/>
    <w:rsid w:val="37D512D0"/>
    <w:rsid w:val="38F05560"/>
    <w:rsid w:val="39405F39"/>
    <w:rsid w:val="3A251832"/>
    <w:rsid w:val="3AAB41ED"/>
    <w:rsid w:val="3AB6003C"/>
    <w:rsid w:val="3ADD4849"/>
    <w:rsid w:val="3B9741BB"/>
    <w:rsid w:val="3BC82C7B"/>
    <w:rsid w:val="3CA95481"/>
    <w:rsid w:val="3DF25826"/>
    <w:rsid w:val="3DFB21D5"/>
    <w:rsid w:val="3E915CD0"/>
    <w:rsid w:val="3EE038B6"/>
    <w:rsid w:val="3FA465B9"/>
    <w:rsid w:val="3FFB571C"/>
    <w:rsid w:val="404359A5"/>
    <w:rsid w:val="40621095"/>
    <w:rsid w:val="40AB38A5"/>
    <w:rsid w:val="410C1392"/>
    <w:rsid w:val="418836F4"/>
    <w:rsid w:val="43BA072D"/>
    <w:rsid w:val="441A4B06"/>
    <w:rsid w:val="455B50DE"/>
    <w:rsid w:val="46D27786"/>
    <w:rsid w:val="480E7EAC"/>
    <w:rsid w:val="485B1C35"/>
    <w:rsid w:val="494578CA"/>
    <w:rsid w:val="49B332B1"/>
    <w:rsid w:val="4A97273F"/>
    <w:rsid w:val="4A9F479A"/>
    <w:rsid w:val="4ADB6E6B"/>
    <w:rsid w:val="4AFA520F"/>
    <w:rsid w:val="4B002E05"/>
    <w:rsid w:val="4C0F4F8A"/>
    <w:rsid w:val="4C721960"/>
    <w:rsid w:val="4DA970B2"/>
    <w:rsid w:val="4F1824C0"/>
    <w:rsid w:val="4FA10D2D"/>
    <w:rsid w:val="4FCB3827"/>
    <w:rsid w:val="50420C4E"/>
    <w:rsid w:val="514461DE"/>
    <w:rsid w:val="522D05F0"/>
    <w:rsid w:val="52DC2ADF"/>
    <w:rsid w:val="538A7093"/>
    <w:rsid w:val="53AC59FB"/>
    <w:rsid w:val="53CD22E1"/>
    <w:rsid w:val="5483498F"/>
    <w:rsid w:val="54DA32C1"/>
    <w:rsid w:val="54E70157"/>
    <w:rsid w:val="559E1A7D"/>
    <w:rsid w:val="55AE4DBC"/>
    <w:rsid w:val="56D519C0"/>
    <w:rsid w:val="56EA7A59"/>
    <w:rsid w:val="58E40DC6"/>
    <w:rsid w:val="59633ABF"/>
    <w:rsid w:val="5A505458"/>
    <w:rsid w:val="5B131468"/>
    <w:rsid w:val="5C537F09"/>
    <w:rsid w:val="5C813C19"/>
    <w:rsid w:val="5D7C6762"/>
    <w:rsid w:val="5DD07FF5"/>
    <w:rsid w:val="5DE21359"/>
    <w:rsid w:val="5E0673C2"/>
    <w:rsid w:val="5F9B50CF"/>
    <w:rsid w:val="5FD03A95"/>
    <w:rsid w:val="607D4D71"/>
    <w:rsid w:val="61334FD6"/>
    <w:rsid w:val="61A80D72"/>
    <w:rsid w:val="625F689C"/>
    <w:rsid w:val="6298360A"/>
    <w:rsid w:val="62F70FAC"/>
    <w:rsid w:val="640544A8"/>
    <w:rsid w:val="640E399E"/>
    <w:rsid w:val="645F7296"/>
    <w:rsid w:val="646642CA"/>
    <w:rsid w:val="64A6416A"/>
    <w:rsid w:val="64ED5626"/>
    <w:rsid w:val="65627369"/>
    <w:rsid w:val="65A253CE"/>
    <w:rsid w:val="666F5341"/>
    <w:rsid w:val="66DE7249"/>
    <w:rsid w:val="672E3660"/>
    <w:rsid w:val="673879A6"/>
    <w:rsid w:val="67C55FFA"/>
    <w:rsid w:val="684D4E8E"/>
    <w:rsid w:val="6AC91050"/>
    <w:rsid w:val="6B87697A"/>
    <w:rsid w:val="6C20132D"/>
    <w:rsid w:val="6C907761"/>
    <w:rsid w:val="6D50338F"/>
    <w:rsid w:val="6D8C35C7"/>
    <w:rsid w:val="6DDD0AD4"/>
    <w:rsid w:val="6E565215"/>
    <w:rsid w:val="6EF275A1"/>
    <w:rsid w:val="6F416438"/>
    <w:rsid w:val="6F453019"/>
    <w:rsid w:val="6FE14BD9"/>
    <w:rsid w:val="70305075"/>
    <w:rsid w:val="70500265"/>
    <w:rsid w:val="70576C3D"/>
    <w:rsid w:val="70D35520"/>
    <w:rsid w:val="71B11CF3"/>
    <w:rsid w:val="72023B0B"/>
    <w:rsid w:val="72324521"/>
    <w:rsid w:val="72924AA6"/>
    <w:rsid w:val="73665F22"/>
    <w:rsid w:val="73ED2EBE"/>
    <w:rsid w:val="75447E7B"/>
    <w:rsid w:val="755272B2"/>
    <w:rsid w:val="763F5EAD"/>
    <w:rsid w:val="76910718"/>
    <w:rsid w:val="769D056B"/>
    <w:rsid w:val="76A84057"/>
    <w:rsid w:val="77AD35FE"/>
    <w:rsid w:val="77B6211F"/>
    <w:rsid w:val="7811429B"/>
    <w:rsid w:val="793F5DD6"/>
    <w:rsid w:val="7A532452"/>
    <w:rsid w:val="7A9E37AF"/>
    <w:rsid w:val="7AFB141C"/>
    <w:rsid w:val="7B9851BE"/>
    <w:rsid w:val="7BAD38DD"/>
    <w:rsid w:val="7C673F2C"/>
    <w:rsid w:val="7D1459C1"/>
    <w:rsid w:val="7D700E1F"/>
    <w:rsid w:val="7DFD5204"/>
    <w:rsid w:val="7EAD4801"/>
    <w:rsid w:val="7EB3400B"/>
    <w:rsid w:val="7EB729B4"/>
    <w:rsid w:val="7EC63350"/>
    <w:rsid w:val="7F9E3966"/>
    <w:rsid w:val="7FA8499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adjustRightInd w:val="0"/>
      <w:spacing w:before="100" w:after="100" w:line="600" w:lineRule="exact"/>
      <w:textAlignment w:val="baseline"/>
      <w:outlineLvl w:val="1"/>
    </w:pPr>
    <w:rPr>
      <w:rFonts w:eastAsia="黑体"/>
      <w:kern w:val="0"/>
      <w:sz w:val="32"/>
      <w:szCs w:val="20"/>
    </w:rPr>
  </w:style>
  <w:style w:type="paragraph" w:styleId="6">
    <w:name w:val="heading 3"/>
    <w:basedOn w:val="1"/>
    <w:next w:val="1"/>
    <w:qFormat/>
    <w:uiPriority w:val="0"/>
    <w:pPr>
      <w:keepNext/>
      <w:keepLines/>
      <w:spacing w:before="260" w:after="260" w:line="416" w:lineRule="auto"/>
      <w:outlineLvl w:val="2"/>
    </w:pPr>
    <w:rPr>
      <w:b/>
      <w:bCs/>
      <w:sz w:val="32"/>
      <w:szCs w:val="32"/>
    </w:rPr>
  </w:style>
  <w:style w:type="paragraph" w:styleId="7">
    <w:name w:val="heading 4"/>
    <w:basedOn w:val="1"/>
    <w:next w:val="1"/>
    <w:qFormat/>
    <w:uiPriority w:val="0"/>
    <w:pPr>
      <w:keepNext/>
      <w:keepLines/>
      <w:tabs>
        <w:tab w:val="left" w:pos="864"/>
      </w:tabs>
      <w:spacing w:before="280" w:after="290" w:line="372" w:lineRule="auto"/>
      <w:ind w:left="864" w:hanging="864"/>
      <w:outlineLvl w:val="3"/>
    </w:pPr>
    <w:rPr>
      <w:rFonts w:ascii="Arial" w:hAnsi="Arial" w:eastAsia="黑体"/>
      <w:b/>
      <w:bCs/>
      <w:sz w:val="28"/>
      <w:szCs w:val="28"/>
    </w:rPr>
  </w:style>
  <w:style w:type="paragraph" w:styleId="8">
    <w:name w:val="heading 5"/>
    <w:basedOn w:val="1"/>
    <w:next w:val="1"/>
    <w:qFormat/>
    <w:uiPriority w:val="0"/>
    <w:pPr>
      <w:keepNext/>
      <w:keepLines/>
      <w:tabs>
        <w:tab w:val="left" w:pos="1008"/>
      </w:tabs>
      <w:adjustRightInd w:val="0"/>
      <w:spacing w:before="280" w:after="290" w:line="376" w:lineRule="atLeast"/>
      <w:ind w:left="1008" w:hanging="1008"/>
      <w:textAlignment w:val="baseline"/>
      <w:outlineLvl w:val="4"/>
    </w:pPr>
    <w:rPr>
      <w:b/>
      <w:bCs/>
      <w:kern w:val="0"/>
      <w:sz w:val="28"/>
      <w:szCs w:val="28"/>
    </w:rPr>
  </w:style>
  <w:style w:type="paragraph" w:styleId="9">
    <w:name w:val="heading 6"/>
    <w:basedOn w:val="1"/>
    <w:next w:val="1"/>
    <w:qFormat/>
    <w:uiPriority w:val="0"/>
    <w:pPr>
      <w:keepNext/>
      <w:keepLines/>
      <w:tabs>
        <w:tab w:val="left" w:pos="1152"/>
        <w:tab w:val="left" w:pos="2160"/>
      </w:tabs>
      <w:adjustRightInd w:val="0"/>
      <w:spacing w:before="240" w:after="64" w:line="320" w:lineRule="atLeast"/>
      <w:ind w:left="1152" w:hanging="1152"/>
      <w:textAlignment w:val="baseline"/>
      <w:outlineLvl w:val="5"/>
    </w:pPr>
    <w:rPr>
      <w:rFonts w:ascii="Arial" w:hAnsi="Arial" w:eastAsia="黑体"/>
      <w:b/>
      <w:bCs/>
      <w:kern w:val="0"/>
      <w:sz w:val="24"/>
    </w:rPr>
  </w:style>
  <w:style w:type="paragraph" w:styleId="10">
    <w:name w:val="heading 7"/>
    <w:basedOn w:val="1"/>
    <w:next w:val="1"/>
    <w:qFormat/>
    <w:uiPriority w:val="0"/>
    <w:pPr>
      <w:keepNext/>
      <w:keepLines/>
      <w:tabs>
        <w:tab w:val="left" w:pos="1296"/>
      </w:tabs>
      <w:adjustRightInd w:val="0"/>
      <w:spacing w:before="240" w:after="64" w:line="320" w:lineRule="atLeast"/>
      <w:ind w:left="1296" w:hanging="1296"/>
      <w:textAlignment w:val="baseline"/>
      <w:outlineLvl w:val="6"/>
    </w:pPr>
    <w:rPr>
      <w:b/>
      <w:bCs/>
      <w:kern w:val="0"/>
      <w:sz w:val="24"/>
    </w:rPr>
  </w:style>
  <w:style w:type="paragraph" w:styleId="11">
    <w:name w:val="heading 8"/>
    <w:basedOn w:val="1"/>
    <w:next w:val="1"/>
    <w:qFormat/>
    <w:uiPriority w:val="0"/>
    <w:pPr>
      <w:keepNext/>
      <w:keepLines/>
      <w:tabs>
        <w:tab w:val="left" w:pos="1440"/>
      </w:tabs>
      <w:adjustRightInd w:val="0"/>
      <w:spacing w:before="240" w:after="64" w:line="320" w:lineRule="atLeast"/>
      <w:ind w:left="1440" w:hanging="1440"/>
      <w:textAlignment w:val="baseline"/>
      <w:outlineLvl w:val="7"/>
    </w:pPr>
    <w:rPr>
      <w:rFonts w:ascii="Arial" w:hAnsi="Arial" w:eastAsia="黑体"/>
      <w:kern w:val="0"/>
      <w:sz w:val="24"/>
    </w:rPr>
  </w:style>
  <w:style w:type="paragraph" w:styleId="12">
    <w:name w:val="heading 9"/>
    <w:basedOn w:val="1"/>
    <w:next w:val="1"/>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26">
    <w:name w:val="Default Paragraph Font"/>
    <w:semiHidden/>
    <w:qFormat/>
    <w:uiPriority w:val="0"/>
  </w:style>
  <w:style w:type="table" w:default="1" w:styleId="24">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0"/>
    <w:pPr>
      <w:spacing w:after="120"/>
    </w:pPr>
  </w:style>
  <w:style w:type="paragraph" w:styleId="3">
    <w:name w:val="Title"/>
    <w:basedOn w:val="1"/>
    <w:next w:val="1"/>
    <w:qFormat/>
    <w:uiPriority w:val="10"/>
    <w:pPr>
      <w:snapToGrid w:val="0"/>
      <w:spacing w:line="240" w:lineRule="atLeast"/>
      <w:ind w:right="241" w:firstLine="964"/>
      <w:jc w:val="center"/>
    </w:pPr>
    <w:rPr>
      <w:rFonts w:ascii="黑体" w:hAnsi="黑体" w:eastAsia="黑体"/>
      <w:b/>
      <w:sz w:val="48"/>
      <w:szCs w:val="48"/>
    </w:rPr>
  </w:style>
  <w:style w:type="paragraph" w:styleId="13">
    <w:name w:val="Normal Indent"/>
    <w:basedOn w:val="1"/>
    <w:qFormat/>
    <w:uiPriority w:val="0"/>
    <w:pPr>
      <w:ind w:firstLine="420" w:firstLineChars="200"/>
    </w:pPr>
    <w:rPr>
      <w:rFonts w:ascii="Calibri" w:hAnsi="Calibri" w:eastAsia="宋体" w:cs="Times New Roman"/>
      <w:szCs w:val="24"/>
    </w:rPr>
  </w:style>
  <w:style w:type="paragraph" w:styleId="14">
    <w:name w:val="annotation text"/>
    <w:basedOn w:val="1"/>
    <w:link w:val="32"/>
    <w:semiHidden/>
    <w:qFormat/>
    <w:uiPriority w:val="0"/>
    <w:pPr>
      <w:jc w:val="left"/>
    </w:pPr>
  </w:style>
  <w:style w:type="paragraph" w:styleId="15">
    <w:name w:val="Body Text Indent"/>
    <w:basedOn w:val="1"/>
    <w:qFormat/>
    <w:uiPriority w:val="0"/>
    <w:pPr>
      <w:spacing w:after="120"/>
      <w:ind w:left="420" w:leftChars="200"/>
    </w:pPr>
  </w:style>
  <w:style w:type="paragraph" w:styleId="16">
    <w:name w:val="Plain Text"/>
    <w:basedOn w:val="1"/>
    <w:qFormat/>
    <w:uiPriority w:val="0"/>
    <w:rPr>
      <w:rFonts w:ascii="宋体" w:hAnsi="Courier New"/>
      <w:szCs w:val="20"/>
    </w:rPr>
  </w:style>
  <w:style w:type="paragraph" w:styleId="17">
    <w:name w:val="Balloon Text"/>
    <w:basedOn w:val="1"/>
    <w:semiHidden/>
    <w:qFormat/>
    <w:uiPriority w:val="0"/>
    <w:rPr>
      <w:sz w:val="18"/>
      <w:szCs w:val="18"/>
    </w:rPr>
  </w:style>
  <w:style w:type="paragraph" w:styleId="18">
    <w:name w:val="footer"/>
    <w:basedOn w:val="1"/>
    <w:qFormat/>
    <w:uiPriority w:val="0"/>
    <w:pPr>
      <w:tabs>
        <w:tab w:val="center" w:pos="4153"/>
        <w:tab w:val="right" w:pos="8306"/>
      </w:tabs>
      <w:snapToGrid w:val="0"/>
      <w:ind w:right="210" w:rightChars="100"/>
      <w:jc w:val="right"/>
    </w:pPr>
    <w:rPr>
      <w:sz w:val="18"/>
      <w:szCs w:val="18"/>
    </w:rPr>
  </w:style>
  <w:style w:type="paragraph" w:styleId="1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style>
  <w:style w:type="paragraph" w:styleId="21">
    <w:name w:val="Normal (Web)"/>
    <w:basedOn w:val="1"/>
    <w:unhideWhenUsed/>
    <w:qFormat/>
    <w:uiPriority w:val="99"/>
    <w:pPr>
      <w:spacing w:before="100" w:beforeAutospacing="1" w:after="100" w:afterAutospacing="1"/>
    </w:pPr>
    <w:rPr>
      <w:rFonts w:ascii="宋体" w:hAnsi="宋体" w:cs="宋体"/>
    </w:rPr>
  </w:style>
  <w:style w:type="paragraph" w:styleId="22">
    <w:name w:val="annotation subject"/>
    <w:basedOn w:val="14"/>
    <w:next w:val="14"/>
    <w:link w:val="33"/>
    <w:qFormat/>
    <w:uiPriority w:val="0"/>
    <w:rPr>
      <w:b/>
      <w:bCs/>
    </w:rPr>
  </w:style>
  <w:style w:type="paragraph" w:styleId="23">
    <w:name w:val="Body Text First Indent 2"/>
    <w:basedOn w:val="15"/>
    <w:qFormat/>
    <w:uiPriority w:val="0"/>
    <w:pPr>
      <w:widowControl w:val="0"/>
      <w:ind w:firstLine="420" w:firstLineChars="200"/>
      <w:jc w:val="both"/>
    </w:pPr>
    <w:rPr>
      <w:kern w:val="2"/>
      <w:sz w:val="21"/>
      <w:szCs w:val="20"/>
    </w:rPr>
  </w:style>
  <w:style w:type="table" w:styleId="25">
    <w:name w:val="Table Grid"/>
    <w:basedOn w:val="2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0"/>
    <w:rPr>
      <w:b/>
      <w:bCs/>
    </w:rPr>
  </w:style>
  <w:style w:type="character" w:styleId="28">
    <w:name w:val="page number"/>
    <w:qFormat/>
    <w:uiPriority w:val="0"/>
    <w:rPr>
      <w:rFonts w:ascii="Times New Roman" w:hAnsi="Times New Roman" w:eastAsia="宋体"/>
      <w:sz w:val="18"/>
    </w:rPr>
  </w:style>
  <w:style w:type="character" w:styleId="29">
    <w:name w:val="Hyperlink"/>
    <w:qFormat/>
    <w:uiPriority w:val="99"/>
    <w:rPr>
      <w:rFonts w:hint="default" w:ascii="Arial" w:hAnsi="Arial" w:cs="Arial"/>
      <w:color w:val="0000AA"/>
      <w:u w:val="single"/>
    </w:rPr>
  </w:style>
  <w:style w:type="character" w:styleId="30">
    <w:name w:val="annotation reference"/>
    <w:semiHidden/>
    <w:qFormat/>
    <w:uiPriority w:val="0"/>
    <w:rPr>
      <w:sz w:val="21"/>
      <w:szCs w:val="21"/>
    </w:rPr>
  </w:style>
  <w:style w:type="paragraph" w:customStyle="1" w:styleId="31">
    <w:name w:val="表格文字"/>
    <w:basedOn w:val="1"/>
    <w:qFormat/>
    <w:uiPriority w:val="0"/>
    <w:pPr>
      <w:spacing w:before="25" w:after="25"/>
    </w:pPr>
    <w:rPr>
      <w:bCs/>
      <w:spacing w:val="10"/>
      <w:sz w:val="24"/>
    </w:rPr>
  </w:style>
  <w:style w:type="character" w:customStyle="1" w:styleId="32">
    <w:name w:val="批注文字 Char"/>
    <w:link w:val="14"/>
    <w:semiHidden/>
    <w:qFormat/>
    <w:uiPriority w:val="0"/>
    <w:rPr>
      <w:kern w:val="2"/>
      <w:sz w:val="21"/>
      <w:szCs w:val="24"/>
    </w:rPr>
  </w:style>
  <w:style w:type="character" w:customStyle="1" w:styleId="33">
    <w:name w:val="批注主题 Char"/>
    <w:link w:val="22"/>
    <w:qFormat/>
    <w:uiPriority w:val="0"/>
    <w:rPr>
      <w:b/>
      <w:bCs/>
      <w:kern w:val="2"/>
      <w:sz w:val="21"/>
      <w:szCs w:val="24"/>
    </w:rPr>
  </w:style>
  <w:style w:type="character" w:customStyle="1" w:styleId="34">
    <w:name w:val="font11"/>
    <w:basedOn w:val="26"/>
    <w:qFormat/>
    <w:uiPriority w:val="0"/>
    <w:rPr>
      <w:rFonts w:hint="eastAsia" w:ascii="宋体" w:hAnsi="宋体" w:eastAsia="宋体" w:cs="宋体"/>
      <w:color w:val="000000"/>
      <w:sz w:val="22"/>
      <w:szCs w:val="22"/>
      <w:u w:val="none"/>
    </w:rPr>
  </w:style>
  <w:style w:type="character" w:customStyle="1" w:styleId="35">
    <w:name w:val="font31"/>
    <w:qFormat/>
    <w:uiPriority w:val="0"/>
    <w:rPr>
      <w:rFonts w:hint="eastAsia" w:ascii="微软雅黑" w:hAnsi="微软雅黑" w:eastAsia="微软雅黑" w:cs="微软雅黑"/>
      <w:color w:val="000000"/>
      <w:sz w:val="21"/>
      <w:szCs w:val="21"/>
      <w:u w:val="none"/>
    </w:rPr>
  </w:style>
  <w:style w:type="character" w:customStyle="1" w:styleId="36">
    <w:name w:val="font01"/>
    <w:qFormat/>
    <w:uiPriority w:val="0"/>
    <w:rPr>
      <w:rFonts w:hint="eastAsia" w:ascii="微软雅黑" w:hAnsi="微软雅黑" w:eastAsia="微软雅黑" w:cs="微软雅黑"/>
      <w:color w:val="FF0000"/>
      <w:sz w:val="18"/>
      <w:szCs w:val="18"/>
      <w:u w:val="none"/>
    </w:rPr>
  </w:style>
  <w:style w:type="character" w:customStyle="1" w:styleId="37">
    <w:name w:val="font21"/>
    <w:basedOn w:val="26"/>
    <w:qFormat/>
    <w:uiPriority w:val="0"/>
    <w:rPr>
      <w:rFonts w:hint="default" w:ascii="Times New Roman" w:hAnsi="Times New Roman" w:cs="Times New Roman"/>
      <w:color w:val="000000"/>
      <w:sz w:val="18"/>
      <w:szCs w:val="18"/>
      <w:u w:val="none"/>
    </w:rPr>
  </w:style>
  <w:style w:type="paragraph" w:customStyle="1" w:styleId="38">
    <w:name w:val="标准书眉一"/>
    <w:qFormat/>
    <w:uiPriority w:val="0"/>
    <w:pPr>
      <w:jc w:val="both"/>
    </w:pPr>
    <w:rPr>
      <w:rFonts w:ascii="Times New Roman" w:hAnsi="Times New Roman" w:eastAsia="宋体" w:cs="Times New Roman"/>
      <w:lang w:val="en-US" w:eastAsia="zh-CN" w:bidi="ar-SA"/>
    </w:rPr>
  </w:style>
  <w:style w:type="paragraph" w:customStyle="1" w:styleId="39">
    <w:name w:val="一级条标题"/>
    <w:basedOn w:val="40"/>
    <w:next w:val="1"/>
    <w:qFormat/>
    <w:uiPriority w:val="0"/>
    <w:pPr>
      <w:numPr>
        <w:ilvl w:val="2"/>
        <w:numId w:val="1"/>
      </w:numPr>
      <w:tabs>
        <w:tab w:val="left" w:pos="360"/>
      </w:tabs>
      <w:spacing w:before="0" w:beforeLines="0" w:after="0" w:afterLines="0"/>
      <w:outlineLvl w:val="2"/>
    </w:pPr>
  </w:style>
  <w:style w:type="paragraph" w:customStyle="1" w:styleId="40">
    <w:name w:val="章标题"/>
    <w:next w:val="1"/>
    <w:qFormat/>
    <w:uiPriority w:val="0"/>
    <w:pPr>
      <w:numPr>
        <w:ilvl w:val="1"/>
        <w:numId w:val="1"/>
      </w:numPr>
      <w:tabs>
        <w:tab w:val="left" w:pos="360"/>
      </w:tabs>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41">
    <w:name w:val="二级条标题"/>
    <w:basedOn w:val="39"/>
    <w:next w:val="1"/>
    <w:qFormat/>
    <w:uiPriority w:val="0"/>
    <w:pPr>
      <w:numPr>
        <w:ilvl w:val="3"/>
        <w:numId w:val="1"/>
      </w:numPr>
      <w:outlineLvl w:val="3"/>
    </w:pPr>
  </w:style>
  <w:style w:type="paragraph" w:customStyle="1" w:styleId="4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4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4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5">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46">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47">
    <w:name w:val="数字编号列项（二级）"/>
    <w:qFormat/>
    <w:uiPriority w:val="0"/>
    <w:pPr>
      <w:numPr>
        <w:ilvl w:val="5"/>
        <w:numId w:val="1"/>
      </w:numPr>
      <w:ind w:left="1260" w:leftChars="400" w:hanging="420" w:hangingChars="200"/>
      <w:jc w:val="both"/>
    </w:pPr>
    <w:rPr>
      <w:rFonts w:ascii="宋体" w:hAnsi="Times New Roman" w:eastAsia="宋体" w:cs="Times New Roman"/>
      <w:sz w:val="21"/>
      <w:lang w:val="en-US" w:eastAsia="zh-CN" w:bidi="ar-SA"/>
    </w:rPr>
  </w:style>
  <w:style w:type="paragraph" w:customStyle="1" w:styleId="48">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4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50">
    <w:name w:val="封面正文"/>
    <w:qFormat/>
    <w:uiPriority w:val="0"/>
    <w:pPr>
      <w:jc w:val="both"/>
    </w:pPr>
    <w:rPr>
      <w:rFonts w:ascii="Times New Roman" w:hAnsi="Times New Roman" w:eastAsia="宋体" w:cs="Times New Roman"/>
      <w:lang w:val="en-US" w:eastAsia="zh-CN" w:bidi="ar-SA"/>
    </w:rPr>
  </w:style>
  <w:style w:type="paragraph" w:customStyle="1" w:styleId="51">
    <w:name w:val="实施日期"/>
    <w:basedOn w:val="52"/>
    <w:qFormat/>
    <w:uiPriority w:val="0"/>
    <w:pPr>
      <w:framePr w:hSpace="0" w:xAlign="right"/>
      <w:jc w:val="right"/>
    </w:pPr>
  </w:style>
  <w:style w:type="paragraph" w:customStyle="1" w:styleId="5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53">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5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55">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56">
    <w:name w:val="图表脚注"/>
    <w:next w:val="1"/>
    <w:qFormat/>
    <w:uiPriority w:val="0"/>
    <w:pPr>
      <w:numPr>
        <w:ilvl w:val="6"/>
        <w:numId w:val="1"/>
      </w:numPr>
      <w:ind w:left="300" w:leftChars="200" w:hanging="100" w:hangingChars="100"/>
      <w:jc w:val="both"/>
    </w:pPr>
    <w:rPr>
      <w:rFonts w:ascii="宋体" w:hAnsi="Times New Roman" w:eastAsia="宋体" w:cs="Times New Roman"/>
      <w:sz w:val="18"/>
      <w:lang w:val="en-US" w:eastAsia="zh-CN" w:bidi="ar-SA"/>
    </w:rPr>
  </w:style>
  <w:style w:type="paragraph" w:customStyle="1" w:styleId="5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58">
    <w:name w:val="前言、引言标题"/>
    <w:next w:val="1"/>
    <w:qFormat/>
    <w:uiPriority w:val="0"/>
    <w:pPr>
      <w:numPr>
        <w:ilvl w:val="0"/>
        <w:numId w:val="1"/>
      </w:numPr>
      <w:shd w:val="clear" w:color="FFFFFF" w:fill="FFFFFF"/>
      <w:tabs>
        <w:tab w:val="left" w:pos="360"/>
      </w:tabs>
      <w:spacing w:before="640" w:after="560"/>
      <w:jc w:val="center"/>
      <w:outlineLvl w:val="0"/>
    </w:pPr>
    <w:rPr>
      <w:rFonts w:ascii="黑体" w:hAnsi="Times New Roman" w:eastAsia="黑体" w:cs="Times New Roman"/>
      <w:sz w:val="32"/>
      <w:lang w:val="en-US" w:eastAsia="zh-CN" w:bidi="ar-SA"/>
    </w:rPr>
  </w:style>
  <w:style w:type="paragraph" w:customStyle="1" w:styleId="59">
    <w:name w:val="zi"/>
    <w:basedOn w:val="1"/>
    <w:qFormat/>
    <w:uiPriority w:val="0"/>
    <w:pPr>
      <w:widowControl/>
      <w:spacing w:before="100" w:beforeAutospacing="1" w:after="100" w:afterAutospacing="1" w:line="336" w:lineRule="atLeast"/>
      <w:jc w:val="left"/>
    </w:pPr>
    <w:rPr>
      <w:rFonts w:ascii="ˎ̥" w:hAnsi="ˎ̥" w:cs="宋体"/>
      <w:color w:val="000000"/>
      <w:kern w:val="0"/>
      <w:sz w:val="22"/>
      <w:szCs w:val="22"/>
    </w:rPr>
  </w:style>
  <w:style w:type="paragraph" w:customStyle="1" w:styleId="60">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61">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62">
    <w:name w:val="WPSOffice手动目录 1"/>
    <w:qFormat/>
    <w:uiPriority w:val="0"/>
    <w:pPr>
      <w:ind w:leftChars="0"/>
    </w:pPr>
    <w:rPr>
      <w:rFonts w:ascii="Times New Roman" w:hAnsi="Times New Roman" w:eastAsia="宋体" w:cs="Times New Roman"/>
      <w:sz w:val="20"/>
      <w:szCs w:val="20"/>
    </w:rPr>
  </w:style>
  <w:style w:type="paragraph" w:customStyle="1" w:styleId="63">
    <w:name w:val="其他发布部门"/>
    <w:basedOn w:val="1"/>
    <w:qFormat/>
    <w:uiPriority w:val="0"/>
    <w:pPr>
      <w:framePr w:w="7433" w:h="585" w:hRule="exact" w:hSpace="180" w:vSpace="180" w:wrap="around" w:vAnchor="margin" w:hAnchor="margin" w:xAlign="center" w:y="14401" w:anchorLock="1"/>
      <w:widowControl/>
      <w:numPr>
        <w:ilvl w:val="4"/>
        <w:numId w:val="1"/>
      </w:numPr>
      <w:spacing w:line="0" w:lineRule="atLeast"/>
      <w:jc w:val="center"/>
    </w:pPr>
    <w:rPr>
      <w:rFonts w:ascii="黑体" w:eastAsia="黑体"/>
      <w:spacing w:val="20"/>
      <w:w w:val="135"/>
      <w:kern w:val="0"/>
      <w:sz w:val="36"/>
      <w:szCs w:val="20"/>
    </w:rPr>
  </w:style>
  <w:style w:type="paragraph" w:styleId="64">
    <w:name w:val="List Paragraph"/>
    <w:basedOn w:val="1"/>
    <w:qFormat/>
    <w:uiPriority w:val="34"/>
    <w:pPr>
      <w:numPr>
        <w:ilvl w:val="0"/>
        <w:numId w:val="2"/>
      </w:numPr>
      <w:spacing w:line="360" w:lineRule="auto"/>
      <w:contextualSpacing/>
      <w:jc w:val="left"/>
    </w:pPr>
  </w:style>
  <w:style w:type="paragraph" w:customStyle="1" w:styleId="65">
    <w:name w:val="表正文"/>
    <w:basedOn w:val="1"/>
    <w:qFormat/>
    <w:uiPriority w:val="0"/>
    <w:pPr>
      <w:widowControl w:val="0"/>
    </w:pPr>
    <w:rPr>
      <w:rFonts w:ascii="Arial" w:hAnsi="Arial" w:eastAsia="等线"/>
      <w:kern w:val="2"/>
      <w:szCs w:val="21"/>
    </w:rPr>
  </w:style>
  <w:style w:type="paragraph" w:customStyle="1" w:styleId="66">
    <w:name w:val="样式7"/>
    <w:basedOn w:val="1"/>
    <w:qFormat/>
    <w:uiPriority w:val="0"/>
    <w:pPr>
      <w:spacing w:line="360" w:lineRule="auto"/>
      <w:ind w:firstLine="480"/>
    </w:pPr>
    <w:rPr>
      <w:rFonts w:ascii="宋体" w:hAnsi="宋体"/>
      <w:color w:val="4F81BD"/>
    </w:rPr>
  </w:style>
  <w:style w:type="paragraph" w:customStyle="1" w:styleId="67">
    <w:name w:val="列出段落1"/>
    <w:basedOn w:val="1"/>
    <w:qFormat/>
    <w:uiPriority w:val="0"/>
    <w:pPr>
      <w:adjustRightInd w:val="0"/>
      <w:snapToGrid w:val="0"/>
      <w:spacing w:before="120" w:after="120" w:line="360" w:lineRule="auto"/>
      <w:ind w:left="578" w:firstLine="420" w:firstLineChars="200"/>
    </w:pPr>
    <w:rPr>
      <w:rFonts w:ascii="Times New Roman" w:hAnsi="Times New Roman"/>
      <w:szCs w:val="20"/>
      <w:lang w:eastAsia="zh-TW"/>
    </w:rPr>
  </w:style>
  <w:style w:type="paragraph" w:customStyle="1" w:styleId="68">
    <w:name w:val="样式2"/>
    <w:basedOn w:val="1"/>
    <w:qFormat/>
    <w:uiPriority w:val="0"/>
    <w:pPr>
      <w:numPr>
        <w:ilvl w:val="3"/>
        <w:numId w:val="3"/>
      </w:numPr>
      <w:spacing w:line="360" w:lineRule="auto"/>
    </w:pPr>
    <w:rPr>
      <w:rFonts w:ascii="宋体" w:hAnsi="Times New Roman"/>
      <w:sz w:val="24"/>
      <w:szCs w:val="24"/>
    </w:rPr>
  </w:style>
  <w:style w:type="paragraph" w:customStyle="1" w:styleId="69">
    <w:name w:val="正文文本缩进1"/>
    <w:basedOn w:val="1"/>
    <w:qFormat/>
    <w:uiPriority w:val="0"/>
    <w:pPr>
      <w:widowControl w:val="0"/>
      <w:adjustRightInd w:val="0"/>
      <w:snapToGrid w:val="0"/>
      <w:spacing w:line="300" w:lineRule="auto"/>
      <w:jc w:val="both"/>
    </w:pPr>
    <w:rPr>
      <w:kern w:val="2"/>
      <w:sz w:val="21"/>
      <w:szCs w:val="20"/>
      <w:lang w:eastAsia="zh-TW"/>
    </w:rPr>
  </w:style>
  <w:style w:type="character" w:customStyle="1" w:styleId="70">
    <w:name w:val="font51"/>
    <w:basedOn w:val="26"/>
    <w:qFormat/>
    <w:uiPriority w:val="0"/>
    <w:rPr>
      <w:rFonts w:hint="eastAsia" w:ascii="宋体" w:hAnsi="宋体" w:eastAsia="宋体" w:cs="宋体"/>
      <w:color w:val="000000"/>
      <w:sz w:val="24"/>
      <w:szCs w:val="24"/>
      <w:u w:val="none"/>
    </w:rPr>
  </w:style>
  <w:style w:type="character" w:customStyle="1" w:styleId="71">
    <w:name w:val="font61"/>
    <w:basedOn w:val="26"/>
    <w:qFormat/>
    <w:uiPriority w:val="0"/>
    <w:rPr>
      <w:rFonts w:ascii="方正兰亭黑简体" w:hAnsi="方正兰亭黑简体" w:eastAsia="方正兰亭黑简体" w:cs="方正兰亭黑简体"/>
      <w:color w:val="000000"/>
      <w:sz w:val="24"/>
      <w:szCs w:val="24"/>
      <w:u w:val="none"/>
    </w:rPr>
  </w:style>
  <w:style w:type="paragraph" w:customStyle="1" w:styleId="72">
    <w:name w:val="列表段落1"/>
    <w:basedOn w:val="1"/>
    <w:unhideWhenUsed/>
    <w:qFormat/>
    <w:uiPriority w:val="99"/>
    <w:pPr>
      <w:ind w:firstLine="420"/>
    </w:pPr>
  </w:style>
  <w:style w:type="paragraph" w:customStyle="1" w:styleId="73">
    <w:name w:val="表格并列项"/>
    <w:basedOn w:val="1"/>
    <w:qFormat/>
    <w:uiPriority w:val="0"/>
    <w:pPr>
      <w:snapToGrid w:val="0"/>
      <w:spacing w:before="40" w:after="40" w:line="288" w:lineRule="auto"/>
      <w:contextualSpacing/>
      <w:jc w:val="both"/>
    </w:pPr>
    <w:rPr>
      <w:rFonts w:ascii="Times New Roman" w:hAnsi="Times New Roman" w:eastAsia="方正兰亭黑简体" w:cs="Cambria"/>
      <w:sz w:val="21"/>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szpsb</Company>
  <Pages>9</Pages>
  <Words>3883</Words>
  <Characters>4490</Characters>
  <Lines>25</Lines>
  <Paragraphs>7</Paragraphs>
  <TotalTime>0</TotalTime>
  <ScaleCrop>false</ScaleCrop>
  <LinksUpToDate>false</LinksUpToDate>
  <CharactersWithSpaces>4541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2019-03-04T02:06:00Z</dcterms:created>
  <dc:creator>李曼</dc:creator>
  <cp:lastModifiedBy>WPS</cp:lastModifiedBy>
  <cp:lastPrinted>2020-07-31T02:54:00Z</cp:lastPrinted>
  <dcterms:modified xsi:type="dcterms:W3CDTF">2026-06-18T04:47:53Z</dcterms:modified>
  <dc:title>二次系统安全防护</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C8E2D626CDDC431898048522DB04608F</vt:lpwstr>
  </property>
  <property fmtid="{D5CDD505-2E9C-101B-9397-08002B2CF9AE}" pid="4" name="KSOTemplateDocerSaveRecord">
    <vt:lpwstr>eyJoZGlkIjoiOWNjZWIzMjExMGMxZGJlYjAwMzYwMTY2NTcxZDM2ODgiLCJ1c2VySWQiOiIzODA0NDY2MjQifQ==</vt:lpwstr>
  </property>
</Properties>
</file>