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649EC">
      <w:pPr>
        <w:pStyle w:val="43"/>
        <w:framePr w:w="0" w:hRule="auto" w:wrap="auto" w:vAnchor="margin" w:hAnchor="text" w:xAlign="left" w:yAlign="inline"/>
        <w:rPr>
          <w:rFonts w:hint="eastAsia" w:ascii="宋体" w:hAnsi="宋体" w:eastAsia="宋体" w:cs="宋体"/>
          <w:b/>
          <w:sz w:val="48"/>
          <w:szCs w:val="48"/>
        </w:rPr>
      </w:pPr>
      <w:bookmarkStart w:id="0" w:name="SectionMark0"/>
    </w:p>
    <w:p w14:paraId="36CE85E7">
      <w:pPr>
        <w:pStyle w:val="43"/>
        <w:framePr w:w="0" w:hRule="auto" w:wrap="auto" w:vAnchor="margin" w:hAnchor="text" w:xAlign="left" w:yAlign="inline"/>
        <w:rPr>
          <w:rFonts w:hint="eastAsia" w:ascii="宋体" w:hAnsi="宋体" w:eastAsia="宋体" w:cs="宋体"/>
          <w:b/>
          <w:sz w:val="48"/>
          <w:szCs w:val="48"/>
        </w:rPr>
      </w:pPr>
    </w:p>
    <w:p w14:paraId="51DC0CFA">
      <w:pPr>
        <w:pStyle w:val="43"/>
        <w:framePr w:w="0" w:hRule="auto" w:wrap="auto" w:vAnchor="margin" w:hAnchor="text" w:xAlign="left" w:yAlign="inline"/>
        <w:rPr>
          <w:rFonts w:hint="eastAsia" w:ascii="宋体" w:hAnsi="宋体" w:eastAsia="宋体" w:cs="宋体"/>
          <w:b/>
          <w:sz w:val="48"/>
          <w:szCs w:val="48"/>
        </w:rPr>
      </w:pPr>
    </w:p>
    <w:p w14:paraId="0DBBA6D0">
      <w:pPr>
        <w:pStyle w:val="43"/>
        <w:framePr w:w="0" w:hRule="auto" w:wrap="auto" w:vAnchor="margin" w:hAnchor="text" w:xAlign="left" w:yAlign="inline"/>
        <w:rPr>
          <w:rFonts w:hint="eastAsia" w:ascii="宋体" w:hAnsi="宋体" w:eastAsia="宋体" w:cs="宋体"/>
          <w:b/>
          <w:sz w:val="48"/>
          <w:szCs w:val="48"/>
        </w:rPr>
      </w:pPr>
    </w:p>
    <w:p w14:paraId="40C56190">
      <w:pPr>
        <w:pStyle w:val="43"/>
        <w:framePr w:w="0" w:hRule="auto" w:wrap="auto" w:vAnchor="margin" w:hAnchor="text" w:xAlign="left" w:yAlign="inline"/>
        <w:rPr>
          <w:rFonts w:hint="eastAsia" w:ascii="宋体" w:hAnsi="宋体" w:eastAsia="宋体" w:cs="宋体"/>
          <w:b/>
          <w:sz w:val="48"/>
          <w:szCs w:val="48"/>
        </w:rPr>
      </w:pPr>
    </w:p>
    <w:p w14:paraId="031A19B3">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2026年南方电网数字电网集团有限公司深圳分公司信息类软硬件（全流量检测分析设备、流量汇聚镜像设备、上网行为管理、防病毒系统、数据库审计系统）投标寻源项目（标的4：防病毒系统）</w:t>
      </w:r>
    </w:p>
    <w:p w14:paraId="01F7DDE3">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08428332">
      <w:pPr>
        <w:pStyle w:val="60"/>
        <w:rPr>
          <w:rFonts w:hint="eastAsia" w:hAnsi="宋体" w:cs="宋体"/>
        </w:rPr>
      </w:pPr>
    </w:p>
    <w:p w14:paraId="037A1460">
      <w:pPr>
        <w:pStyle w:val="60"/>
        <w:rPr>
          <w:rFonts w:hint="eastAsia" w:hAnsi="宋体" w:cs="宋体"/>
        </w:rPr>
      </w:pPr>
    </w:p>
    <w:p w14:paraId="0C0DD6A4">
      <w:pPr>
        <w:pStyle w:val="60"/>
        <w:rPr>
          <w:rFonts w:hint="eastAsia" w:hAnsi="宋体" w:cs="宋体"/>
        </w:rPr>
      </w:pPr>
    </w:p>
    <w:p w14:paraId="3A7133BB">
      <w:pPr>
        <w:pStyle w:val="60"/>
        <w:rPr>
          <w:rFonts w:hint="eastAsia" w:hAnsi="宋体" w:cs="宋体"/>
        </w:rPr>
      </w:pPr>
    </w:p>
    <w:p w14:paraId="1F6DE474">
      <w:pPr>
        <w:pStyle w:val="60"/>
        <w:rPr>
          <w:rFonts w:hint="eastAsia" w:hAnsi="宋体" w:cs="宋体"/>
        </w:rPr>
      </w:pPr>
    </w:p>
    <w:p w14:paraId="273974ED">
      <w:pPr>
        <w:pStyle w:val="60"/>
        <w:jc w:val="both"/>
        <w:rPr>
          <w:rFonts w:hint="eastAsia" w:hAnsi="宋体" w:cs="宋体"/>
        </w:rPr>
      </w:pPr>
    </w:p>
    <w:p w14:paraId="73555A8D">
      <w:pPr>
        <w:pStyle w:val="60"/>
        <w:jc w:val="both"/>
        <w:rPr>
          <w:rFonts w:hint="eastAsia" w:hAnsi="宋体" w:cs="宋体"/>
        </w:rPr>
      </w:pPr>
    </w:p>
    <w:p w14:paraId="7CFB457D">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月</w:t>
      </w:r>
    </w:p>
    <w:p w14:paraId="1CF41FC1">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C35C28D">
      <w:pPr>
        <w:pageBreakBefore/>
        <w:rPr>
          <w:rFonts w:hint="eastAsia" w:ascii="宋体" w:hAnsi="宋体" w:cs="宋体"/>
          <w:b/>
          <w:spacing w:val="24"/>
          <w:position w:val="-6"/>
          <w:sz w:val="36"/>
          <w:szCs w:val="36"/>
        </w:rPr>
      </w:pPr>
    </w:p>
    <w:bookmarkEnd w:id="0"/>
    <w:p w14:paraId="7B3FD8B9">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115C553D">
      <w:pPr>
        <w:pStyle w:val="20"/>
        <w:tabs>
          <w:tab w:val="right" w:leader="dot" w:pos="8306"/>
        </w:tabs>
      </w:pPr>
      <w:r>
        <w:fldChar w:fldCharType="begin"/>
      </w:r>
      <w:r>
        <w:instrText xml:space="preserve">TOC \o "1-1" \h \u </w:instrText>
      </w:r>
      <w:r>
        <w:fldChar w:fldCharType="separate"/>
      </w:r>
      <w:r>
        <w:fldChar w:fldCharType="begin"/>
      </w:r>
      <w:r>
        <w:instrText xml:space="preserve"> HYPERLINK \l _Toc1509 </w:instrText>
      </w:r>
      <w:r>
        <w:fldChar w:fldCharType="separate"/>
      </w:r>
      <w:r>
        <w:rPr>
          <w:rFonts w:hint="eastAsia" w:ascii="宋体" w:hAnsi="宋体" w:cs="宋体"/>
          <w:kern w:val="0"/>
          <w:szCs w:val="24"/>
        </w:rPr>
        <w:t>1 总则</w:t>
      </w:r>
      <w:r>
        <w:tab/>
      </w:r>
      <w:r>
        <w:fldChar w:fldCharType="begin"/>
      </w:r>
      <w:r>
        <w:instrText xml:space="preserve"> PAGEREF _Toc1509 \h </w:instrText>
      </w:r>
      <w:r>
        <w:fldChar w:fldCharType="separate"/>
      </w:r>
      <w:r>
        <w:t>3</w:t>
      </w:r>
      <w:r>
        <w:fldChar w:fldCharType="end"/>
      </w:r>
      <w:r>
        <w:fldChar w:fldCharType="end"/>
      </w:r>
    </w:p>
    <w:p w14:paraId="5566C39A">
      <w:pPr>
        <w:pStyle w:val="20"/>
        <w:tabs>
          <w:tab w:val="right" w:leader="dot" w:pos="8306"/>
        </w:tabs>
      </w:pPr>
      <w:r>
        <w:fldChar w:fldCharType="begin"/>
      </w:r>
      <w:r>
        <w:instrText xml:space="preserve"> HYPERLINK \l _Toc11080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_Toc11080 \h </w:instrText>
      </w:r>
      <w:r>
        <w:fldChar w:fldCharType="separate"/>
      </w:r>
      <w:r>
        <w:t>4</w:t>
      </w:r>
      <w:r>
        <w:fldChar w:fldCharType="end"/>
      </w:r>
      <w:r>
        <w:fldChar w:fldCharType="end"/>
      </w:r>
    </w:p>
    <w:p w14:paraId="1D807BC2">
      <w:pPr>
        <w:pStyle w:val="20"/>
        <w:tabs>
          <w:tab w:val="right" w:leader="dot" w:pos="8306"/>
        </w:tabs>
      </w:pPr>
      <w:r>
        <w:fldChar w:fldCharType="begin"/>
      </w:r>
      <w:r>
        <w:instrText xml:space="preserve"> HYPERLINK \l _Toc8521 </w:instrText>
      </w:r>
      <w:r>
        <w:fldChar w:fldCharType="separate"/>
      </w:r>
      <w:r>
        <w:rPr>
          <w:rFonts w:hint="eastAsia" w:ascii="宋体" w:hAnsi="宋体" w:eastAsia="宋体" w:cs="宋体"/>
          <w:bCs/>
          <w:kern w:val="0"/>
          <w:szCs w:val="24"/>
        </w:rPr>
        <w:t>3 工作范围</w:t>
      </w:r>
      <w:r>
        <w:tab/>
      </w:r>
      <w:r>
        <w:fldChar w:fldCharType="begin"/>
      </w:r>
      <w:r>
        <w:instrText xml:space="preserve"> PAGEREF _Toc8521 \h </w:instrText>
      </w:r>
      <w:r>
        <w:fldChar w:fldCharType="separate"/>
      </w:r>
      <w:r>
        <w:t>4</w:t>
      </w:r>
      <w:r>
        <w:fldChar w:fldCharType="end"/>
      </w:r>
      <w:r>
        <w:fldChar w:fldCharType="end"/>
      </w:r>
    </w:p>
    <w:p w14:paraId="0664473F">
      <w:pPr>
        <w:pStyle w:val="20"/>
        <w:tabs>
          <w:tab w:val="right" w:leader="dot" w:pos="8306"/>
        </w:tabs>
      </w:pPr>
      <w:r>
        <w:fldChar w:fldCharType="begin"/>
      </w:r>
      <w:r>
        <w:instrText xml:space="preserve"> HYPERLINK \l _Toc2809 </w:instrText>
      </w:r>
      <w:r>
        <w:fldChar w:fldCharType="separate"/>
      </w:r>
      <w:r>
        <w:rPr>
          <w:rFonts w:hint="eastAsia" w:ascii="宋体" w:hAnsi="宋体" w:cs="宋体"/>
          <w:kern w:val="0"/>
          <w:szCs w:val="24"/>
        </w:rPr>
        <w:t>4 引用标准</w:t>
      </w:r>
      <w:r>
        <w:tab/>
      </w:r>
      <w:r>
        <w:fldChar w:fldCharType="begin"/>
      </w:r>
      <w:r>
        <w:instrText xml:space="preserve"> PAGEREF _Toc2809 \h </w:instrText>
      </w:r>
      <w:r>
        <w:fldChar w:fldCharType="separate"/>
      </w:r>
      <w:r>
        <w:t>4</w:t>
      </w:r>
      <w:r>
        <w:fldChar w:fldCharType="end"/>
      </w:r>
      <w:r>
        <w:fldChar w:fldCharType="end"/>
      </w:r>
    </w:p>
    <w:p w14:paraId="251B9F3E">
      <w:pPr>
        <w:pStyle w:val="20"/>
        <w:tabs>
          <w:tab w:val="right" w:leader="dot" w:pos="8306"/>
        </w:tabs>
      </w:pPr>
      <w:r>
        <w:fldChar w:fldCharType="begin"/>
      </w:r>
      <w:r>
        <w:instrText xml:space="preserve"> HYPERLINK \l _Toc12352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_Toc12352 \h </w:instrText>
      </w:r>
      <w:r>
        <w:fldChar w:fldCharType="separate"/>
      </w:r>
      <w:r>
        <w:t>4</w:t>
      </w:r>
      <w:r>
        <w:fldChar w:fldCharType="end"/>
      </w:r>
      <w:r>
        <w:fldChar w:fldCharType="end"/>
      </w:r>
    </w:p>
    <w:p w14:paraId="0E950624">
      <w:pPr>
        <w:pStyle w:val="20"/>
        <w:tabs>
          <w:tab w:val="right" w:leader="dot" w:pos="8306"/>
        </w:tabs>
      </w:pPr>
      <w:r>
        <w:fldChar w:fldCharType="begin"/>
      </w:r>
      <w:r>
        <w:instrText xml:space="preserve"> HYPERLINK \l _Toc2323 </w:instrText>
      </w:r>
      <w:r>
        <w:fldChar w:fldCharType="separate"/>
      </w:r>
      <w:r>
        <w:rPr>
          <w:rFonts w:hint="eastAsia" w:ascii="宋体" w:hAnsi="宋体" w:cs="宋体"/>
          <w:kern w:val="0"/>
          <w:szCs w:val="24"/>
        </w:rPr>
        <w:t>6 资料管理</w:t>
      </w:r>
      <w:r>
        <w:tab/>
      </w:r>
      <w:r>
        <w:fldChar w:fldCharType="begin"/>
      </w:r>
      <w:r>
        <w:instrText xml:space="preserve"> PAGEREF _Toc2323 \h </w:instrText>
      </w:r>
      <w:r>
        <w:fldChar w:fldCharType="separate"/>
      </w:r>
      <w:r>
        <w:t>6</w:t>
      </w:r>
      <w:r>
        <w:fldChar w:fldCharType="end"/>
      </w:r>
      <w:r>
        <w:fldChar w:fldCharType="end"/>
      </w:r>
    </w:p>
    <w:p w14:paraId="4031161D">
      <w:pPr>
        <w:pStyle w:val="20"/>
        <w:tabs>
          <w:tab w:val="right" w:leader="dot" w:pos="8306"/>
        </w:tabs>
      </w:pPr>
      <w:r>
        <w:fldChar w:fldCharType="begin"/>
      </w:r>
      <w:r>
        <w:instrText xml:space="preserve"> HYPERLINK \l _Toc5523 </w:instrText>
      </w:r>
      <w:r>
        <w:fldChar w:fldCharType="separate"/>
      </w:r>
      <w:r>
        <w:rPr>
          <w:rFonts w:hint="eastAsia" w:ascii="宋体" w:hAnsi="宋体"/>
          <w:kern w:val="0"/>
          <w:szCs w:val="24"/>
        </w:rPr>
        <w:t>7 售后服务及技术培训</w:t>
      </w:r>
      <w:r>
        <w:tab/>
      </w:r>
      <w:r>
        <w:fldChar w:fldCharType="begin"/>
      </w:r>
      <w:r>
        <w:instrText xml:space="preserve"> PAGEREF _Toc5523 \h </w:instrText>
      </w:r>
      <w:r>
        <w:fldChar w:fldCharType="separate"/>
      </w:r>
      <w:r>
        <w:t>7</w:t>
      </w:r>
      <w:r>
        <w:fldChar w:fldCharType="end"/>
      </w:r>
      <w:r>
        <w:fldChar w:fldCharType="end"/>
      </w:r>
    </w:p>
    <w:p w14:paraId="512C6981">
      <w:pPr>
        <w:pStyle w:val="20"/>
        <w:tabs>
          <w:tab w:val="right" w:leader="dot" w:pos="8306"/>
        </w:tabs>
      </w:pPr>
      <w:r>
        <w:fldChar w:fldCharType="begin"/>
      </w:r>
      <w:r>
        <w:instrText xml:space="preserve"> HYPERLINK \l _Toc6233 </w:instrText>
      </w:r>
      <w:r>
        <w:fldChar w:fldCharType="separate"/>
      </w:r>
      <w:r>
        <w:rPr>
          <w:rFonts w:hint="eastAsia" w:ascii="宋体" w:hAnsi="宋体" w:cs="宋体"/>
          <w:kern w:val="0"/>
          <w:szCs w:val="24"/>
        </w:rPr>
        <w:t>8 质量保证</w:t>
      </w:r>
      <w:r>
        <w:tab/>
      </w:r>
      <w:r>
        <w:fldChar w:fldCharType="begin"/>
      </w:r>
      <w:r>
        <w:instrText xml:space="preserve"> PAGEREF _Toc6233 \h </w:instrText>
      </w:r>
      <w:r>
        <w:fldChar w:fldCharType="separate"/>
      </w:r>
      <w:r>
        <w:t>8</w:t>
      </w:r>
      <w:r>
        <w:fldChar w:fldCharType="end"/>
      </w:r>
      <w:r>
        <w:fldChar w:fldCharType="end"/>
      </w:r>
    </w:p>
    <w:p w14:paraId="2122D9BD">
      <w:pPr>
        <w:pStyle w:val="20"/>
        <w:tabs>
          <w:tab w:val="right" w:leader="dot" w:pos="8306"/>
        </w:tabs>
      </w:pPr>
      <w:r>
        <w:fldChar w:fldCharType="begin"/>
      </w:r>
      <w:r>
        <w:instrText xml:space="preserve"> HYPERLINK \l _Toc4013 </w:instrText>
      </w:r>
      <w:r>
        <w:fldChar w:fldCharType="separate"/>
      </w:r>
      <w:r>
        <w:rPr>
          <w:rFonts w:hint="eastAsia" w:ascii="宋体" w:hAnsi="宋体" w:cs="宋体"/>
          <w:kern w:val="0"/>
          <w:szCs w:val="24"/>
        </w:rPr>
        <w:t>9 包装、运输和贮存</w:t>
      </w:r>
      <w:r>
        <w:tab/>
      </w:r>
      <w:r>
        <w:fldChar w:fldCharType="begin"/>
      </w:r>
      <w:r>
        <w:instrText xml:space="preserve"> PAGEREF _Toc4013 \h </w:instrText>
      </w:r>
      <w:r>
        <w:fldChar w:fldCharType="separate"/>
      </w:r>
      <w:r>
        <w:t>8</w:t>
      </w:r>
      <w:r>
        <w:fldChar w:fldCharType="end"/>
      </w:r>
      <w:r>
        <w:fldChar w:fldCharType="end"/>
      </w:r>
    </w:p>
    <w:p w14:paraId="6121F2F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373C7603">
      <w:pPr>
        <w:adjustRightInd w:val="0"/>
        <w:spacing w:line="360" w:lineRule="auto"/>
        <w:textAlignment w:val="baseline"/>
      </w:pPr>
    </w:p>
    <w:p w14:paraId="2942FAD8">
      <w:pPr>
        <w:pStyle w:val="31"/>
      </w:pPr>
    </w:p>
    <w:p w14:paraId="670FABF8">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D0D9629">
      <w:pPr>
        <w:pStyle w:val="4"/>
        <w:numPr>
          <w:ilvl w:val="0"/>
          <w:numId w:val="4"/>
        </w:numPr>
        <w:spacing w:before="0" w:after="0" w:line="360" w:lineRule="auto"/>
        <w:rPr>
          <w:rFonts w:hint="eastAsia" w:ascii="宋体" w:hAnsi="宋体" w:cs="宋体"/>
          <w:kern w:val="0"/>
          <w:sz w:val="24"/>
          <w:szCs w:val="24"/>
        </w:rPr>
      </w:pPr>
      <w:bookmarkStart w:id="1" w:name="_Toc21939"/>
      <w:bookmarkStart w:id="2" w:name="_Toc1509"/>
      <w:bookmarkStart w:id="3" w:name="_Toc27288_WPSOffice_Level1"/>
      <w:bookmarkStart w:id="4" w:name="_Toc32270_WPSOffice_Level1"/>
      <w:r>
        <w:rPr>
          <w:rFonts w:hint="eastAsia" w:ascii="宋体" w:hAnsi="宋体" w:cs="宋体"/>
          <w:kern w:val="0"/>
          <w:sz w:val="24"/>
          <w:szCs w:val="24"/>
        </w:rPr>
        <w:t>总则</w:t>
      </w:r>
      <w:bookmarkEnd w:id="1"/>
      <w:bookmarkEnd w:id="2"/>
      <w:bookmarkEnd w:id="3"/>
      <w:bookmarkEnd w:id="4"/>
    </w:p>
    <w:p w14:paraId="79F24623">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2026年南方电网数字电网集团有限公司深圳分公司信息类软硬件（全流量检测分析设备、流量汇聚镜像设备、上网行为管理、防病毒系统、数据库审计系统）投标寻源项目</w:t>
      </w:r>
      <w:r>
        <w:rPr>
          <w:rFonts w:hint="eastAsia" w:ascii="宋体" w:hAnsi="宋体" w:cs="宋体"/>
          <w:sz w:val="24"/>
        </w:rPr>
        <w:t>。</w:t>
      </w:r>
    </w:p>
    <w:p w14:paraId="37882FA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1A1430F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0726E65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31E6306C">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7502613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6D0A68F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3653030D">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41A26AA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701EBD41">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11080"/>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0712D3EA">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w:t>
      </w:r>
      <w:bookmarkStart w:id="6" w:name="_Toc14235"/>
      <w:bookmarkStart w:id="7" w:name="_Toc31506"/>
      <w:r>
        <w:rPr>
          <w:rFonts w:hint="eastAsia" w:ascii="宋体" w:hAnsi="宋体" w:cs="宋体"/>
          <w:b w:val="0"/>
          <w:sz w:val="24"/>
          <w:szCs w:val="24"/>
          <w:lang w:val="en-US" w:eastAsia="zh-CN"/>
        </w:rPr>
        <w:t>防病毒系统(服务器防病毒license)</w:t>
      </w:r>
      <w:bookmarkEnd w:id="6"/>
      <w:bookmarkEnd w:id="7"/>
      <w:r>
        <w:rPr>
          <w:rFonts w:hint="eastAsia" w:ascii="宋体" w:hAnsi="宋体" w:cs="宋体"/>
          <w:b w:val="0"/>
          <w:sz w:val="24"/>
          <w:szCs w:val="24"/>
          <w:lang w:val="en-US" w:eastAsia="zh-CN"/>
        </w:rPr>
        <w:t>1套。</w:t>
      </w:r>
    </w:p>
    <w:p w14:paraId="0F5A8272">
      <w:pPr>
        <w:pStyle w:val="4"/>
        <w:numPr>
          <w:ilvl w:val="0"/>
          <w:numId w:val="4"/>
        </w:numPr>
        <w:spacing w:before="0" w:after="0" w:line="360" w:lineRule="auto"/>
        <w:rPr>
          <w:rFonts w:hint="eastAsia" w:ascii="宋体" w:hAnsi="宋体" w:eastAsia="宋体" w:cs="宋体"/>
          <w:b/>
          <w:bCs/>
          <w:kern w:val="0"/>
          <w:sz w:val="24"/>
          <w:szCs w:val="24"/>
        </w:rPr>
      </w:pPr>
      <w:bookmarkStart w:id="8" w:name="_Toc8521"/>
      <w:bookmarkStart w:id="9" w:name="_Toc3695"/>
      <w:bookmarkStart w:id="10" w:name="_Toc317690117"/>
      <w:bookmarkStart w:id="11" w:name="_Toc317067398"/>
      <w:bookmarkStart w:id="12" w:name="_Toc317689829"/>
      <w:bookmarkStart w:id="13" w:name="_Toc18031_WPSOffice_Level1"/>
      <w:bookmarkStart w:id="14" w:name="_Toc24890_WPSOffice_Level1"/>
      <w:r>
        <w:rPr>
          <w:rFonts w:hint="eastAsia" w:ascii="宋体" w:hAnsi="宋体" w:eastAsia="宋体" w:cs="宋体"/>
          <w:b/>
          <w:bCs/>
          <w:kern w:val="0"/>
          <w:sz w:val="24"/>
          <w:szCs w:val="24"/>
        </w:rPr>
        <w:t>工作范围</w:t>
      </w:r>
      <w:bookmarkEnd w:id="8"/>
      <w:bookmarkEnd w:id="9"/>
      <w:bookmarkEnd w:id="10"/>
      <w:bookmarkEnd w:id="11"/>
      <w:bookmarkEnd w:id="12"/>
      <w:bookmarkEnd w:id="13"/>
      <w:bookmarkEnd w:id="14"/>
    </w:p>
    <w:p w14:paraId="1DF79A48">
      <w:pPr>
        <w:numPr>
          <w:ilvl w:val="1"/>
          <w:numId w:val="4"/>
        </w:numPr>
        <w:adjustRightInd w:val="0"/>
        <w:spacing w:line="360" w:lineRule="auto"/>
        <w:ind w:left="0" w:firstLine="0"/>
        <w:outlineLvl w:val="1"/>
        <w:rPr>
          <w:rFonts w:hint="eastAsia" w:ascii="宋体" w:hAnsi="宋体" w:cs="宋体"/>
          <w:sz w:val="24"/>
        </w:rPr>
      </w:pPr>
      <w:bookmarkStart w:id="15" w:name="_Toc317689831"/>
      <w:bookmarkStart w:id="16" w:name="_Toc317690119"/>
      <w:bookmarkStart w:id="17" w:name="_Toc317067400"/>
      <w:bookmarkStart w:id="18" w:name="_Toc8887_WPSOffice_Level1"/>
      <w:bookmarkStart w:id="19" w:name="_Toc18434"/>
      <w:bookmarkStart w:id="20" w:name="_Toc924_WPSOffice_Level1"/>
      <w:r>
        <w:rPr>
          <w:rFonts w:hint="eastAsia" w:ascii="宋体" w:hAnsi="宋体" w:cs="宋体"/>
          <w:sz w:val="24"/>
        </w:rPr>
        <w:t>服务界限</w:t>
      </w:r>
      <w:bookmarkEnd w:id="15"/>
      <w:bookmarkEnd w:id="16"/>
      <w:bookmarkEnd w:id="17"/>
    </w:p>
    <w:p w14:paraId="327B8F68">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6A242FF4">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3D1B61BC">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0DE142CA">
      <w:pPr>
        <w:pStyle w:val="4"/>
        <w:numPr>
          <w:ilvl w:val="0"/>
          <w:numId w:val="4"/>
        </w:numPr>
        <w:spacing w:before="0" w:after="0" w:line="360" w:lineRule="auto"/>
        <w:rPr>
          <w:rFonts w:hint="eastAsia" w:ascii="宋体" w:hAnsi="宋体" w:cs="宋体"/>
          <w:kern w:val="0"/>
          <w:sz w:val="24"/>
          <w:szCs w:val="24"/>
        </w:rPr>
      </w:pPr>
      <w:bookmarkStart w:id="21" w:name="_Toc2809"/>
      <w:r>
        <w:rPr>
          <w:rFonts w:hint="eastAsia" w:ascii="宋体" w:hAnsi="宋体" w:cs="宋体"/>
          <w:kern w:val="0"/>
          <w:sz w:val="24"/>
          <w:szCs w:val="24"/>
        </w:rPr>
        <w:t>引用标准</w:t>
      </w:r>
      <w:bookmarkEnd w:id="18"/>
      <w:bookmarkEnd w:id="19"/>
      <w:bookmarkEnd w:id="20"/>
      <w:bookmarkEnd w:id="21"/>
    </w:p>
    <w:p w14:paraId="63E4F659">
      <w:pPr>
        <w:spacing w:line="360" w:lineRule="auto"/>
        <w:ind w:firstLine="420"/>
        <w:rPr>
          <w:rFonts w:hint="eastAsia" w:ascii="宋体" w:hAnsi="宋体" w:cs="宋体"/>
          <w:sz w:val="24"/>
        </w:rPr>
      </w:pPr>
      <w:bookmarkStart w:id="22" w:name="FLDBZBH"/>
      <w:bookmarkEnd w:id="22"/>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5E2CFFE8">
      <w:pPr>
        <w:spacing w:line="360" w:lineRule="auto"/>
        <w:rPr>
          <w:rFonts w:hint="eastAsia" w:ascii="宋体" w:hAnsi="宋体" w:cs="宋体"/>
          <w:sz w:val="24"/>
        </w:rPr>
      </w:pPr>
      <w:r>
        <w:rPr>
          <w:rFonts w:hint="eastAsia" w:ascii="宋体" w:hAnsi="宋体" w:cs="宋体"/>
          <w:sz w:val="24"/>
        </w:rPr>
        <w:t>（1）GB-------中华人民共和国国家标准</w:t>
      </w:r>
    </w:p>
    <w:p w14:paraId="649020EE">
      <w:pPr>
        <w:spacing w:line="360" w:lineRule="auto"/>
        <w:rPr>
          <w:rFonts w:hint="eastAsia" w:ascii="宋体" w:hAnsi="宋体" w:cs="宋体"/>
          <w:sz w:val="24"/>
        </w:rPr>
      </w:pPr>
      <w:r>
        <w:rPr>
          <w:rFonts w:hint="eastAsia" w:ascii="宋体" w:hAnsi="宋体" w:cs="宋体"/>
          <w:sz w:val="24"/>
        </w:rPr>
        <w:t>（2）DL-------中华人民共和国电力行业标准</w:t>
      </w:r>
    </w:p>
    <w:p w14:paraId="4931B2B2">
      <w:pPr>
        <w:spacing w:line="360" w:lineRule="auto"/>
        <w:rPr>
          <w:rFonts w:hint="eastAsia" w:ascii="宋体" w:hAnsi="宋体" w:cs="宋体"/>
          <w:sz w:val="24"/>
        </w:rPr>
      </w:pPr>
      <w:r>
        <w:rPr>
          <w:rFonts w:hint="eastAsia" w:ascii="宋体" w:hAnsi="宋体" w:cs="宋体"/>
          <w:sz w:val="24"/>
        </w:rPr>
        <w:t>（3）《电力二次系统安全防护规定》</w:t>
      </w:r>
    </w:p>
    <w:p w14:paraId="5816DA2C">
      <w:pPr>
        <w:spacing w:line="360" w:lineRule="auto"/>
        <w:rPr>
          <w:rFonts w:hint="eastAsia" w:ascii="宋体" w:hAnsi="宋体" w:cs="宋体"/>
          <w:sz w:val="24"/>
        </w:rPr>
      </w:pPr>
      <w:r>
        <w:rPr>
          <w:rFonts w:hint="eastAsia" w:ascii="宋体" w:hAnsi="宋体" w:cs="宋体"/>
          <w:sz w:val="24"/>
        </w:rPr>
        <w:t>（4）中国信息安全测评中心</w:t>
      </w:r>
    </w:p>
    <w:p w14:paraId="6C60C9F2">
      <w:pPr>
        <w:spacing w:line="360" w:lineRule="auto"/>
        <w:rPr>
          <w:rFonts w:hint="eastAsia" w:ascii="宋体" w:hAnsi="宋体" w:cs="宋体"/>
          <w:sz w:val="24"/>
        </w:rPr>
      </w:pPr>
      <w:r>
        <w:rPr>
          <w:rFonts w:hint="eastAsia" w:ascii="宋体" w:hAnsi="宋体" w:cs="宋体"/>
          <w:sz w:val="24"/>
        </w:rPr>
        <w:t>（5）国家保密科技测评中心</w:t>
      </w:r>
    </w:p>
    <w:p w14:paraId="3553F59F">
      <w:pPr>
        <w:spacing w:line="360" w:lineRule="auto"/>
        <w:rPr>
          <w:rFonts w:hint="eastAsia" w:ascii="宋体" w:hAnsi="宋体" w:cs="宋体"/>
          <w:sz w:val="24"/>
        </w:rPr>
      </w:pPr>
      <w:r>
        <w:rPr>
          <w:rFonts w:hint="eastAsia" w:ascii="宋体" w:hAnsi="宋体" w:cs="宋体"/>
          <w:sz w:val="24"/>
        </w:rPr>
        <w:t>（6）ISO------国际标准化组织标准</w:t>
      </w:r>
    </w:p>
    <w:p w14:paraId="47AB5F4D">
      <w:pPr>
        <w:spacing w:line="360" w:lineRule="auto"/>
        <w:rPr>
          <w:rFonts w:hint="eastAsia" w:ascii="宋体" w:hAnsi="宋体" w:cs="宋体"/>
          <w:sz w:val="24"/>
        </w:rPr>
      </w:pPr>
      <w:r>
        <w:rPr>
          <w:rFonts w:hint="eastAsia" w:ascii="宋体" w:hAnsi="宋体" w:cs="宋体"/>
          <w:sz w:val="24"/>
        </w:rPr>
        <w:t>（7）IEC------国际电工委员会标准</w:t>
      </w:r>
    </w:p>
    <w:p w14:paraId="470ECBA3">
      <w:pPr>
        <w:spacing w:line="360" w:lineRule="auto"/>
        <w:rPr>
          <w:rFonts w:hint="eastAsia" w:ascii="宋体" w:hAnsi="宋体" w:cs="宋体"/>
          <w:sz w:val="24"/>
        </w:rPr>
      </w:pPr>
      <w:r>
        <w:rPr>
          <w:rFonts w:hint="eastAsia" w:ascii="宋体" w:hAnsi="宋体" w:cs="宋体"/>
          <w:sz w:val="24"/>
        </w:rPr>
        <w:t>（8）ITU-T----国际电信联盟标准</w:t>
      </w:r>
    </w:p>
    <w:p w14:paraId="3D935C8B">
      <w:pPr>
        <w:spacing w:line="360" w:lineRule="auto"/>
        <w:rPr>
          <w:rFonts w:hint="eastAsia" w:ascii="宋体" w:hAnsi="宋体" w:cs="宋体"/>
          <w:sz w:val="24"/>
        </w:rPr>
      </w:pPr>
      <w:r>
        <w:rPr>
          <w:rFonts w:hint="eastAsia" w:ascii="宋体" w:hAnsi="宋体" w:cs="宋体"/>
          <w:sz w:val="24"/>
        </w:rPr>
        <w:t>（9）CCITT ------国际电报和电话咨询委员会</w:t>
      </w:r>
    </w:p>
    <w:p w14:paraId="69DDD6DF">
      <w:pPr>
        <w:spacing w:line="360" w:lineRule="auto"/>
        <w:rPr>
          <w:rFonts w:hint="eastAsia" w:ascii="宋体" w:hAnsi="宋体" w:cs="宋体"/>
          <w:sz w:val="24"/>
        </w:rPr>
      </w:pPr>
      <w:r>
        <w:rPr>
          <w:rFonts w:hint="eastAsia" w:ascii="宋体" w:hAnsi="宋体" w:cs="宋体"/>
          <w:sz w:val="24"/>
        </w:rPr>
        <w:t>（10）ITU------国际电信联盟</w:t>
      </w:r>
    </w:p>
    <w:p w14:paraId="4B08E88E">
      <w:pPr>
        <w:spacing w:line="360" w:lineRule="auto"/>
        <w:rPr>
          <w:rFonts w:hint="eastAsia" w:ascii="宋体" w:hAnsi="宋体" w:cs="宋体"/>
          <w:sz w:val="24"/>
        </w:rPr>
      </w:pPr>
      <w:r>
        <w:rPr>
          <w:rFonts w:hint="eastAsia" w:ascii="宋体" w:hAnsi="宋体" w:cs="宋体"/>
          <w:sz w:val="24"/>
        </w:rPr>
        <w:t>（11）SI------标准国际单位制</w:t>
      </w:r>
    </w:p>
    <w:p w14:paraId="0B04B49C">
      <w:pPr>
        <w:spacing w:line="360" w:lineRule="auto"/>
        <w:rPr>
          <w:rFonts w:hint="eastAsia" w:ascii="宋体" w:hAnsi="宋体" w:cs="宋体"/>
          <w:sz w:val="24"/>
          <w:highlight w:val="none"/>
        </w:rPr>
      </w:pPr>
      <w:r>
        <w:rPr>
          <w:rFonts w:hint="eastAsia" w:ascii="宋体" w:hAnsi="宋体" w:cs="宋体"/>
          <w:sz w:val="24"/>
        </w:rPr>
        <w:t>（12）其它招标方指定的规约</w:t>
      </w:r>
    </w:p>
    <w:p w14:paraId="2C836C30">
      <w:pPr>
        <w:pStyle w:val="4"/>
        <w:numPr>
          <w:ilvl w:val="0"/>
          <w:numId w:val="4"/>
        </w:numPr>
        <w:spacing w:before="0" w:after="0" w:line="360" w:lineRule="auto"/>
        <w:rPr>
          <w:rFonts w:hint="eastAsia" w:ascii="宋体" w:hAnsi="宋体" w:cs="宋体"/>
          <w:kern w:val="0"/>
          <w:sz w:val="24"/>
          <w:szCs w:val="24"/>
          <w:highlight w:val="none"/>
        </w:rPr>
      </w:pPr>
      <w:bookmarkStart w:id="23" w:name="_Toc24881_WPSOffice_Level1"/>
      <w:bookmarkStart w:id="24" w:name="_Toc12352"/>
      <w:bookmarkStart w:id="25" w:name="_Toc20131"/>
      <w:bookmarkStart w:id="26" w:name="_Toc6702_WPSOffice_Level1"/>
      <w:r>
        <w:rPr>
          <w:rFonts w:hint="eastAsia" w:ascii="宋体" w:hAnsi="宋体" w:cs="宋体"/>
          <w:kern w:val="0"/>
          <w:sz w:val="24"/>
          <w:szCs w:val="24"/>
          <w:highlight w:val="none"/>
        </w:rPr>
        <w:t>技术要求</w:t>
      </w:r>
      <w:bookmarkEnd w:id="23"/>
      <w:bookmarkEnd w:id="24"/>
      <w:bookmarkEnd w:id="25"/>
      <w:bookmarkEnd w:id="26"/>
    </w:p>
    <w:p w14:paraId="04285CB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。▲项</w:t>
      </w:r>
      <w:r>
        <w:rPr>
          <w:rFonts w:hint="eastAsia" w:ascii="宋体" w:hAnsi="宋体" w:eastAsia="宋体" w:cs="宋体"/>
          <w:b w:val="0"/>
          <w:bCs w:val="0"/>
          <w:color w:val="auto"/>
          <w:kern w:val="0"/>
          <w:sz w:val="24"/>
          <w:szCs w:val="24"/>
          <w:lang w:val="en-US" w:eastAsia="zh-CN"/>
        </w:rPr>
        <w:t>目为重点评分项，如优于指标要求需提供证明材料并加盖公章。</w:t>
      </w:r>
    </w:p>
    <w:p w14:paraId="16CC3BDF">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6CBE204A">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投标方承担所投产品的集成与测评费用，提供承诺函。</w:t>
      </w:r>
    </w:p>
    <w:p w14:paraId="2631CEE8">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47BFA12B">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7DC89CC5">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rPr>
        <w:t>防病毒系统(服务器防病毒license)（1套）</w:t>
      </w:r>
    </w:p>
    <w:tbl>
      <w:tblPr>
        <w:tblStyle w:val="24"/>
        <w:tblpPr w:leftFromText="180" w:rightFromText="180" w:vertAnchor="text" w:tblpY="1"/>
        <w:tblOverlap w:val="never"/>
        <w:tblW w:w="48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3"/>
        <w:gridCol w:w="7590"/>
      </w:tblGrid>
      <w:tr w14:paraId="5BBE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shd w:val="clear" w:color="auto" w:fill="D9D9D9"/>
            <w:noWrap w:val="0"/>
            <w:vAlign w:val="center"/>
          </w:tcPr>
          <w:p w14:paraId="7F43E89F">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4096" w:type="pct"/>
            <w:shd w:val="clear" w:color="auto" w:fill="D9D9D9"/>
            <w:noWrap w:val="0"/>
            <w:vAlign w:val="center"/>
          </w:tcPr>
          <w:p w14:paraId="387A1E59">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09FB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noWrap w:val="0"/>
            <w:vAlign w:val="center"/>
          </w:tcPr>
          <w:p w14:paraId="7FC747FE">
            <w:pPr>
              <w:rPr>
                <w:rFonts w:ascii="宋体" w:hAnsi="宋体" w:cs="宋体"/>
                <w:b/>
                <w:bCs/>
                <w:color w:val="000000"/>
                <w:sz w:val="21"/>
                <w:szCs w:val="21"/>
                <w:highlight w:val="none"/>
                <w:lang w:bidi="ar"/>
              </w:rPr>
            </w:pPr>
            <w:r>
              <w:rPr>
                <w:rFonts w:hint="eastAsia" w:ascii="宋体" w:hAnsi="宋体" w:cs="宋体"/>
                <w:color w:val="000000"/>
                <w:sz w:val="21"/>
                <w:szCs w:val="21"/>
                <w:highlight w:val="none"/>
                <w:lang w:bidi="ar"/>
              </w:rPr>
              <w:t>授权数量</w:t>
            </w:r>
          </w:p>
        </w:tc>
        <w:tc>
          <w:tcPr>
            <w:tcW w:w="4096" w:type="pct"/>
            <w:noWrap w:val="0"/>
            <w:vAlign w:val="center"/>
          </w:tcPr>
          <w:p w14:paraId="09DBA8B2">
            <w:pPr>
              <w:rPr>
                <w:rFonts w:hint="eastAsia" w:ascii="宋体" w:hAnsi="宋体"/>
                <w:sz w:val="21"/>
                <w:szCs w:val="21"/>
                <w:highlight w:val="none"/>
              </w:rPr>
            </w:pPr>
            <w:r>
              <w:rPr>
                <w:rFonts w:ascii="宋体" w:hAnsi="宋体" w:cs="宋体"/>
                <w:color w:val="000000"/>
                <w:sz w:val="21"/>
                <w:szCs w:val="21"/>
                <w:highlight w:val="none"/>
              </w:rPr>
              <w:t>★</w:t>
            </w:r>
            <w:r>
              <w:rPr>
                <w:rFonts w:hint="eastAsia" w:ascii="宋体" w:hAnsi="宋体" w:cs="宋体"/>
                <w:color w:val="000000"/>
                <w:sz w:val="21"/>
                <w:szCs w:val="21"/>
                <w:highlight w:val="none"/>
              </w:rPr>
              <w:t>对现有云平台主机防病毒系统提供</w:t>
            </w:r>
            <w:r>
              <w:rPr>
                <w:rFonts w:hint="eastAsia" w:ascii="宋体" w:hAnsi="宋体" w:cs="宋体"/>
                <w:kern w:val="2"/>
                <w:sz w:val="21"/>
                <w:szCs w:val="21"/>
                <w:highlight w:val="none"/>
              </w:rPr>
              <w:t>≥</w:t>
            </w:r>
            <w:r>
              <w:rPr>
                <w:rFonts w:hint="eastAsia" w:ascii="宋体" w:hAnsi="宋体" w:cs="宋体"/>
                <w:sz w:val="21"/>
                <w:szCs w:val="21"/>
                <w:highlight w:val="none"/>
              </w:rPr>
              <w:t>880个主机许可扩容。含三</w:t>
            </w:r>
            <w:r>
              <w:rPr>
                <w:rFonts w:ascii="宋体" w:hAnsi="宋体" w:cs="宋体"/>
                <w:color w:val="000000"/>
                <w:sz w:val="21"/>
                <w:szCs w:val="21"/>
                <w:highlight w:val="none"/>
              </w:rPr>
              <w:t>年</w:t>
            </w:r>
            <w:r>
              <w:rPr>
                <w:rFonts w:hint="eastAsia" w:ascii="宋体" w:hAnsi="宋体" w:cs="宋体"/>
                <w:color w:val="000000"/>
                <w:sz w:val="21"/>
                <w:szCs w:val="21"/>
                <w:highlight w:val="none"/>
              </w:rPr>
              <w:t>维保服务。</w:t>
            </w:r>
          </w:p>
        </w:tc>
      </w:tr>
      <w:tr w14:paraId="01F7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noWrap w:val="0"/>
            <w:vAlign w:val="center"/>
          </w:tcPr>
          <w:p w14:paraId="5ECEC69A">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病毒防护性能</w:t>
            </w:r>
          </w:p>
        </w:tc>
        <w:tc>
          <w:tcPr>
            <w:tcW w:w="4096" w:type="pct"/>
            <w:noWrap w:val="0"/>
            <w:vAlign w:val="bottom"/>
          </w:tcPr>
          <w:p w14:paraId="2E5A3A6F">
            <w:pPr>
              <w:rPr>
                <w:rFonts w:ascii="宋体" w:hAnsi="宋体" w:cs="宋体"/>
                <w:color w:val="000000"/>
                <w:sz w:val="21"/>
                <w:szCs w:val="21"/>
                <w:highlight w:val="none"/>
              </w:rPr>
            </w:pPr>
            <w:r>
              <w:rPr>
                <w:rFonts w:hint="eastAsia" w:ascii="宋体" w:hAnsi="宋体" w:cs="宋体"/>
                <w:color w:val="000000"/>
                <w:sz w:val="21"/>
                <w:szCs w:val="21"/>
                <w:highlight w:val="none"/>
                <w:lang w:bidi="ar"/>
              </w:rPr>
              <w:t>▲</w:t>
            </w:r>
            <w:r>
              <w:rPr>
                <w:rFonts w:hint="eastAsia" w:ascii="宋体" w:hAnsi="宋体" w:cs="宋体"/>
                <w:kern w:val="2"/>
                <w:sz w:val="21"/>
                <w:szCs w:val="21"/>
                <w:highlight w:val="none"/>
              </w:rPr>
              <w:t>产品在病毒样本基本库≥1500时，检测率≥99%；流行病毒样本库≥1500时，检测率≥99%。</w:t>
            </w:r>
            <w:r>
              <w:rPr>
                <w:rFonts w:hint="eastAsia" w:ascii="宋体" w:hAnsi="宋体" w:cs="宋体"/>
                <w:color w:val="000000"/>
                <w:sz w:val="21"/>
                <w:szCs w:val="21"/>
                <w:highlight w:val="none"/>
                <w:lang w:bidi="ar"/>
              </w:rPr>
              <w:t>（提供CNAS测试报告证明材料）</w:t>
            </w:r>
          </w:p>
        </w:tc>
      </w:tr>
      <w:tr w14:paraId="4927A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restart"/>
            <w:noWrap w:val="0"/>
            <w:vAlign w:val="center"/>
          </w:tcPr>
          <w:p w14:paraId="63D4822E">
            <w:pPr>
              <w:rPr>
                <w:rFonts w:ascii="宋体" w:hAnsi="宋体" w:cs="宋体"/>
                <w:b/>
                <w:bCs/>
                <w:color w:val="000000"/>
                <w:sz w:val="21"/>
                <w:szCs w:val="21"/>
                <w:highlight w:val="none"/>
                <w:lang w:bidi="ar"/>
              </w:rPr>
            </w:pPr>
          </w:p>
          <w:p w14:paraId="2B861CDA">
            <w:pPr>
              <w:rPr>
                <w:rFonts w:hint="eastAsia" w:ascii="宋体" w:hAnsi="宋体" w:cs="宋体"/>
                <w:b/>
                <w:bCs/>
                <w:color w:val="000000"/>
                <w:sz w:val="21"/>
                <w:szCs w:val="21"/>
                <w:highlight w:val="none"/>
                <w:lang w:bidi="ar"/>
              </w:rPr>
            </w:pPr>
            <w:r>
              <w:rPr>
                <w:rFonts w:hint="eastAsia" w:ascii="宋体" w:hAnsi="宋体" w:cs="宋体"/>
                <w:color w:val="000000"/>
                <w:sz w:val="21"/>
                <w:szCs w:val="21"/>
                <w:highlight w:val="none"/>
                <w:lang w:bidi="ar"/>
              </w:rPr>
              <w:t>主机与客户端管理</w:t>
            </w:r>
          </w:p>
        </w:tc>
        <w:tc>
          <w:tcPr>
            <w:tcW w:w="4096" w:type="pct"/>
            <w:noWrap w:val="0"/>
            <w:vAlign w:val="center"/>
          </w:tcPr>
          <w:p w14:paraId="1F49765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支持通过arp、ping和nmap三种方式进行未安装主机发现功能</w:t>
            </w:r>
          </w:p>
        </w:tc>
      </w:tr>
      <w:tr w14:paraId="37E4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38F7D371">
            <w:pPr>
              <w:rPr>
                <w:rFonts w:hint="eastAsia" w:ascii="宋体" w:hAnsi="宋体" w:cs="宋体"/>
                <w:b/>
                <w:bCs/>
                <w:color w:val="000000"/>
                <w:sz w:val="21"/>
                <w:szCs w:val="21"/>
                <w:highlight w:val="none"/>
                <w:lang w:bidi="ar"/>
              </w:rPr>
            </w:pPr>
          </w:p>
        </w:tc>
        <w:tc>
          <w:tcPr>
            <w:tcW w:w="4096" w:type="pct"/>
            <w:noWrap w:val="0"/>
            <w:vAlign w:val="center"/>
          </w:tcPr>
          <w:p w14:paraId="37A4A495">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Agent安装方式支持手动下载安装包（Linux X86，Linux X86 64，Linux ARm 64,windows安装包类型）安装和一句话命令（CMD，Powershell方式）自动安装；支持选择安装主机范围，配置主机连接方式，至少包括直连主机、代理连接、前置机连接三种模式</w:t>
            </w:r>
          </w:p>
        </w:tc>
      </w:tr>
      <w:tr w14:paraId="59F9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00E05CA8">
            <w:pPr>
              <w:rPr>
                <w:rFonts w:hint="eastAsia" w:ascii="宋体" w:hAnsi="宋体" w:cs="宋体"/>
                <w:b/>
                <w:bCs/>
                <w:color w:val="000000"/>
                <w:sz w:val="21"/>
                <w:szCs w:val="21"/>
                <w:highlight w:val="none"/>
                <w:lang w:bidi="ar"/>
              </w:rPr>
            </w:pPr>
          </w:p>
        </w:tc>
        <w:tc>
          <w:tcPr>
            <w:tcW w:w="4096" w:type="pct"/>
            <w:noWrap w:val="0"/>
            <w:vAlign w:val="center"/>
          </w:tcPr>
          <w:p w14:paraId="3C09D06B">
            <w:pPr>
              <w:rPr>
                <w:rFonts w:hint="eastAsia" w:ascii="宋体" w:hAnsi="宋体" w:cs="宋体"/>
                <w:color w:val="000000"/>
                <w:sz w:val="21"/>
                <w:szCs w:val="21"/>
                <w:highlight w:val="none"/>
                <w:lang w:bidi="ar"/>
              </w:rPr>
            </w:pPr>
            <w:r>
              <w:rPr>
                <w:rFonts w:hint="eastAsia" w:ascii="宋体" w:hAnsi="宋体" w:cs="宋体"/>
                <w:sz w:val="21"/>
                <w:szCs w:val="21"/>
                <w:highlight w:val="none"/>
              </w:rPr>
              <w:t>▲在进行虚拟化环境统一扫描时，整体资源占用不应超过系统资源的35%；在安装部署虚拟化安全产品时，原虚拟环境的可用资源减少不应超过 35%</w:t>
            </w:r>
            <w:r>
              <w:rPr>
                <w:rFonts w:hint="eastAsia" w:ascii="宋体" w:hAnsi="宋体" w:cs="宋体"/>
                <w:color w:val="000000"/>
                <w:sz w:val="21"/>
                <w:szCs w:val="21"/>
                <w:highlight w:val="none"/>
                <w:lang w:bidi="ar"/>
              </w:rPr>
              <w:t>（提供CNAS测试报告且检测结果为符合）</w:t>
            </w:r>
          </w:p>
        </w:tc>
      </w:tr>
      <w:tr w14:paraId="5505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6BBA7A98">
            <w:pPr>
              <w:rPr>
                <w:rFonts w:hint="eastAsia" w:ascii="宋体" w:hAnsi="宋体" w:cs="宋体"/>
                <w:b/>
                <w:bCs/>
                <w:color w:val="000000"/>
                <w:sz w:val="21"/>
                <w:szCs w:val="21"/>
                <w:highlight w:val="none"/>
                <w:lang w:bidi="ar"/>
              </w:rPr>
            </w:pPr>
          </w:p>
        </w:tc>
        <w:tc>
          <w:tcPr>
            <w:tcW w:w="4096" w:type="pct"/>
            <w:noWrap w:val="0"/>
            <w:vAlign w:val="center"/>
          </w:tcPr>
          <w:p w14:paraId="31B672A0">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支持在服务端设置密码，防止恶意卸载agent。支持Agent停用监控；支持通过管理端对agent进行批量远程启动、停止、重启和卸载操作；对agent自身进程进行保护，当恶意终止后可以自动拉起来。</w:t>
            </w:r>
          </w:p>
        </w:tc>
      </w:tr>
      <w:tr w14:paraId="1A66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609E2132">
            <w:pPr>
              <w:rPr>
                <w:rFonts w:hint="eastAsia" w:ascii="宋体" w:hAnsi="宋体" w:cs="宋体"/>
                <w:b/>
                <w:bCs/>
                <w:color w:val="000000"/>
                <w:sz w:val="21"/>
                <w:szCs w:val="21"/>
                <w:highlight w:val="none"/>
                <w:lang w:bidi="ar"/>
              </w:rPr>
            </w:pPr>
          </w:p>
        </w:tc>
        <w:tc>
          <w:tcPr>
            <w:tcW w:w="4096" w:type="pct"/>
            <w:noWrap w:val="0"/>
            <w:vAlign w:val="center"/>
          </w:tcPr>
          <w:p w14:paraId="2787E609">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支持对agent进行灰度更新发布，并指定时间，指定用户，指定版本进行Agent更新.</w:t>
            </w:r>
          </w:p>
        </w:tc>
      </w:tr>
      <w:tr w14:paraId="55B33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1670F3C0">
            <w:pPr>
              <w:rPr>
                <w:rFonts w:hint="eastAsia" w:ascii="宋体" w:hAnsi="宋体" w:cs="宋体"/>
                <w:b/>
                <w:bCs/>
                <w:color w:val="000000"/>
                <w:sz w:val="21"/>
                <w:szCs w:val="21"/>
                <w:highlight w:val="none"/>
                <w:lang w:bidi="ar"/>
              </w:rPr>
            </w:pPr>
          </w:p>
        </w:tc>
        <w:tc>
          <w:tcPr>
            <w:tcW w:w="4096" w:type="pct"/>
            <w:noWrap w:val="0"/>
            <w:vAlign w:val="bottom"/>
          </w:tcPr>
          <w:p w14:paraId="67AF249F">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支持监测主机的运行进程、CPU利用率、内存利用率、线程数、I/O读写情况，可设置监控阈值，超过阈值进行告警。</w:t>
            </w:r>
          </w:p>
        </w:tc>
      </w:tr>
      <w:tr w14:paraId="50AE6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666BB17C">
            <w:pPr>
              <w:rPr>
                <w:rFonts w:hint="eastAsia" w:ascii="宋体" w:hAnsi="宋体" w:cs="宋体"/>
                <w:b/>
                <w:bCs/>
                <w:color w:val="000000"/>
                <w:sz w:val="21"/>
                <w:szCs w:val="21"/>
                <w:highlight w:val="none"/>
                <w:lang w:bidi="ar"/>
              </w:rPr>
            </w:pPr>
          </w:p>
        </w:tc>
        <w:tc>
          <w:tcPr>
            <w:tcW w:w="4096" w:type="pct"/>
            <w:noWrap w:val="0"/>
            <w:vAlign w:val="bottom"/>
          </w:tcPr>
          <w:p w14:paraId="7228652B">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新的虚拟机开机的时候能够得到即时保护；虚拟机休眠以后，恢复开机能够得到即时保护。（提供权威第三方测试报告）</w:t>
            </w:r>
          </w:p>
        </w:tc>
      </w:tr>
      <w:tr w14:paraId="2015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07FF84F2">
            <w:pPr>
              <w:rPr>
                <w:rFonts w:hint="eastAsia" w:ascii="宋体" w:hAnsi="宋体" w:cs="宋体"/>
                <w:b/>
                <w:bCs/>
                <w:color w:val="000000"/>
                <w:sz w:val="21"/>
                <w:szCs w:val="21"/>
                <w:highlight w:val="none"/>
                <w:lang w:bidi="ar"/>
              </w:rPr>
            </w:pPr>
          </w:p>
        </w:tc>
        <w:tc>
          <w:tcPr>
            <w:tcW w:w="4096" w:type="pct"/>
            <w:noWrap w:val="0"/>
            <w:vAlign w:val="bottom"/>
          </w:tcPr>
          <w:p w14:paraId="69C350D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支持Agent资源限速，可限制Agent CPU资源使用率，主机内存使用率、支持自定义限速阈值设定。</w:t>
            </w:r>
          </w:p>
        </w:tc>
      </w:tr>
      <w:tr w14:paraId="418D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0C0B295B">
            <w:pPr>
              <w:rPr>
                <w:rFonts w:hint="eastAsia" w:ascii="宋体" w:hAnsi="宋体" w:cs="宋体"/>
                <w:b/>
                <w:bCs/>
                <w:color w:val="000000"/>
                <w:sz w:val="21"/>
                <w:szCs w:val="21"/>
                <w:highlight w:val="none"/>
                <w:lang w:bidi="ar"/>
              </w:rPr>
            </w:pPr>
          </w:p>
        </w:tc>
        <w:tc>
          <w:tcPr>
            <w:tcW w:w="4096" w:type="pct"/>
            <w:noWrap w:val="0"/>
            <w:vAlign w:val="bottom"/>
          </w:tcPr>
          <w:p w14:paraId="1AC73B7D">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支持管理服务端对Agent日志文件数量和大小限制进行设置和修改，包括日志文件大小和备份文件数量。</w:t>
            </w:r>
          </w:p>
        </w:tc>
      </w:tr>
      <w:tr w14:paraId="18337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0B520DB5">
            <w:pPr>
              <w:rPr>
                <w:rFonts w:hint="eastAsia" w:ascii="宋体" w:hAnsi="宋体" w:cs="宋体"/>
                <w:b/>
                <w:bCs/>
                <w:color w:val="000000"/>
                <w:sz w:val="21"/>
                <w:szCs w:val="21"/>
                <w:highlight w:val="none"/>
                <w:lang w:bidi="ar"/>
              </w:rPr>
            </w:pPr>
          </w:p>
        </w:tc>
        <w:tc>
          <w:tcPr>
            <w:tcW w:w="4096" w:type="pct"/>
            <w:noWrap w:val="0"/>
            <w:vAlign w:val="center"/>
          </w:tcPr>
          <w:p w14:paraId="6FE60FEA">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支持展示各客户端版本、规则库版本、插件版本、扫描引擎版本状态信息，支持手动本地/联网更新模式，自动联网更新模式，更新记录，手动/自动全网下发，下发操作记录维护等能力</w:t>
            </w:r>
          </w:p>
        </w:tc>
      </w:tr>
      <w:tr w14:paraId="481C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15A67D34">
            <w:pPr>
              <w:rPr>
                <w:rFonts w:hint="eastAsia" w:ascii="宋体" w:hAnsi="宋体" w:cs="宋体"/>
                <w:b/>
                <w:bCs/>
                <w:color w:val="000000"/>
                <w:sz w:val="21"/>
                <w:szCs w:val="21"/>
                <w:highlight w:val="none"/>
                <w:lang w:bidi="ar"/>
              </w:rPr>
            </w:pPr>
          </w:p>
        </w:tc>
        <w:tc>
          <w:tcPr>
            <w:tcW w:w="4096" w:type="pct"/>
            <w:noWrap w:val="0"/>
            <w:vAlign w:val="center"/>
          </w:tcPr>
          <w:p w14:paraId="7F99274A">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产品支持银河麒麟、统信操作系统（提供各操作系统兼容性证书）；</w:t>
            </w:r>
          </w:p>
        </w:tc>
      </w:tr>
      <w:tr w14:paraId="1A90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756BA7C2">
            <w:pPr>
              <w:rPr>
                <w:rFonts w:hint="eastAsia" w:ascii="宋体" w:hAnsi="宋体" w:cs="宋体"/>
                <w:b/>
                <w:bCs/>
                <w:color w:val="000000"/>
                <w:sz w:val="21"/>
                <w:szCs w:val="21"/>
                <w:highlight w:val="none"/>
                <w:lang w:bidi="ar"/>
              </w:rPr>
            </w:pPr>
          </w:p>
        </w:tc>
        <w:tc>
          <w:tcPr>
            <w:tcW w:w="4096" w:type="pct"/>
            <w:noWrap w:val="0"/>
            <w:vAlign w:val="bottom"/>
          </w:tcPr>
          <w:p w14:paraId="7821534C">
            <w:pPr>
              <w:rPr>
                <w:rFonts w:hint="eastAsia" w:ascii="宋体" w:hAnsi="宋体" w:cs="宋体"/>
                <w:color w:val="000000"/>
                <w:sz w:val="21"/>
                <w:szCs w:val="21"/>
                <w:highlight w:val="none"/>
                <w:lang w:bidi="ar"/>
              </w:rPr>
            </w:pPr>
            <w:r>
              <w:rPr>
                <w:rFonts w:hint="eastAsia" w:ascii="宋体" w:hAnsi="宋体" w:cs="宋体"/>
                <w:sz w:val="21"/>
                <w:szCs w:val="21"/>
                <w:highlight w:val="none"/>
                <w:lang w:bidi="ar"/>
              </w:rPr>
              <w:t>支持本地扫描和云安全扫描（并支持对压缩包文件进行扫描），具备本地病毒码和云端病毒码，支持实时扫描，预设扫描手动扫描和立即扫描。如发现特殊情况 （如业务高峰期），可支持终止操作。</w:t>
            </w:r>
          </w:p>
        </w:tc>
      </w:tr>
      <w:tr w14:paraId="00DC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242DF271">
            <w:pPr>
              <w:rPr>
                <w:rFonts w:hint="eastAsia" w:ascii="宋体" w:hAnsi="宋体" w:cs="宋体"/>
                <w:b/>
                <w:bCs/>
                <w:color w:val="000000"/>
                <w:sz w:val="21"/>
                <w:szCs w:val="21"/>
                <w:highlight w:val="none"/>
                <w:lang w:bidi="ar"/>
              </w:rPr>
            </w:pPr>
          </w:p>
        </w:tc>
        <w:tc>
          <w:tcPr>
            <w:tcW w:w="4096" w:type="pct"/>
            <w:noWrap w:val="0"/>
            <w:vAlign w:val="bottom"/>
          </w:tcPr>
          <w:p w14:paraId="027F19F6">
            <w:pPr>
              <w:rPr>
                <w:rFonts w:hint="eastAsia" w:ascii="宋体" w:hAnsi="宋体" w:cs="宋体"/>
                <w:color w:val="000000"/>
                <w:sz w:val="21"/>
                <w:szCs w:val="21"/>
                <w:highlight w:val="none"/>
                <w:lang w:bidi="ar"/>
              </w:rPr>
            </w:pPr>
            <w:r>
              <w:rPr>
                <w:rFonts w:hint="eastAsia" w:ascii="宋体" w:hAnsi="宋体"/>
                <w:sz w:val="21"/>
                <w:szCs w:val="21"/>
                <w:highlight w:val="none"/>
              </w:rPr>
              <w:t>支持配置扫描参数，包括扫描目录、后缀，以及例外的目录、文件、文件hash、进程镜像文件和后缀以及是否扫描网络盘</w:t>
            </w:r>
          </w:p>
        </w:tc>
      </w:tr>
      <w:tr w14:paraId="01AC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6192F13A">
            <w:pPr>
              <w:rPr>
                <w:rFonts w:hint="eastAsia" w:ascii="宋体" w:hAnsi="宋体" w:cs="宋体"/>
                <w:b/>
                <w:bCs/>
                <w:color w:val="000000"/>
                <w:sz w:val="21"/>
                <w:szCs w:val="21"/>
                <w:highlight w:val="none"/>
                <w:lang w:bidi="ar"/>
              </w:rPr>
            </w:pPr>
          </w:p>
        </w:tc>
        <w:tc>
          <w:tcPr>
            <w:tcW w:w="4096" w:type="pct"/>
            <w:noWrap w:val="0"/>
            <w:vAlign w:val="bottom"/>
          </w:tcPr>
          <w:p w14:paraId="2D10A75A">
            <w:pPr>
              <w:rPr>
                <w:rFonts w:hint="eastAsia" w:ascii="宋体" w:hAnsi="宋体" w:cs="宋体"/>
                <w:color w:val="000000"/>
                <w:sz w:val="21"/>
                <w:szCs w:val="21"/>
                <w:highlight w:val="none"/>
                <w:lang w:bidi="ar"/>
              </w:rPr>
            </w:pPr>
            <w:r>
              <w:rPr>
                <w:rFonts w:hint="eastAsia" w:ascii="宋体" w:hAnsi="宋体"/>
                <w:sz w:val="21"/>
                <w:szCs w:val="21"/>
                <w:highlight w:val="none"/>
              </w:rPr>
              <w:t>支持配置自动响应策略，响应措施包括：仅记录、隔离、清除、拒绝访问，并且支持配置自动响应的生效目录和后缀和生效时间</w:t>
            </w:r>
          </w:p>
        </w:tc>
      </w:tr>
      <w:tr w14:paraId="79B0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284CB8E0">
            <w:pPr>
              <w:rPr>
                <w:rFonts w:hint="eastAsia" w:ascii="宋体" w:hAnsi="宋体" w:cs="宋体"/>
                <w:b/>
                <w:bCs/>
                <w:color w:val="000000"/>
                <w:sz w:val="21"/>
                <w:szCs w:val="21"/>
                <w:highlight w:val="none"/>
                <w:lang w:bidi="ar"/>
              </w:rPr>
            </w:pPr>
          </w:p>
        </w:tc>
        <w:tc>
          <w:tcPr>
            <w:tcW w:w="4096" w:type="pct"/>
            <w:noWrap w:val="0"/>
            <w:vAlign w:val="bottom"/>
          </w:tcPr>
          <w:p w14:paraId="6E2F615C">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w:t>
            </w:r>
            <w:r>
              <w:rPr>
                <w:rFonts w:hint="eastAsia" w:ascii="宋体" w:hAnsi="宋体" w:cs="宋体"/>
                <w:sz w:val="21"/>
                <w:szCs w:val="21"/>
                <w:highlight w:val="none"/>
                <w:lang w:bidi="ar"/>
              </w:rPr>
              <w:t>支持扫描办公文件、压缩文件、勒索/挖矿病毒、文本文件等各种类型文件。</w:t>
            </w:r>
            <w:r>
              <w:rPr>
                <w:rFonts w:hint="eastAsia" w:ascii="宋体" w:hAnsi="宋体"/>
                <w:sz w:val="21"/>
                <w:szCs w:val="21"/>
                <w:highlight w:val="none"/>
              </w:rPr>
              <w:t>压缩文件扫描支持配置扫描参数：</w:t>
            </w:r>
            <w:r>
              <w:rPr>
                <w:rFonts w:hint="eastAsia" w:ascii="宋体" w:hAnsi="宋体" w:cs="宋体"/>
                <w:sz w:val="21"/>
                <w:szCs w:val="21"/>
                <w:highlight w:val="none"/>
                <w:lang w:bidi="ar"/>
              </w:rPr>
              <w:t>压缩层级</w:t>
            </w:r>
            <w:r>
              <w:rPr>
                <w:rFonts w:hint="eastAsia" w:ascii="宋体" w:hAnsi="宋体"/>
                <w:sz w:val="21"/>
                <w:szCs w:val="21"/>
                <w:highlight w:val="none"/>
              </w:rPr>
              <w:t>、单文件大小、单压缩包最多可解压文件数量；</w:t>
            </w:r>
            <w:r>
              <w:rPr>
                <w:rFonts w:hint="eastAsia" w:ascii="宋体" w:hAnsi="宋体" w:cs="宋体"/>
                <w:color w:val="000000"/>
                <w:sz w:val="21"/>
                <w:szCs w:val="21"/>
                <w:highlight w:val="none"/>
                <w:lang w:bidi="ar"/>
              </w:rPr>
              <w:t>（提供截图证明）</w:t>
            </w:r>
          </w:p>
        </w:tc>
      </w:tr>
      <w:tr w14:paraId="532C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2422E11D">
            <w:pPr>
              <w:rPr>
                <w:rFonts w:hint="eastAsia" w:ascii="宋体" w:hAnsi="宋体" w:cs="宋体"/>
                <w:b/>
                <w:bCs/>
                <w:color w:val="000000"/>
                <w:sz w:val="21"/>
                <w:szCs w:val="21"/>
                <w:highlight w:val="none"/>
                <w:lang w:bidi="ar"/>
              </w:rPr>
            </w:pPr>
          </w:p>
        </w:tc>
        <w:tc>
          <w:tcPr>
            <w:tcW w:w="4096" w:type="pct"/>
            <w:noWrap w:val="0"/>
            <w:vAlign w:val="bottom"/>
          </w:tcPr>
          <w:p w14:paraId="2D1569BF">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支持不对正常的系统程序文件、应用程序文件、程序代码和数据等产生误报警（提供CNAS测试报告且检测结果为符合）</w:t>
            </w:r>
          </w:p>
        </w:tc>
      </w:tr>
      <w:tr w14:paraId="76F37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11CF6A1C">
            <w:pPr>
              <w:rPr>
                <w:rFonts w:hint="eastAsia" w:ascii="宋体" w:hAnsi="宋体" w:cs="宋体"/>
                <w:b/>
                <w:bCs/>
                <w:color w:val="000000"/>
                <w:sz w:val="21"/>
                <w:szCs w:val="21"/>
                <w:highlight w:val="none"/>
                <w:lang w:bidi="ar"/>
              </w:rPr>
            </w:pPr>
          </w:p>
        </w:tc>
        <w:tc>
          <w:tcPr>
            <w:tcW w:w="4096" w:type="pct"/>
            <w:noWrap w:val="0"/>
            <w:vAlign w:val="center"/>
          </w:tcPr>
          <w:p w14:paraId="4808D326">
            <w:pPr>
              <w:rPr>
                <w:rFonts w:hint="eastAsia" w:ascii="宋体" w:hAnsi="宋体" w:cs="宋体"/>
                <w:color w:val="000000"/>
                <w:sz w:val="21"/>
                <w:szCs w:val="21"/>
                <w:highlight w:val="none"/>
                <w:lang w:bidi="ar"/>
              </w:rPr>
            </w:pPr>
            <w:r>
              <w:rPr>
                <w:rFonts w:hint="eastAsia" w:ascii="宋体" w:hAnsi="宋体" w:cs="宋体"/>
                <w:sz w:val="21"/>
                <w:szCs w:val="21"/>
                <w:highlight w:val="none"/>
                <w:lang w:bidi="ar"/>
              </w:rPr>
              <w:t>支持对防病毒扫描过程中的CPU占用比例进行手动设定，保障不影响正常业务</w:t>
            </w:r>
          </w:p>
        </w:tc>
      </w:tr>
      <w:tr w14:paraId="3041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4A53423C">
            <w:pPr>
              <w:rPr>
                <w:rFonts w:hint="eastAsia" w:ascii="宋体" w:hAnsi="宋体" w:cs="宋体"/>
                <w:b/>
                <w:bCs/>
                <w:color w:val="000000"/>
                <w:sz w:val="21"/>
                <w:szCs w:val="21"/>
                <w:highlight w:val="none"/>
                <w:lang w:bidi="ar"/>
              </w:rPr>
            </w:pPr>
          </w:p>
        </w:tc>
        <w:tc>
          <w:tcPr>
            <w:tcW w:w="4096" w:type="pct"/>
            <w:noWrap w:val="0"/>
            <w:vAlign w:val="bottom"/>
          </w:tcPr>
          <w:p w14:paraId="08B06089">
            <w:pPr>
              <w:rPr>
                <w:rFonts w:hint="eastAsia" w:ascii="宋体" w:hAnsi="宋体" w:cs="宋体"/>
                <w:color w:val="000000"/>
                <w:sz w:val="21"/>
                <w:szCs w:val="21"/>
                <w:highlight w:val="none"/>
                <w:lang w:bidi="ar"/>
              </w:rPr>
            </w:pPr>
            <w:r>
              <w:rPr>
                <w:rFonts w:hint="eastAsia" w:ascii="宋体" w:hAnsi="宋体" w:cs="宋体"/>
                <w:sz w:val="21"/>
                <w:szCs w:val="21"/>
                <w:highlight w:val="none"/>
              </w:rPr>
              <w:t>支持切换内核级落盘查杀，勒索病毒落盘即拦截，确保恶意文件无法运行；具备无文件攻击检测能力，支持无文件攻击防护统计（提供截图证明）</w:t>
            </w:r>
          </w:p>
        </w:tc>
      </w:tr>
      <w:tr w14:paraId="4719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549D4ABA">
            <w:pPr>
              <w:rPr>
                <w:rFonts w:hint="eastAsia" w:ascii="宋体" w:hAnsi="宋体" w:cs="宋体"/>
                <w:b/>
                <w:bCs/>
                <w:color w:val="000000"/>
                <w:sz w:val="21"/>
                <w:szCs w:val="21"/>
                <w:highlight w:val="none"/>
                <w:lang w:bidi="ar"/>
              </w:rPr>
            </w:pPr>
          </w:p>
        </w:tc>
        <w:tc>
          <w:tcPr>
            <w:tcW w:w="4096" w:type="pct"/>
            <w:noWrap w:val="0"/>
            <w:vAlign w:val="center"/>
          </w:tcPr>
          <w:p w14:paraId="5EC6BC09">
            <w:pPr>
              <w:rPr>
                <w:rFonts w:hint="eastAsia" w:ascii="宋体" w:hAnsi="宋体" w:cs="宋体"/>
                <w:color w:val="000000"/>
                <w:sz w:val="21"/>
                <w:szCs w:val="21"/>
                <w:highlight w:val="none"/>
                <w:lang w:bidi="ar"/>
              </w:rPr>
            </w:pPr>
            <w:r>
              <w:rPr>
                <w:rFonts w:hint="eastAsia" w:ascii="宋体" w:hAnsi="宋体" w:cs="宋体"/>
                <w:sz w:val="21"/>
                <w:szCs w:val="21"/>
                <w:highlight w:val="none"/>
                <w:lang w:bidi="ar"/>
              </w:rPr>
              <w:t>支持主机综合安全态势可视化大屏展示能力；支持生成安全报表，并导出word格式，支持自定义时间范围生成安全报表。</w:t>
            </w:r>
          </w:p>
        </w:tc>
      </w:tr>
      <w:tr w14:paraId="42CA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restart"/>
            <w:noWrap w:val="0"/>
            <w:vAlign w:val="center"/>
          </w:tcPr>
          <w:p w14:paraId="51D7F265">
            <w:pPr>
              <w:rPr>
                <w:rFonts w:hint="eastAsia" w:ascii="宋体" w:hAnsi="宋体" w:cs="宋体"/>
                <w:b/>
                <w:bCs/>
                <w:color w:val="000000"/>
                <w:sz w:val="21"/>
                <w:szCs w:val="21"/>
                <w:highlight w:val="none"/>
                <w:lang w:bidi="ar"/>
              </w:rPr>
            </w:pPr>
            <w:r>
              <w:rPr>
                <w:rFonts w:hint="eastAsia" w:ascii="宋体" w:hAnsi="宋体" w:cs="宋体"/>
                <w:color w:val="000000"/>
                <w:sz w:val="21"/>
                <w:szCs w:val="21"/>
                <w:highlight w:val="none"/>
                <w:lang w:bidi="ar"/>
              </w:rPr>
              <w:t>平台管理</w:t>
            </w:r>
          </w:p>
        </w:tc>
        <w:tc>
          <w:tcPr>
            <w:tcW w:w="4096" w:type="pct"/>
            <w:noWrap w:val="0"/>
            <w:vAlign w:val="center"/>
          </w:tcPr>
          <w:p w14:paraId="0808BB7B">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支持用户操作超时配置、登录失败账户锁定、单端登录、认证密码复杂度、密码修改周期等配置能力</w:t>
            </w:r>
          </w:p>
        </w:tc>
      </w:tr>
      <w:tr w14:paraId="1956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1FD0910A">
            <w:pPr>
              <w:rPr>
                <w:rFonts w:hint="eastAsia" w:ascii="宋体" w:hAnsi="宋体" w:cs="宋体"/>
                <w:b/>
                <w:bCs/>
                <w:color w:val="000000"/>
                <w:sz w:val="21"/>
                <w:szCs w:val="21"/>
                <w:highlight w:val="none"/>
                <w:lang w:bidi="ar"/>
              </w:rPr>
            </w:pPr>
          </w:p>
        </w:tc>
        <w:tc>
          <w:tcPr>
            <w:tcW w:w="4096" w:type="pct"/>
            <w:noWrap w:val="0"/>
            <w:vAlign w:val="center"/>
          </w:tcPr>
          <w:p w14:paraId="68DFB7F8">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支持超级管理员、系统管理员、审计员、租户角色，超级管理员可查看不同租户的数据。支持自由创建角色，并分配权限；支持机构管理能力，针对机构分配测试或证实授权</w:t>
            </w:r>
          </w:p>
        </w:tc>
      </w:tr>
      <w:tr w14:paraId="4A352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4A8E2FFF">
            <w:pPr>
              <w:rPr>
                <w:rFonts w:hint="eastAsia" w:ascii="宋体" w:hAnsi="宋体" w:cs="宋体"/>
                <w:b/>
                <w:bCs/>
                <w:color w:val="000000"/>
                <w:sz w:val="21"/>
                <w:szCs w:val="21"/>
                <w:highlight w:val="none"/>
                <w:lang w:bidi="ar"/>
              </w:rPr>
            </w:pPr>
          </w:p>
        </w:tc>
        <w:tc>
          <w:tcPr>
            <w:tcW w:w="4096" w:type="pct"/>
            <w:noWrap w:val="0"/>
            <w:vAlign w:val="center"/>
          </w:tcPr>
          <w:p w14:paraId="7FE5EF4A">
            <w:pPr>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支持Syslog日志外发，提供外部接口与南方电网公司云盾系统对接,并负责完成对接与集成工作（提供原厂承诺函）</w:t>
            </w:r>
          </w:p>
        </w:tc>
      </w:tr>
      <w:tr w14:paraId="6ED3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restart"/>
            <w:noWrap w:val="0"/>
            <w:vAlign w:val="center"/>
          </w:tcPr>
          <w:p w14:paraId="12210FA4">
            <w:pPr>
              <w:rPr>
                <w:rFonts w:hint="eastAsia" w:ascii="宋体" w:hAnsi="宋体" w:cs="宋体"/>
                <w:b/>
                <w:bCs/>
                <w:color w:val="000000"/>
                <w:sz w:val="21"/>
                <w:szCs w:val="21"/>
                <w:highlight w:val="none"/>
                <w:lang w:bidi="ar"/>
              </w:rPr>
            </w:pPr>
            <w:r>
              <w:rPr>
                <w:rFonts w:hint="eastAsia" w:ascii="宋体" w:hAnsi="宋体" w:cs="宋体"/>
                <w:color w:val="000000"/>
                <w:sz w:val="21"/>
                <w:szCs w:val="21"/>
                <w:highlight w:val="none"/>
                <w:lang w:bidi="ar"/>
              </w:rPr>
              <w:t>资质要求</w:t>
            </w:r>
          </w:p>
        </w:tc>
        <w:tc>
          <w:tcPr>
            <w:tcW w:w="4096" w:type="pct"/>
            <w:noWrap w:val="0"/>
            <w:vAlign w:val="bottom"/>
          </w:tcPr>
          <w:p w14:paraId="5277B3CC">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提供《计算机软件著作权登记证书》证书。</w:t>
            </w:r>
          </w:p>
        </w:tc>
      </w:tr>
      <w:tr w14:paraId="43F5D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pct"/>
            <w:vMerge w:val="continue"/>
            <w:noWrap w:val="0"/>
            <w:vAlign w:val="center"/>
          </w:tcPr>
          <w:p w14:paraId="38BC841F">
            <w:pPr>
              <w:rPr>
                <w:rFonts w:hint="eastAsia" w:ascii="宋体" w:hAnsi="宋体" w:cs="宋体"/>
                <w:b/>
                <w:bCs/>
                <w:color w:val="000000"/>
                <w:sz w:val="21"/>
                <w:szCs w:val="21"/>
                <w:highlight w:val="none"/>
                <w:lang w:bidi="ar"/>
              </w:rPr>
            </w:pPr>
          </w:p>
        </w:tc>
        <w:tc>
          <w:tcPr>
            <w:tcW w:w="4096" w:type="pct"/>
            <w:noWrap w:val="0"/>
            <w:vAlign w:val="bottom"/>
          </w:tcPr>
          <w:p w14:paraId="6C321A1E">
            <w:pPr>
              <w:rPr>
                <w:rFonts w:hint="eastAsia" w:ascii="宋体" w:hAnsi="宋体" w:cs="宋体"/>
                <w:color w:val="000000"/>
                <w:sz w:val="21"/>
                <w:szCs w:val="21"/>
                <w:highlight w:val="none"/>
                <w:lang w:bidi="ar"/>
              </w:rPr>
            </w:pPr>
            <w:r>
              <w:rPr>
                <w:rFonts w:hint="eastAsia" w:ascii="宋体" w:hAnsi="宋体" w:cs="宋体"/>
                <w:color w:val="000000"/>
                <w:sz w:val="21"/>
                <w:szCs w:val="21"/>
                <w:highlight w:val="none"/>
                <w:lang w:bidi="ar"/>
              </w:rPr>
              <w:t>提供产品类型为“病毒防治产品”的《网络安全专用产品安全检测证书》证书。</w:t>
            </w:r>
          </w:p>
        </w:tc>
      </w:tr>
      <w:tr w14:paraId="3FE8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3" w:type="dxa"/>
            <w:noWrap w:val="0"/>
            <w:vAlign w:val="center"/>
          </w:tcPr>
          <w:p w14:paraId="2EE2FF30">
            <w:pPr>
              <w:rPr>
                <w:rFonts w:hint="eastAsia" w:ascii="宋体" w:hAnsi="宋体" w:cs="宋体"/>
                <w:b/>
                <w:bCs/>
                <w:color w:val="000000"/>
                <w:sz w:val="21"/>
                <w:szCs w:val="21"/>
                <w:highlight w:val="none"/>
                <w:lang w:bidi="ar"/>
              </w:rPr>
            </w:pPr>
            <w:r>
              <w:rPr>
                <w:rFonts w:ascii="宋体" w:hAnsi="宋体" w:cs="宋体"/>
                <w:color w:val="000000"/>
                <w:sz w:val="21"/>
                <w:szCs w:val="21"/>
                <w:highlight w:val="none"/>
              </w:rPr>
              <w:t>★</w:t>
            </w:r>
            <w:r>
              <w:rPr>
                <w:rFonts w:hint="eastAsia" w:ascii="宋体" w:hAnsi="宋体" w:eastAsia="宋体" w:cs="宋体"/>
                <w:sz w:val="21"/>
                <w:szCs w:val="21"/>
                <w:highlight w:val="none"/>
                <w:lang w:eastAsia="zh-CN"/>
              </w:rPr>
              <w:t>自主可控要求</w:t>
            </w:r>
          </w:p>
        </w:tc>
        <w:tc>
          <w:tcPr>
            <w:tcW w:w="7590" w:type="dxa"/>
            <w:noWrap w:val="0"/>
            <w:vAlign w:val="bottom"/>
          </w:tcPr>
          <w:p w14:paraId="00992F21">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需提供软件物料清单(SBOM)，详细列明软件所包含的所有组件、库、依赖项及其版本、许可证和来源信息，并满足合规性要求，交付的软件不能有高危及以上漏洞，软件部署运行环境须满足以下要求，并提供证明材料；</w:t>
            </w:r>
          </w:p>
          <w:p w14:paraId="330C821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2.软件部署运行环境须满足以下要求：</w:t>
            </w:r>
          </w:p>
          <w:p w14:paraId="2E0A9424">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1）CPU：该软件兼容通过国家安全可靠测评的 CPU（ARM、X86、MIPS）架构。</w:t>
            </w:r>
          </w:p>
          <w:p w14:paraId="3B461C16">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2）操作系统：该软件兼容 UOS、麒麟等linux类型的桌面自主可控操作系统和服务器自主可控操作系统。</w:t>
            </w:r>
          </w:p>
          <w:p w14:paraId="2A0DC9F3">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3）数据库：该软件兼容达梦等关系数据库。</w:t>
            </w:r>
          </w:p>
          <w:p w14:paraId="0D60133E">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4）应用服务器中间件：该软件兼容中创等应用服务器中间件。</w:t>
            </w:r>
          </w:p>
          <w:p w14:paraId="31FD0F72">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5）浏览器：兼容自主可控终端下的奇安信浏览器、360安全浏览器。</w:t>
            </w:r>
          </w:p>
          <w:p w14:paraId="565229FD">
            <w:pPr>
              <w:jc w:val="left"/>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3.本项目所采购的软件产品100%为国产自主可控软件，如软件涉及境外厂商开发、境外版权所有、境外主体提供，涉及境外组件、境外模块、境外云服务、境外接口依赖，需做申明。</w:t>
            </w:r>
          </w:p>
          <w:p w14:paraId="407DAFDB">
            <w:pPr>
              <w:rPr>
                <w:rFonts w:hint="eastAsia" w:ascii="宋体" w:hAnsi="宋体" w:cs="宋体"/>
                <w:color w:val="000000"/>
                <w:sz w:val="21"/>
                <w:szCs w:val="21"/>
                <w:highlight w:val="none"/>
                <w:lang w:bidi="ar"/>
              </w:rPr>
            </w:pPr>
            <w:r>
              <w:rPr>
                <w:rFonts w:hint="eastAsia" w:ascii="宋体" w:hAnsi="宋体" w:eastAsia="宋体" w:cs="宋体"/>
                <w:i w:val="0"/>
                <w:iCs w:val="0"/>
                <w:color w:val="000000"/>
                <w:kern w:val="0"/>
                <w:sz w:val="21"/>
                <w:szCs w:val="21"/>
                <w:u w:val="none"/>
                <w:lang w:val="en-US" w:eastAsia="zh-CN" w:bidi="ar"/>
              </w:rPr>
              <w:t>4.原厂需就以上要求提供自主可控承诺函并加盖原厂公章。</w:t>
            </w:r>
            <w:bookmarkStart w:id="74" w:name="_GoBack"/>
            <w:bookmarkEnd w:id="74"/>
          </w:p>
        </w:tc>
      </w:tr>
    </w:tbl>
    <w:p w14:paraId="35ECD362">
      <w:pPr>
        <w:pStyle w:val="4"/>
        <w:numPr>
          <w:ilvl w:val="0"/>
          <w:numId w:val="4"/>
        </w:numPr>
        <w:spacing w:before="0" w:after="0" w:line="360" w:lineRule="auto"/>
        <w:rPr>
          <w:rFonts w:hint="eastAsia" w:ascii="宋体" w:hAnsi="宋体" w:cs="宋体"/>
          <w:kern w:val="0"/>
          <w:sz w:val="24"/>
          <w:szCs w:val="24"/>
        </w:rPr>
      </w:pPr>
      <w:bookmarkStart w:id="27" w:name="_Toc221610058"/>
      <w:bookmarkEnd w:id="27"/>
      <w:bookmarkStart w:id="28" w:name="_Toc221619634"/>
      <w:bookmarkEnd w:id="28"/>
      <w:bookmarkStart w:id="29" w:name="_Toc221617189"/>
      <w:bookmarkEnd w:id="29"/>
      <w:bookmarkStart w:id="30" w:name="_Toc221619632"/>
      <w:bookmarkEnd w:id="30"/>
      <w:bookmarkStart w:id="31" w:name="_Toc221617188"/>
      <w:bookmarkEnd w:id="31"/>
      <w:bookmarkStart w:id="32" w:name="_Toc221610060"/>
      <w:bookmarkEnd w:id="32"/>
      <w:bookmarkStart w:id="33" w:name="_Toc221617186"/>
      <w:bookmarkEnd w:id="33"/>
      <w:bookmarkStart w:id="34" w:name="_Toc221619633"/>
      <w:bookmarkEnd w:id="34"/>
      <w:bookmarkStart w:id="35" w:name="_Toc221610059"/>
      <w:bookmarkEnd w:id="35"/>
      <w:bookmarkStart w:id="36" w:name="_Toc221617187"/>
      <w:bookmarkEnd w:id="36"/>
      <w:bookmarkStart w:id="37" w:name="_Toc221610057"/>
      <w:bookmarkEnd w:id="37"/>
      <w:bookmarkStart w:id="38" w:name="_Toc221619631"/>
      <w:bookmarkEnd w:id="38"/>
      <w:bookmarkStart w:id="39" w:name="_Toc15293"/>
      <w:bookmarkStart w:id="40" w:name="_Toc27549_WPSOffice_Level1"/>
      <w:bookmarkStart w:id="41" w:name="_Toc4389_WPSOffice_Level1"/>
      <w:bookmarkStart w:id="42" w:name="_Toc2323"/>
      <w:r>
        <w:rPr>
          <w:rFonts w:hint="eastAsia" w:ascii="宋体" w:hAnsi="宋体" w:cs="宋体"/>
          <w:kern w:val="0"/>
          <w:sz w:val="24"/>
          <w:szCs w:val="24"/>
        </w:rPr>
        <w:t>资料管理</w:t>
      </w:r>
      <w:bookmarkEnd w:id="39"/>
      <w:bookmarkEnd w:id="40"/>
      <w:bookmarkEnd w:id="41"/>
      <w:bookmarkEnd w:id="42"/>
    </w:p>
    <w:p w14:paraId="43D9C2A7">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5F7075EC">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投标方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5AF97F9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045599E3">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7EEAD226">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06AB9C0E">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2415E6F0">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085A7D0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6C8ECAE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3B9BDF6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1F2F657F">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581D8B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88F9C54">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2CC2EC7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385C168E">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7D62E9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E5CCB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0EED5686">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4D7FA4F">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06586CC6">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35581675">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011B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02F3517F">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178E8A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5CAE18A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3024FE4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6ACF3030">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0F74BBEB">
      <w:pPr>
        <w:numPr>
          <w:ilvl w:val="1"/>
          <w:numId w:val="4"/>
        </w:numPr>
        <w:adjustRightInd w:val="0"/>
        <w:spacing w:line="360" w:lineRule="auto"/>
        <w:ind w:left="0" w:firstLine="0"/>
        <w:outlineLvl w:val="1"/>
        <w:rPr>
          <w:rFonts w:hint="eastAsia" w:ascii="宋体" w:hAnsi="宋体" w:cs="宋体"/>
          <w:sz w:val="24"/>
        </w:rPr>
      </w:pPr>
      <w:bookmarkStart w:id="44" w:name="_Toc270322070"/>
      <w:r>
        <w:rPr>
          <w:rFonts w:hint="eastAsia" w:ascii="宋体" w:hAnsi="宋体" w:cs="宋体"/>
          <w:sz w:val="24"/>
          <w:lang w:eastAsia="zh-CN"/>
        </w:rPr>
        <w:t>报价人</w:t>
      </w:r>
      <w:r>
        <w:rPr>
          <w:rFonts w:hint="eastAsia" w:ascii="宋体" w:hAnsi="宋体" w:cs="宋体"/>
          <w:sz w:val="24"/>
        </w:rPr>
        <w:t>的责任</w:t>
      </w:r>
      <w:bookmarkEnd w:id="44"/>
    </w:p>
    <w:p w14:paraId="6F75A84D">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281E6CCF">
      <w:pPr>
        <w:pStyle w:val="4"/>
        <w:numPr>
          <w:ilvl w:val="0"/>
          <w:numId w:val="4"/>
        </w:numPr>
        <w:spacing w:before="0" w:after="0" w:line="360" w:lineRule="auto"/>
        <w:rPr>
          <w:rFonts w:hint="eastAsia" w:ascii="宋体" w:hAnsi="宋体"/>
          <w:kern w:val="0"/>
          <w:sz w:val="24"/>
          <w:szCs w:val="24"/>
        </w:rPr>
      </w:pPr>
      <w:bookmarkStart w:id="45" w:name="_Toc58225921"/>
      <w:bookmarkStart w:id="46" w:name="_Toc27007"/>
      <w:bookmarkStart w:id="47" w:name="_Toc27515"/>
      <w:bookmarkStart w:id="48" w:name="_Toc31121_WPSOffice_Level1"/>
      <w:bookmarkStart w:id="49" w:name="_Toc5523"/>
      <w:bookmarkStart w:id="50" w:name="_Toc8849_WPSOffice_Level1"/>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23A31E73">
      <w:pPr>
        <w:tabs>
          <w:tab w:val="left" w:pos="1148"/>
        </w:tabs>
        <w:spacing w:line="360" w:lineRule="auto"/>
        <w:ind w:firstLine="480"/>
        <w:jc w:val="left"/>
        <w:rPr>
          <w:rFonts w:hint="eastAsia" w:ascii="宋体" w:hAnsi="宋体" w:cs="宋体"/>
          <w:sz w:val="24"/>
        </w:rPr>
      </w:pPr>
      <w:bookmarkStart w:id="52" w:name="_Toc17375_WPSOffice_Level1"/>
      <w:bookmarkStart w:id="53" w:name="_Toc317690130"/>
      <w:bookmarkStart w:id="54" w:name="_Toc20893"/>
      <w:bookmarkStart w:id="55" w:name="_Toc317689842"/>
      <w:bookmarkStart w:id="56" w:name="_Toc8224_WPSOffice_Level1"/>
      <w:bookmarkStart w:id="57" w:name="_Toc23917"/>
      <w:bookmarkStart w:id="58" w:name="_Toc32297"/>
      <w:bookmarkStart w:id="59" w:name="_Toc317067408"/>
      <w:bookmarkStart w:id="60" w:name="_Toc58225922"/>
      <w:r>
        <w:rPr>
          <w:rFonts w:hint="eastAsia" w:ascii="宋体" w:hAnsi="宋体" w:cs="宋体"/>
          <w:sz w:val="24"/>
        </w:rPr>
        <w:t>在产品质保期内有制造质量的货物，由供货方负责修理或更换。对非甲方责任造成的货物损坏，供货方有优先提供更换的义务。</w:t>
      </w:r>
    </w:p>
    <w:p w14:paraId="19E96CAF">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20209702">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26C52A11">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5B89274D">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0FD2E33D">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在用户发现软件缺陷时，投标方必须在用户提出维护要求的2小时内作出响应，24小时内提交故障分析报告和解决方案，48小时内故障得以解决。</w:t>
      </w:r>
    </w:p>
    <w:p w14:paraId="539B12F7">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重大软件故障时，投标方应在接到故障电话后4小时到达现场，24小时内修复故障。</w:t>
      </w:r>
    </w:p>
    <w:p w14:paraId="6F83552D">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在有新的系统补丁或升级版本时，在征得用户同意的情况下可进行升级或打补丁。由于未提供给用户补丁或升级而引起的运行故障由投标方负责一切后果。</w:t>
      </w:r>
    </w:p>
    <w:p w14:paraId="293F9132">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4CD8968F">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342E4A7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6490C647">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在用户发现系统缺陷时，投标方必须在用户提出维护要求的2小时内作出响应，24小时内提交故障分析报告和解决方案，48小时内故障得以解决。</w:t>
      </w:r>
    </w:p>
    <w:p w14:paraId="399F8639">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重大系统故障时，投标方应在接到故障电话后4小时到达现场，24小时内修复故障。</w:t>
      </w:r>
    </w:p>
    <w:p w14:paraId="729D761D">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在有新的系统补丁或升级版本时，在征得用户同意的情况下可进行升级或打补丁。由于未提供给用户补丁或升级而引起的运行故障由投标方负责一切后果</w:t>
      </w:r>
      <w:r>
        <w:rPr>
          <w:rFonts w:hint="eastAsia" w:ascii="宋体" w:hAnsi="宋体" w:cs="宋体"/>
        </w:rPr>
        <w:t>。</w:t>
      </w:r>
    </w:p>
    <w:p w14:paraId="26EB6DBC">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7A3082F0">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3DC584D7">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0D55D49E">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6233"/>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2AE6B59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33EBE2E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97B89E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22439_WPSOffice_Level1"/>
      <w:bookmarkStart w:id="63" w:name="_Toc2446"/>
      <w:bookmarkStart w:id="64" w:name="_Toc317689847"/>
      <w:bookmarkStart w:id="65" w:name="_Toc58225924"/>
      <w:bookmarkStart w:id="66" w:name="_Toc1204"/>
      <w:bookmarkStart w:id="67" w:name="_Toc23858"/>
      <w:bookmarkStart w:id="68" w:name="_Toc317690135"/>
      <w:bookmarkStart w:id="69" w:name="_Toc306176806"/>
      <w:bookmarkStart w:id="70" w:name="_Toc4330_WPSOffice_Level1"/>
      <w:bookmarkStart w:id="71" w:name="_Toc4013"/>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6382C85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89848"/>
      <w:bookmarkStart w:id="73" w:name="_Toc317690136"/>
      <w:r>
        <w:rPr>
          <w:rFonts w:hint="eastAsia" w:ascii="宋体" w:hAnsi="宋体" w:eastAsia="宋体" w:cs="宋体"/>
          <w:sz w:val="24"/>
          <w:szCs w:val="24"/>
        </w:rPr>
        <w:t>设备制造完成并通过试验后应及时包装, 否则应得到切实的保护, 确保其不受污损。</w:t>
      </w:r>
      <w:bookmarkEnd w:id="72"/>
      <w:bookmarkEnd w:id="73"/>
    </w:p>
    <w:p w14:paraId="6E04EFD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5432EAE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56D51EC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10090F08">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78C46A5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5E445A7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022264D7">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B9CC1FD">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3E057053">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38DE9C6A">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5359D86B">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兰亭黑简体">
    <w:altName w:val="黑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367BD">
    <w:pPr>
      <w:pStyle w:val="18"/>
      <w:framePr w:wrap="around" w:vAnchor="text" w:hAnchor="margin" w:xAlign="outside" w:y="1"/>
      <w:ind w:firstLine="360"/>
      <w:rPr>
        <w:rStyle w:val="28"/>
        <w:rFonts w:hint="eastAsia"/>
      </w:rPr>
    </w:pPr>
  </w:p>
  <w:p w14:paraId="41CCE47C">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5F6B">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E752C">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8386E60"/>
    <w:rsid w:val="184E1F0C"/>
    <w:rsid w:val="18CA75FE"/>
    <w:rsid w:val="191C334A"/>
    <w:rsid w:val="19460CE0"/>
    <w:rsid w:val="1ABC3C79"/>
    <w:rsid w:val="1B5B5B18"/>
    <w:rsid w:val="1C030936"/>
    <w:rsid w:val="1E7369BB"/>
    <w:rsid w:val="1F366CA9"/>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40736"/>
    <w:rsid w:val="2A3707C8"/>
    <w:rsid w:val="2B937FFC"/>
    <w:rsid w:val="2BD04AB6"/>
    <w:rsid w:val="2CA71D5E"/>
    <w:rsid w:val="2E1B2474"/>
    <w:rsid w:val="2E681E16"/>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9741BB"/>
    <w:rsid w:val="3CA95481"/>
    <w:rsid w:val="3DF25826"/>
    <w:rsid w:val="3DFB21D5"/>
    <w:rsid w:val="3E915CD0"/>
    <w:rsid w:val="3EE038B6"/>
    <w:rsid w:val="3FA465B9"/>
    <w:rsid w:val="3FAD4BAF"/>
    <w:rsid w:val="3FFB571C"/>
    <w:rsid w:val="404359A5"/>
    <w:rsid w:val="40621095"/>
    <w:rsid w:val="40AB38A5"/>
    <w:rsid w:val="410C1392"/>
    <w:rsid w:val="418836F4"/>
    <w:rsid w:val="43BA072D"/>
    <w:rsid w:val="441A4B06"/>
    <w:rsid w:val="455B50DE"/>
    <w:rsid w:val="46CA0DC2"/>
    <w:rsid w:val="46D27786"/>
    <w:rsid w:val="480E7EAC"/>
    <w:rsid w:val="485B1C35"/>
    <w:rsid w:val="494578CA"/>
    <w:rsid w:val="49B332B1"/>
    <w:rsid w:val="4A9F479A"/>
    <w:rsid w:val="4ADB6E6B"/>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83498F"/>
    <w:rsid w:val="54E70157"/>
    <w:rsid w:val="559E1A7D"/>
    <w:rsid w:val="55AE4DBC"/>
    <w:rsid w:val="56D519C0"/>
    <w:rsid w:val="56EA7A59"/>
    <w:rsid w:val="57A24BD5"/>
    <w:rsid w:val="58E40DC6"/>
    <w:rsid w:val="59080598"/>
    <w:rsid w:val="59633ABF"/>
    <w:rsid w:val="5A505458"/>
    <w:rsid w:val="5B131468"/>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943C1C"/>
    <w:rsid w:val="66DE7249"/>
    <w:rsid w:val="671E74D6"/>
    <w:rsid w:val="672E3660"/>
    <w:rsid w:val="67C55FFA"/>
    <w:rsid w:val="684D4E8E"/>
    <w:rsid w:val="6AC91050"/>
    <w:rsid w:val="6B87697A"/>
    <w:rsid w:val="6C20132D"/>
    <w:rsid w:val="6D50338F"/>
    <w:rsid w:val="6D8C35C7"/>
    <w:rsid w:val="6DDD0AD4"/>
    <w:rsid w:val="6E565215"/>
    <w:rsid w:val="6EF275A1"/>
    <w:rsid w:val="6F416438"/>
    <w:rsid w:val="6F453019"/>
    <w:rsid w:val="6F5A360D"/>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96742F"/>
    <w:rsid w:val="77AD35FE"/>
    <w:rsid w:val="77B6211F"/>
    <w:rsid w:val="7811429B"/>
    <w:rsid w:val="78AC6310"/>
    <w:rsid w:val="7A532452"/>
    <w:rsid w:val="7A9E37AF"/>
    <w:rsid w:val="7ABF3754"/>
    <w:rsid w:val="7AFB141C"/>
    <w:rsid w:val="7B9851BE"/>
    <w:rsid w:val="7BAD38DD"/>
    <w:rsid w:val="7C673F2C"/>
    <w:rsid w:val="7D1459C1"/>
    <w:rsid w:val="7D700E1F"/>
    <w:rsid w:val="7DFD5204"/>
    <w:rsid w:val="7EAD4801"/>
    <w:rsid w:val="7EB3400B"/>
    <w:rsid w:val="7EB729B4"/>
    <w:rsid w:val="7EC63350"/>
    <w:rsid w:val="7F9E3966"/>
    <w:rsid w:val="7FA849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8</Pages>
  <Words>3883</Words>
  <Characters>4490</Characters>
  <Lines>25</Lines>
  <Paragraphs>7</Paragraphs>
  <TotalTime>0</TotalTime>
  <ScaleCrop>false</ScaleCrop>
  <LinksUpToDate>false</LinksUpToDate>
  <CharactersWithSpaces>4541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2019-03-04T02:06:00Z</dcterms:created>
  <dc:creator>李曼</dc:creator>
  <cp:lastModifiedBy>WPS</cp:lastModifiedBy>
  <cp:lastPrinted>2020-07-31T02:54:00Z</cp:lastPrinted>
  <dcterms:modified xsi:type="dcterms:W3CDTF">2026-06-18T04:08:50Z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C8E2D626CDDC431898048522DB04608F</vt:lpwstr>
  </property>
  <property fmtid="{D5CDD505-2E9C-101B-9397-08002B2CF9AE}" pid="4" name="KSOTemplateDocerSaveRecord">
    <vt:lpwstr>eyJoZGlkIjoiOWNjZWIzMjExMGMxZGJlYjAwMzYwMTY2NTcxZDM2ODgiLCJ1c2VySWQiOiIzODA0NDY2MjQifQ==</vt:lpwstr>
  </property>
</Properties>
</file>