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360" w:lineRule="auto"/>
        <w:outlineLvl w:val="1"/>
        <w:rPr>
          <w:rFonts w:ascii="仿宋_GB2312" w:hAnsi="仿宋_GB2312" w:eastAsia="仿宋_GB2312" w:cs="仿宋_GB2312"/>
          <w:b/>
          <w:bCs/>
          <w:sz w:val="24"/>
        </w:rPr>
      </w:pPr>
      <w:r>
        <w:rPr>
          <w:rFonts w:hint="eastAsia" w:ascii="仿宋_GB2312" w:hAnsi="仿宋_GB2312" w:eastAsia="仿宋_GB2312" w:cs="仿宋_GB2312"/>
          <w:b/>
          <w:bCs/>
          <w:sz w:val="24"/>
        </w:rPr>
        <w:t>技术参数偏离表</w:t>
      </w:r>
    </w:p>
    <w:p>
      <w:pPr>
        <w:spacing w:line="360" w:lineRule="auto"/>
        <w:rPr>
          <w:rFonts w:ascii="仿宋_GB2312" w:hAnsi="仿宋_GB2312" w:eastAsia="仿宋_GB2312" w:cs="仿宋_GB2312"/>
          <w:i/>
          <w:iCs/>
          <w:color w:val="0000FF"/>
          <w:kern w:val="0"/>
          <w:sz w:val="24"/>
          <w:u w:val="single"/>
          <w:lang w:bidi="ar"/>
        </w:rPr>
      </w:pPr>
      <w:r>
        <w:rPr>
          <w:rFonts w:hint="eastAsia" w:ascii="仿宋_GB2312" w:hAnsi="仿宋_GB2312" w:eastAsia="仿宋_GB2312" w:cs="仿宋_GB2312"/>
          <w:i/>
          <w:iCs/>
          <w:color w:val="0000FF"/>
          <w:kern w:val="0"/>
          <w:sz w:val="24"/>
          <w:u w:val="single"/>
          <w:lang w:bidi="ar"/>
        </w:rPr>
        <w:t>（说明：根据技术参数偏离表的内容及要求，针对响应产品的技术参数响应情况、质保期响应情况、到货期响应情况进行逐条响应明确具体参数。提供盖章文件）</w:t>
      </w:r>
    </w:p>
    <w:p>
      <w:pPr>
        <w:pStyle w:val="6"/>
        <w:rPr>
          <w:b/>
          <w:bCs w:val="0"/>
        </w:rPr>
      </w:pPr>
      <w:r>
        <w:rPr>
          <w:rFonts w:hint="eastAsia"/>
          <w:b/>
          <w:bCs w:val="0"/>
        </w:rPr>
        <w:t>本项目采购的设备须满足自主可控要求。</w:t>
      </w:r>
    </w:p>
    <w:tbl>
      <w:tblPr>
        <w:tblStyle w:val="4"/>
        <w:tblW w:w="4997" w:type="pct"/>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380"/>
        <w:gridCol w:w="1565"/>
        <w:gridCol w:w="453"/>
        <w:gridCol w:w="381"/>
        <w:gridCol w:w="381"/>
        <w:gridCol w:w="1374"/>
        <w:gridCol w:w="4283"/>
        <w:gridCol w:w="540"/>
        <w:gridCol w:w="690"/>
        <w:gridCol w:w="3071"/>
        <w:gridCol w:w="431"/>
        <w:gridCol w:w="431"/>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540" w:hRule="atLeast"/>
          <w:tblHeader/>
        </w:trPr>
        <w:tc>
          <w:tcPr>
            <w:tcW w:w="135" w:type="pct"/>
            <w:tcBorders>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序号</w:t>
            </w:r>
          </w:p>
        </w:tc>
        <w:tc>
          <w:tcPr>
            <w:tcW w:w="559"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项目</w:t>
            </w:r>
          </w:p>
        </w:tc>
        <w:tc>
          <w:tcPr>
            <w:tcW w:w="162"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产品名称</w:t>
            </w:r>
          </w:p>
        </w:tc>
        <w:tc>
          <w:tcPr>
            <w:tcW w:w="136"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数量</w:t>
            </w:r>
          </w:p>
        </w:tc>
        <w:tc>
          <w:tcPr>
            <w:tcW w:w="136"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单位</w:t>
            </w:r>
          </w:p>
        </w:tc>
        <w:tc>
          <w:tcPr>
            <w:tcW w:w="491"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pStyle w:val="7"/>
              <w:rPr>
                <w:rFonts w:hint="default" w:ascii="宋体" w:hAnsi="宋体" w:eastAsia="宋体" w:cs="宋体"/>
                <w:kern w:val="2"/>
                <w:sz w:val="21"/>
                <w:szCs w:val="24"/>
                <w:highlight w:val="none"/>
                <w:lang w:val="en-US" w:eastAsia="zh-CN" w:bidi="ar-SA"/>
              </w:rPr>
            </w:pPr>
            <w:r>
              <w:rPr>
                <w:rFonts w:hint="eastAsia" w:ascii="宋体" w:hAnsi="宋体" w:eastAsia="宋体" w:cs="宋体"/>
                <w:b/>
                <w:bCs/>
                <w:i w:val="0"/>
                <w:iCs w:val="0"/>
                <w:color w:val="000000"/>
                <w:kern w:val="0"/>
                <w:sz w:val="24"/>
                <w:szCs w:val="24"/>
                <w:u w:val="none"/>
                <w:lang w:val="en-US" w:eastAsia="zh-CN" w:bidi="ar"/>
              </w:rPr>
              <w:t>技术指标</w:t>
            </w:r>
          </w:p>
        </w:tc>
        <w:tc>
          <w:tcPr>
            <w:tcW w:w="1531"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pStyle w:val="7"/>
              <w:rPr>
                <w:rFonts w:hint="eastAsia" w:ascii="宋体" w:hAnsi="宋体" w:eastAsia="宋体" w:cs="宋体"/>
                <w:kern w:val="2"/>
                <w:sz w:val="21"/>
                <w:szCs w:val="24"/>
                <w:highlight w:val="none"/>
                <w:lang w:val="en-US" w:eastAsia="zh-CN" w:bidi="ar-SA"/>
              </w:rPr>
            </w:pPr>
            <w:r>
              <w:rPr>
                <w:rFonts w:hint="eastAsia" w:ascii="宋体" w:hAnsi="宋体" w:eastAsia="宋体" w:cs="宋体"/>
                <w:b/>
                <w:color w:val="000000"/>
                <w:kern w:val="0"/>
                <w:sz w:val="24"/>
                <w:lang w:bidi="ar"/>
              </w:rPr>
              <w:t>技术参数要求</w:t>
            </w:r>
          </w:p>
        </w:tc>
        <w:tc>
          <w:tcPr>
            <w:tcW w:w="193"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质保期要求</w:t>
            </w:r>
          </w:p>
        </w:tc>
        <w:tc>
          <w:tcPr>
            <w:tcW w:w="246"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到货期要求</w:t>
            </w:r>
          </w:p>
        </w:tc>
        <w:tc>
          <w:tcPr>
            <w:tcW w:w="1098"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参数响应情况</w:t>
            </w:r>
          </w:p>
        </w:tc>
        <w:tc>
          <w:tcPr>
            <w:tcW w:w="154" w:type="pct"/>
            <w:tcBorders>
              <w:left w:val="single" w:color="000000" w:sz="4" w:space="0"/>
              <w:bottom w:val="single" w:color="auto" w:sz="4" w:space="0"/>
              <w:right w:val="single" w:color="000000"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质保期响应情况</w:t>
            </w:r>
          </w:p>
        </w:tc>
        <w:tc>
          <w:tcPr>
            <w:tcW w:w="154" w:type="pct"/>
            <w:tcBorders>
              <w:left w:val="single" w:color="000000" w:sz="4" w:space="0"/>
              <w:bottom w:val="single" w:color="auto" w:sz="4" w:space="0"/>
            </w:tcBorders>
            <w:shd w:val="clear" w:color="auto" w:fill="FFC000"/>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到货期响应情况</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restart"/>
            <w:tcBorders>
              <w:top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4"/>
                <w:lang w:bidi="ar"/>
              </w:rPr>
            </w:pPr>
            <w:r>
              <w:rPr>
                <w:rFonts w:hint="eastAsia" w:ascii="宋体" w:hAnsi="宋体" w:eastAsia="宋体" w:cs="宋体"/>
                <w:i w:val="0"/>
                <w:iCs w:val="0"/>
                <w:color w:val="000000"/>
                <w:kern w:val="0"/>
                <w:sz w:val="24"/>
                <w:szCs w:val="24"/>
                <w:u w:val="none"/>
                <w:lang w:val="en-US" w:eastAsia="zh-CN" w:bidi="ar"/>
              </w:rPr>
              <w:t>1</w:t>
            </w:r>
          </w:p>
        </w:tc>
        <w:tc>
          <w:tcPr>
            <w:tcW w:w="559"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r>
              <w:rPr>
                <w:rFonts w:hint="eastAsia" w:ascii="宋体" w:hAnsi="宋体" w:eastAsia="宋体" w:cs="宋体"/>
                <w:i w:val="0"/>
                <w:iCs w:val="0"/>
                <w:color w:val="000000"/>
                <w:kern w:val="0"/>
                <w:sz w:val="24"/>
                <w:szCs w:val="24"/>
                <w:u w:val="none"/>
                <w:lang w:val="en-US" w:eastAsia="zh-CN" w:bidi="ar"/>
              </w:rPr>
              <w:t>2026年南方电网数字电网集团有限公司深圳分公司信息类软硬件（全流量检测分析设备、流量汇聚镜像设备、上网行为管理、防病毒系统、数据库审计系统）投标寻源项目（标的1：全流量检测分析设备）</w:t>
            </w:r>
          </w:p>
        </w:tc>
        <w:tc>
          <w:tcPr>
            <w:tcW w:w="16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全流量检测分析设备</w:t>
            </w:r>
          </w:p>
        </w:tc>
        <w:tc>
          <w:tcPr>
            <w:tcW w:w="13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r>
              <w:rPr>
                <w:rFonts w:hint="eastAsia" w:ascii="宋体" w:hAnsi="宋体" w:eastAsia="宋体" w:cs="宋体"/>
                <w:i w:val="0"/>
                <w:iCs w:val="0"/>
                <w:color w:val="000000"/>
                <w:kern w:val="0"/>
                <w:sz w:val="22"/>
                <w:szCs w:val="22"/>
                <w:u w:val="none"/>
                <w:lang w:val="en-US" w:eastAsia="zh-CN" w:bidi="ar"/>
              </w:rPr>
              <w:t>1</w:t>
            </w:r>
          </w:p>
        </w:tc>
        <w:tc>
          <w:tcPr>
            <w:tcW w:w="136"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r>
              <w:rPr>
                <w:rFonts w:hint="eastAsia" w:ascii="宋体" w:hAnsi="宋体" w:eastAsia="宋体" w:cs="宋体"/>
                <w:i w:val="0"/>
                <w:iCs w:val="0"/>
                <w:color w:val="000000"/>
                <w:kern w:val="0"/>
                <w:sz w:val="24"/>
                <w:szCs w:val="24"/>
                <w:u w:val="none"/>
                <w:lang w:val="en-US" w:eastAsia="zh-CN" w:bidi="ar"/>
              </w:rPr>
              <w:t>台</w:t>
            </w:r>
          </w:p>
        </w:tc>
        <w:tc>
          <w:tcPr>
            <w:tcW w:w="13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设备规格</w:t>
            </w:r>
          </w:p>
        </w:tc>
        <w:tc>
          <w:tcPr>
            <w:tcW w:w="42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top"/>
          </w:tcPr>
          <w:p>
            <w:pPr>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★标准机架式设备</w:t>
            </w:r>
          </w:p>
          <w:p>
            <w:pPr>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硬盘：硬盘容量≥90TB；</w:t>
            </w:r>
          </w:p>
          <w:p>
            <w:pPr>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采集网口：≥4个千兆网口、≥2个万兆光口</w:t>
            </w:r>
          </w:p>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▲处理能力≥18000Mbps</w:t>
            </w:r>
          </w:p>
        </w:tc>
        <w:tc>
          <w:tcPr>
            <w:tcW w:w="193"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24"/>
              </w:rPr>
            </w:pPr>
            <w:r>
              <w:rPr>
                <w:rFonts w:hint="eastAsia" w:ascii="宋体" w:hAnsi="宋体" w:eastAsia="宋体" w:cs="宋体"/>
                <w:i w:val="0"/>
                <w:iCs w:val="0"/>
                <w:color w:val="000000"/>
                <w:kern w:val="0"/>
                <w:sz w:val="24"/>
                <w:szCs w:val="24"/>
                <w:u w:val="none"/>
                <w:lang w:val="en-US" w:eastAsia="zh-CN" w:bidi="ar"/>
              </w:rPr>
              <w:t>3年</w:t>
            </w:r>
          </w:p>
        </w:tc>
        <w:tc>
          <w:tcPr>
            <w:tcW w:w="246"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24"/>
              </w:rPr>
            </w:pPr>
            <w:r>
              <w:rPr>
                <w:rFonts w:hint="eastAsia" w:ascii="宋体" w:hAnsi="宋体" w:eastAsia="宋体" w:cs="宋体"/>
                <w:i w:val="0"/>
                <w:iCs w:val="0"/>
                <w:color w:val="000000"/>
                <w:kern w:val="0"/>
                <w:sz w:val="24"/>
                <w:szCs w:val="24"/>
                <w:u w:val="none"/>
                <w:lang w:val="en-US" w:eastAsia="zh-CN" w:bidi="ar"/>
              </w:rPr>
              <w:t>合同签订后30日内</w:t>
            </w:r>
          </w:p>
        </w:tc>
        <w:tc>
          <w:tcPr>
            <w:tcW w:w="109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4"/>
              </w:rPr>
            </w:pPr>
          </w:p>
        </w:tc>
        <w:tc>
          <w:tcPr>
            <w:tcW w:w="154"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both"/>
              <w:rPr>
                <w:rFonts w:ascii="仿宋" w:hAnsi="仿宋" w:eastAsia="仿宋" w:cs="仿宋"/>
                <w:color w:val="000000"/>
                <w:sz w:val="24"/>
              </w:rPr>
            </w:pPr>
          </w:p>
        </w:tc>
        <w:tc>
          <w:tcPr>
            <w:tcW w:w="154" w:type="pct"/>
            <w:vMerge w:val="restart"/>
            <w:tcBorders>
              <w:top w:val="single" w:color="auto" w:sz="4" w:space="0"/>
              <w:left w:val="single" w:color="auto" w:sz="4" w:space="0"/>
            </w:tcBorders>
            <w:shd w:val="clear" w:color="auto" w:fill="auto"/>
            <w:tcMar>
              <w:top w:w="15" w:type="dxa"/>
              <w:left w:w="15" w:type="dxa"/>
              <w:right w:w="15" w:type="dxa"/>
            </w:tcMar>
            <w:vAlign w:val="center"/>
          </w:tcPr>
          <w:p>
            <w:pPr>
              <w:jc w:val="both"/>
              <w:rPr>
                <w:rFonts w:ascii="仿宋" w:hAnsi="仿宋" w:eastAsia="仿宋" w:cs="仿宋"/>
                <w:color w:val="000000"/>
                <w:sz w:val="24"/>
              </w:rPr>
            </w:pPr>
          </w:p>
        </w:tc>
      </w:tr>
      <w:bookmarkEnd w:id="0"/>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sz w:val="24"/>
                <w:szCs w:val="24"/>
                <w:highlight w:val="none"/>
                <w:lang w:val="en-US" w:eastAsia="zh-CN"/>
              </w:rPr>
            </w:pPr>
            <w:r>
              <w:rPr>
                <w:rFonts w:hint="eastAsia" w:ascii="宋体" w:hAnsi="宋体" w:cs="Times New Roman"/>
                <w:sz w:val="24"/>
                <w:szCs w:val="24"/>
                <w:highlight w:val="none"/>
                <w:lang w:val="en-US" w:eastAsia="zh-CN"/>
              </w:rPr>
              <w:t>设备功能</w:t>
            </w:r>
          </w:p>
        </w:tc>
        <w:tc>
          <w:tcPr>
            <w:tcW w:w="428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Times New Roman"/>
                <w:sz w:val="24"/>
                <w:szCs w:val="24"/>
                <w:highlight w:val="none"/>
                <w:lang w:val="en-US" w:eastAsia="zh-CN"/>
              </w:rPr>
            </w:pPr>
            <w:r>
              <w:rPr>
                <w:rFonts w:hint="eastAsia" w:ascii="宋体" w:hAnsi="宋体" w:cs="Times New Roman"/>
                <w:sz w:val="24"/>
                <w:szCs w:val="24"/>
                <w:highlight w:val="none"/>
                <w:lang w:val="en-US" w:eastAsia="zh-CN"/>
              </w:rPr>
              <w:t>该设备为软硬件一体设备，需实现对网络中的原始数据包进行抓取并解码，分析网络流量中是否包含网络攻击行为，能够针对已知与未知威胁进行分析、发现、追踪与取证。</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流量转发</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提供原始流量转发功能，支持将原始流量镜像至指定转发口，供第三方系统接收处理。</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系统日志保存</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本地存储的系统日志至少能够保留6个月</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SNMP 支持</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支持SNMP V2、V3版本协议以接入第三方监控系统</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集群部署</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支持将多台探针形成集群部署，流量镜像通过负载均衡的方式输入多台探针，由探针集群的主设备进行跨设备的流量聚合，聚合后的功能与普通探针端口链路一致，下载数据包时能自动整合不同探针上的数据包到同一份数据包中。</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数据包格式</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支持多格式数据包回放功能，能够将已捕获的数据包文件在系统上进行回放分析，实现与实时采集链路相同的分析功能，抓包格式应支持3种以上，包括cap、pcap、pcapng 等常见格式。</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国产数据库交易解码</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支持主流国产及国际数据库交易解码功能，至少需支持Oracle、MySQL、达梦、GauseDB、人大金仓，支持对数据库交易量、耗时、成功率指标进行统计；以上分析指标支持检索呈现，支持绘制分钟级精度趋势图。</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非标准端口识别</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支持常用协议运行在非标准端口上的识别监测，如协议为远程桌面且端口不为3389、协议为SSH且端口不为22。</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元数据提取</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支持提取协议元数据功能，至少支持30种协议元数据，例如：IPv4、IPv6、icmpv4/v6、OSPF、BGP等；元数据内容包括所有协议标记字段，例如，OSPF的nbr_address邻居地址、LinkStateID链路状态ID等；提取的元数据支持输出至第三方平台进行大数据分析</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统一展示</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采集数据能通过syslog、kafka、API上传至监控展示平台，并通过监控展示平台实现统一呈现，并能实现全局数据特征检索、拓扑生成</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采集器监控</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支持采集服务器监控功能，提供CPU、内存、磁盘IO、服务状态等不少于5项性能指标</w:t>
            </w:r>
          </w:p>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监控平台可下发巡检策略，对采集服务器进行周期性巡检，及时发现由于性能导致数据不采集，数据采集丢失等问题</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加密传输</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提供B/S和C/S两种链接方式，可通过数据检索控制台客户端远程登陆服务器进行高效数据分析和调取原始数据包分析，并可配置数据加密传输。能通过WEB页面对服务器采集性能进行监控，包括采集链路占用内存，数据包/字节数/乱序，分析时延，数据包缓存大小，存储数据合并时间，存储数据压缩时间，BadLen、CrcErr、ProErr等。</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解码分析</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提供国产自主可控知识产权的解码软件，解码软件可PC主机部署，对终端网卡进行抓包分析；解码软件具备智能诊断功能，能自动诊断包括：HTTP错误、SMTP/POP3服务器慢响应、SMTP/POP3服务器返回错误、FTP服务器慢响应、FTP服务器错误、TCP连接被拒绝、TCP非法校验和、TCP重复的连接尝试、TCP头部偏移错误、TCPSYN带数据、IPTTL太小、IP地址冲突、路由环路等常见故障场景。</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数据分析</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▲提供高效分析指标功能，分析指标应至少包括8种，包括：比特率、总字节数、流量占比、状态、客户端/服务器RTT、会话开始/结束时间、连接建立时间、客户端/服务器TCP分段丢失率等。</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多维度展示</w:t>
            </w:r>
          </w:p>
        </w:tc>
        <w:tc>
          <w:tcPr>
            <w:tcW w:w="428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sz w:val="24"/>
                <w:szCs w:val="24"/>
                <w:highlight w:val="none"/>
                <w:lang w:val="en-US" w:eastAsia="zh-CN"/>
              </w:rPr>
              <w:t>支持根据设备IP主机、IP会话、TCP会话、数据库交易分析等维度信息展示，各维度展示的所有指标都需支持秒级分析展示能力。</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97" w:hRule="atLeast"/>
        </w:trPr>
        <w:tc>
          <w:tcPr>
            <w:tcW w:w="135" w:type="pct"/>
            <w:vMerge w:val="continue"/>
            <w:tcBorders>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bidi="ar"/>
              </w:rPr>
            </w:pPr>
            <w:bookmarkStart w:id="1" w:name="_GoBack" w:colFirst="5" w:colLast="6"/>
          </w:p>
        </w:tc>
        <w:tc>
          <w:tcPr>
            <w:tcW w:w="559"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eastAsia="zh-CN" w:bidi="ar"/>
              </w:rPr>
            </w:pPr>
          </w:p>
        </w:tc>
        <w:tc>
          <w:tcPr>
            <w:tcW w:w="162"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p>
        </w:tc>
        <w:tc>
          <w:tcPr>
            <w:tcW w:w="13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highlight w:val="none"/>
                <w:lang w:bidi="ar"/>
              </w:rPr>
            </w:pPr>
          </w:p>
        </w:tc>
        <w:tc>
          <w:tcPr>
            <w:tcW w:w="136" w:type="pct"/>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kern w:val="0"/>
                <w:sz w:val="24"/>
                <w:lang w:val="en-US" w:eastAsia="zh-CN" w:bidi="ar"/>
              </w:rPr>
            </w:pPr>
          </w:p>
        </w:tc>
        <w:tc>
          <w:tcPr>
            <w:tcW w:w="1374" w:type="dxa"/>
            <w:tcBorders>
              <w:top w:val="single" w:color="auto" w:sz="4" w:space="0"/>
              <w:left w:val="single" w:color="auto" w:sz="4" w:space="0"/>
              <w:right w:val="single" w:color="auto" w:sz="4" w:space="0"/>
            </w:tcBorders>
            <w:vAlign w:val="center"/>
          </w:tcPr>
          <w:p>
            <w:pPr>
              <w:numPr>
                <w:ilvl w:val="0"/>
                <w:numId w:val="0"/>
              </w:numPr>
              <w:ind w:left="0" w:leftChars="0" w:firstLine="0" w:firstLineChars="0"/>
              <w:jc w:val="left"/>
              <w:rPr>
                <w:rFonts w:hint="eastAsia" w:ascii="宋体" w:hAnsi="宋体" w:eastAsia="宋体" w:cs="Times New Roman"/>
                <w:kern w:val="2"/>
                <w:sz w:val="24"/>
                <w:szCs w:val="24"/>
                <w:highlight w:val="none"/>
                <w:lang w:val="en-US" w:eastAsia="zh-CN" w:bidi="ar-SA"/>
              </w:rPr>
            </w:pPr>
            <w:r>
              <w:rPr>
                <w:rFonts w:hint="eastAsia" w:ascii="宋体" w:hAnsi="宋体" w:eastAsia="宋体" w:cs="宋体"/>
                <w:b w:val="0"/>
                <w:bCs w:val="0"/>
                <w:color w:val="auto"/>
                <w:kern w:val="0"/>
                <w:sz w:val="24"/>
                <w:szCs w:val="24"/>
                <w:lang w:val="en-US" w:eastAsia="zh-CN"/>
              </w:rPr>
              <w:t>★</w:t>
            </w:r>
            <w:r>
              <w:rPr>
                <w:rFonts w:hint="eastAsia" w:ascii="宋体" w:hAnsi="宋体" w:eastAsia="宋体" w:cs="宋体"/>
                <w:sz w:val="24"/>
                <w:szCs w:val="24"/>
                <w:highlight w:val="none"/>
                <w:lang w:eastAsia="zh-CN"/>
              </w:rPr>
              <w:t>自主可控要求</w:t>
            </w:r>
          </w:p>
        </w:tc>
        <w:tc>
          <w:tcPr>
            <w:tcW w:w="4283" w:type="dxa"/>
            <w:tcBorders>
              <w:top w:val="single" w:color="auto" w:sz="4" w:space="0"/>
              <w:left w:val="single" w:color="auto" w:sz="4" w:space="0"/>
              <w:right w:val="single" w:color="auto" w:sz="4" w:space="0"/>
            </w:tcBorders>
            <w:vAlign w:val="center"/>
          </w:tcPr>
          <w:p>
            <w:pPr>
              <w:numPr>
                <w:ilvl w:val="0"/>
                <w:numId w:val="0"/>
              </w:num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1.该设备涉及的主要芯片产品（处理器、DRAM、Flash、安全芯片）需要满足自主可控要求。</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需提供软件物料清单(SBOM)，详细列明软件所包含的所有组件、库、依赖项及其版本、许可证和来源信息，并满足合规性要求，交付的软件不能有高危及以上漏洞，软件部署运行环境须满足以下要求，并提供证明材料；</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3.软件部署运行环境须满足以下要求：</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1）CPU：该软件兼容通过国家安全可靠测评的 CPU（ARM、X86、MIPS）架构。</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2）操作系统：该软件兼容 UOS、麒麟等linux类型的桌面自主可控操作系统和服务器自主可控操作系统。</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3）数据库：该软件兼容达梦等关系数据库。</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4）应用服务器中间件：该软件兼容中创等应用服务器中间件。</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5）浏览器：兼容自主可控终端下的奇安信浏览器、360安全浏览器。</w:t>
            </w:r>
          </w:p>
          <w:p>
            <w:pPr>
              <w:jc w:val="lef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4.本项目所采购的软件产品100%为国产自主可控软件，如软件涉及境外厂商开发、境外版权所有、境外主体提供，涉及境外组件、境外模块、境外云服务、境外接口依赖，需做申明。</w:t>
            </w:r>
          </w:p>
          <w:p>
            <w:pPr>
              <w:rPr>
                <w:rFonts w:hint="eastAsia" w:ascii="宋体" w:hAnsi="宋体" w:eastAsia="宋体" w:cs="Times New Roman"/>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5.原厂需就以上要求提供自主可控承诺函并加盖原厂公章。</w:t>
            </w:r>
          </w:p>
        </w:tc>
        <w:tc>
          <w:tcPr>
            <w:tcW w:w="193"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246" w:type="pct"/>
            <w:vMerge w:val="continue"/>
            <w:tcBorders>
              <w:left w:val="single" w:color="auto" w:sz="4" w:space="0"/>
              <w:right w:val="single" w:color="auto" w:sz="4" w:space="0"/>
            </w:tcBorders>
          </w:tcPr>
          <w:p>
            <w:pPr>
              <w:keepNext w:val="0"/>
              <w:keepLines w:val="0"/>
              <w:widowControl/>
              <w:suppressLineNumbers w:val="0"/>
              <w:jc w:val="center"/>
              <w:textAlignment w:val="center"/>
              <w:rPr>
                <w:rFonts w:hint="eastAsia" w:ascii="宋体" w:hAnsi="宋体" w:eastAsia="宋体" w:cs="宋体"/>
                <w:color w:val="000000"/>
                <w:sz w:val="24"/>
              </w:rPr>
            </w:pPr>
          </w:p>
        </w:tc>
        <w:tc>
          <w:tcPr>
            <w:tcW w:w="1098" w:type="pct"/>
            <w:tcBorders>
              <w:top w:val="single" w:color="auto" w:sz="4" w:space="0"/>
              <w:left w:val="single" w:color="auto" w:sz="4" w:space="0"/>
              <w:right w:val="single" w:color="auto" w:sz="4" w:space="0"/>
            </w:tcBorders>
          </w:tcPr>
          <w:p>
            <w:pPr>
              <w:jc w:val="center"/>
              <w:rPr>
                <w:rFonts w:hint="eastAsia" w:ascii="宋体" w:hAnsi="宋体" w:eastAsia="宋体" w:cs="宋体"/>
                <w:color w:val="000000"/>
                <w:sz w:val="24"/>
              </w:rPr>
            </w:pPr>
          </w:p>
        </w:tc>
        <w:tc>
          <w:tcPr>
            <w:tcW w:w="154" w:type="pct"/>
            <w:vMerge w:val="continue"/>
            <w:tcBorders>
              <w:left w:val="single" w:color="auto" w:sz="4" w:space="0"/>
              <w:right w:val="single" w:color="auto" w:sz="4" w:space="0"/>
            </w:tcBorders>
          </w:tcPr>
          <w:p>
            <w:pPr>
              <w:jc w:val="both"/>
              <w:rPr>
                <w:rFonts w:ascii="仿宋" w:hAnsi="仿宋" w:eastAsia="仿宋" w:cs="仿宋"/>
                <w:color w:val="000000"/>
                <w:sz w:val="24"/>
              </w:rPr>
            </w:pPr>
          </w:p>
        </w:tc>
        <w:tc>
          <w:tcPr>
            <w:tcW w:w="154" w:type="pct"/>
            <w:vMerge w:val="continue"/>
            <w:tcBorders>
              <w:left w:val="single" w:color="auto" w:sz="4" w:space="0"/>
            </w:tcBorders>
          </w:tcPr>
          <w:p>
            <w:pPr>
              <w:jc w:val="both"/>
              <w:rPr>
                <w:rFonts w:ascii="仿宋" w:hAnsi="仿宋" w:eastAsia="仿宋" w:cs="仿宋"/>
                <w:color w:val="000000"/>
                <w:sz w:val="24"/>
              </w:rPr>
            </w:pPr>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D5A62"/>
    <w:multiLevelType w:val="singleLevel"/>
    <w:tmpl w:val="20CD5A62"/>
    <w:lvl w:ilvl="0" w:tentative="0">
      <w:start w:val="1"/>
      <w:numFmt w:val="chineseCounting"/>
      <w:suff w:val="space"/>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633B2B"/>
    <w:rsid w:val="36621EC8"/>
    <w:rsid w:val="5C9F29A5"/>
    <w:rsid w:val="65633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customStyle="1" w:styleId="6">
    <w:name w:val="表格文字"/>
    <w:basedOn w:val="1"/>
    <w:qFormat/>
    <w:uiPriority w:val="0"/>
    <w:pPr>
      <w:spacing w:before="25" w:after="25"/>
    </w:pPr>
    <w:rPr>
      <w:bCs/>
      <w:spacing w:val="10"/>
      <w:sz w:val="24"/>
    </w:rPr>
  </w:style>
  <w:style w:type="paragraph" w:customStyle="1" w:styleId="7">
    <w:name w:val="表正文"/>
    <w:basedOn w:val="1"/>
    <w:qFormat/>
    <w:uiPriority w:val="0"/>
    <w:pPr>
      <w:widowControl w:val="0"/>
    </w:pPr>
    <w:rPr>
      <w:rFonts w:ascii="Arial" w:hAnsi="Arial" w:eastAsia="等线"/>
      <w:kern w:val="2"/>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2026-06-17T10:23:00Z</dcterms:created>
  <dc:creator>csgadmin</dc:creator>
  <cp:lastModifiedBy>csgadmin</cp:lastModifiedBy>
  <dcterms:modified xsi:type="dcterms:W3CDTF">2026-06-18T09:42:32Z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ies>
</file>