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outlineLvl w:val="1"/>
        <w:rPr>
          <w:rFonts w:ascii="仿宋_GB2312" w:hAnsi="仿宋_GB2312" w:eastAsia="仿宋_GB2312" w:cs="仿宋_GB2312"/>
          <w:b/>
          <w:bCs/>
          <w:sz w:val="24"/>
        </w:rPr>
      </w:pPr>
      <w:r>
        <w:rPr>
          <w:rFonts w:hint="eastAsia" w:ascii="仿宋_GB2312" w:hAnsi="仿宋_GB2312" w:eastAsia="仿宋_GB2312" w:cs="仿宋_GB2312"/>
          <w:b/>
          <w:bCs/>
          <w:sz w:val="24"/>
        </w:rPr>
        <w:t>技术参数偏离表</w:t>
      </w:r>
    </w:p>
    <w:p>
      <w:pPr>
        <w:spacing w:line="360" w:lineRule="auto"/>
        <w:rPr>
          <w:rFonts w:ascii="仿宋_GB2312" w:hAnsi="仿宋_GB2312" w:eastAsia="仿宋_GB2312" w:cs="仿宋_GB2312"/>
          <w:i/>
          <w:iCs/>
          <w:color w:val="0000FF"/>
          <w:kern w:val="0"/>
          <w:sz w:val="24"/>
          <w:u w:val="single"/>
          <w:lang w:bidi="ar"/>
        </w:rPr>
      </w:pPr>
      <w:r>
        <w:rPr>
          <w:rFonts w:hint="eastAsia" w:ascii="仿宋_GB2312" w:hAnsi="仿宋_GB2312" w:eastAsia="仿宋_GB2312" w:cs="仿宋_GB2312"/>
          <w:i/>
          <w:iCs/>
          <w:color w:val="0000FF"/>
          <w:kern w:val="0"/>
          <w:sz w:val="24"/>
          <w:u w:val="single"/>
          <w:lang w:bidi="ar"/>
        </w:rPr>
        <w:t>（说明：根据技术参数偏离表的内容及要求，针对响应产品的技术参数响应情况、质保期响应情况、到货期响应情况进行逐条响应明确具体参数。提供盖章文件）</w:t>
      </w:r>
    </w:p>
    <w:p>
      <w:pPr>
        <w:pStyle w:val="6"/>
        <w:rPr>
          <w:b/>
          <w:bCs w:val="0"/>
        </w:rPr>
      </w:pPr>
      <w:r>
        <w:rPr>
          <w:rFonts w:hint="eastAsia"/>
          <w:b/>
          <w:bCs w:val="0"/>
        </w:rPr>
        <w:t>本项目采购的设备须满足自主可控要求。</w:t>
      </w:r>
    </w:p>
    <w:tbl>
      <w:tblPr>
        <w:tblStyle w:val="4"/>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5"/>
        <w:gridCol w:w="1110"/>
        <w:gridCol w:w="855"/>
        <w:gridCol w:w="555"/>
        <w:gridCol w:w="540"/>
        <w:gridCol w:w="1065"/>
        <w:gridCol w:w="3134"/>
        <w:gridCol w:w="706"/>
        <w:gridCol w:w="375"/>
        <w:gridCol w:w="3709"/>
        <w:gridCol w:w="780"/>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195"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91"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301"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195"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90"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375"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kern w:val="2"/>
                <w:sz w:val="21"/>
                <w:szCs w:val="24"/>
                <w:highlight w:val="none"/>
                <w:lang w:val="en-US" w:eastAsia="zh-CN" w:bidi="ar-SA"/>
              </w:rPr>
            </w:pPr>
            <w:r>
              <w:rPr>
                <w:rFonts w:hint="eastAsia" w:ascii="宋体" w:hAnsi="宋体" w:eastAsia="宋体" w:cs="宋体"/>
                <w:b/>
                <w:bCs/>
                <w:i w:val="0"/>
                <w:iCs w:val="0"/>
                <w:color w:val="000000"/>
                <w:kern w:val="0"/>
                <w:sz w:val="24"/>
                <w:szCs w:val="24"/>
                <w:u w:val="none"/>
                <w:lang w:val="en-US" w:eastAsia="zh-CN" w:bidi="ar"/>
              </w:rPr>
              <w:t>技术指标</w:t>
            </w:r>
          </w:p>
        </w:tc>
        <w:tc>
          <w:tcPr>
            <w:tcW w:w="1106"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kern w:val="2"/>
                <w:sz w:val="21"/>
                <w:szCs w:val="24"/>
                <w:highlight w:val="none"/>
                <w:lang w:val="en-US" w:eastAsia="zh-CN" w:bidi="ar-SA"/>
              </w:rPr>
            </w:pPr>
            <w:r>
              <w:rPr>
                <w:rFonts w:hint="eastAsia" w:ascii="宋体" w:hAnsi="宋体" w:eastAsia="宋体" w:cs="宋体"/>
                <w:b/>
                <w:bCs/>
                <w:i w:val="0"/>
                <w:iCs w:val="0"/>
                <w:color w:val="000000"/>
                <w:kern w:val="0"/>
                <w:sz w:val="24"/>
                <w:szCs w:val="24"/>
                <w:u w:val="none"/>
                <w:lang w:val="en-US" w:eastAsia="zh-CN" w:bidi="ar"/>
              </w:rPr>
              <w:t>技术参数要求</w:t>
            </w:r>
          </w:p>
        </w:tc>
        <w:tc>
          <w:tcPr>
            <w:tcW w:w="249"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质保期要求</w:t>
            </w:r>
          </w:p>
        </w:tc>
        <w:tc>
          <w:tcPr>
            <w:tcW w:w="132"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到货期要求</w:t>
            </w:r>
          </w:p>
        </w:tc>
        <w:tc>
          <w:tcPr>
            <w:tcW w:w="1309" w:type="pct"/>
            <w:tcBorders>
              <w:top w:val="single" w:color="000000" w:sz="8" w:space="0"/>
              <w:left w:val="single" w:color="000000" w:sz="8" w:space="0"/>
              <w:bottom w:val="single" w:color="000000" w:sz="8" w:space="0"/>
              <w:right w:val="single" w:color="000000" w:sz="8" w:space="0"/>
            </w:tcBorders>
            <w:shd w:val="clear" w:color="auto" w:fill="FFC00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参数响应情况</w:t>
            </w:r>
          </w:p>
        </w:tc>
        <w:tc>
          <w:tcPr>
            <w:tcW w:w="275" w:type="pct"/>
            <w:tcBorders>
              <w:top w:val="single" w:color="000000" w:sz="8" w:space="0"/>
              <w:left w:val="single" w:color="000000" w:sz="8" w:space="0"/>
              <w:bottom w:val="single" w:color="auto" w:sz="4" w:space="0"/>
              <w:right w:val="single" w:color="000000" w:sz="8" w:space="0"/>
            </w:tcBorders>
            <w:shd w:val="clear" w:color="auto" w:fill="FFC000"/>
            <w:vAlign w:val="center"/>
          </w:tcPr>
          <w:p>
            <w:pPr>
              <w:widowControl/>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color w:val="000000"/>
                <w:kern w:val="0"/>
                <w:sz w:val="24"/>
                <w:lang w:bidi="ar"/>
              </w:rPr>
              <w:t>质保期响应情况</w:t>
            </w:r>
          </w:p>
        </w:tc>
        <w:tc>
          <w:tcPr>
            <w:tcW w:w="275" w:type="pct"/>
            <w:tcBorders>
              <w:top w:val="single" w:color="000000" w:sz="8" w:space="0"/>
              <w:left w:val="single" w:color="000000" w:sz="8" w:space="0"/>
              <w:bottom w:val="single" w:color="auto" w:sz="4" w:space="0"/>
              <w:right w:val="single" w:color="000000" w:sz="8" w:space="0"/>
            </w:tcBorders>
            <w:shd w:val="clear" w:color="auto" w:fill="FFC000"/>
            <w:vAlign w:val="center"/>
          </w:tcPr>
          <w:p>
            <w:pPr>
              <w:widowControl/>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color w:val="000000"/>
                <w:kern w:val="0"/>
                <w:sz w:val="24"/>
                <w:lang w:bidi="ar"/>
              </w:rPr>
              <w:t>到货期响应情况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0" w:hRule="atLeast"/>
        </w:trPr>
        <w:tc>
          <w:tcPr>
            <w:tcW w:w="195"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bookmarkStart w:id="0" w:name="_GoBack" w:colFirst="5" w:colLast="6"/>
            <w:r>
              <w:rPr>
                <w:rFonts w:hint="eastAsia" w:ascii="宋体" w:hAnsi="宋体" w:eastAsia="宋体" w:cs="宋体"/>
                <w:i w:val="0"/>
                <w:iCs w:val="0"/>
                <w:color w:val="000000"/>
                <w:kern w:val="0"/>
                <w:sz w:val="24"/>
                <w:szCs w:val="24"/>
                <w:u w:val="none"/>
                <w:lang w:val="en-US" w:eastAsia="zh-CN" w:bidi="ar"/>
              </w:rPr>
              <w:t>1</w:t>
            </w:r>
          </w:p>
        </w:tc>
        <w:tc>
          <w:tcPr>
            <w:tcW w:w="39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2026年南方电网数字电网集团有限公司深圳分公司信息类软硬件（全流量检测分析设备、流量汇聚镜像设备、上网行为管理、防病毒系统、数据库审计系统）投标寻源项目（标的2：流量汇聚镜像设备）</w:t>
            </w:r>
          </w:p>
        </w:tc>
        <w:tc>
          <w:tcPr>
            <w:tcW w:w="30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流量汇聚镜像设备</w:t>
            </w:r>
          </w:p>
        </w:tc>
        <w:tc>
          <w:tcPr>
            <w:tcW w:w="195"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9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硬件规格</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top"/>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★标准机架式设备</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接口配置：≥40个 SFP28 接口（支持1GE、10GE、25GE 速率）, ≥8 个 QSFP28接口（支持 40GE、100GE 速率）</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支持光模块接收/发送光功率检测，支持单纤发送或接收</w:t>
            </w:r>
          </w:p>
        </w:tc>
        <w:tc>
          <w:tcPr>
            <w:tcW w:w="24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3年</w:t>
            </w:r>
          </w:p>
        </w:tc>
        <w:tc>
          <w:tcPr>
            <w:tcW w:w="13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合同签订后30日内</w:t>
            </w:r>
          </w:p>
        </w:tc>
        <w:tc>
          <w:tcPr>
            <w:tcW w:w="1309" w:type="pct"/>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cs="Times New Roman"/>
                <w:sz w:val="21"/>
                <w:szCs w:val="21"/>
                <w:highlight w:val="none"/>
                <w:lang w:val="en-US" w:eastAsia="zh-CN"/>
              </w:rPr>
              <w:t>设备功能</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cs="Times New Roman"/>
                <w:sz w:val="21"/>
                <w:szCs w:val="21"/>
                <w:highlight w:val="none"/>
                <w:lang w:val="en-US" w:eastAsia="zh-CN"/>
              </w:rPr>
              <w:t>该设备为软硬件一体设备，需实现高性能、灵活高效的流量采集、过滤、汇聚、分流、负载均衡、复制输出等功能，有效减轻数据中心主干交换机的负载，配合流量分析设备实现高效的网络流量分析、网络威胁发现等功能。</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管理接口</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至少提供2个：1个10/100/1000M自适应带外管理端口+1个串口</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3"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可靠性</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设备支持双路可热插拔冗余电源供电，支持可插拔冗余风扇。</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流量识别</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可识别VLAN、QinQ、MPLS标签报文，可识别IPv4/IPv6报文、IP分片报文，可通过自定义偏移特征码（UDB）识别其他报文</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可识别隧道报文（VxLAN、NVGRE、GRE、GTP、IPoverIP），并剥离隧道头部后输出内层报文</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流量控制</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基本流量复制汇聚功能。可将采集的一路或多路网络流量进行复制并分发给不同的工具处理；可将通过不同网络端口采集的网络流量进行汇聚，并分发给单台工具处理；可将采集的多路网络流量进行汇聚之后同时复制成多份输出给不同的工具处理</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流量过滤输出。可根据数据报文特征，对采集流量进行有效过滤，只将满足条件的流量分发给后端分析工具，其过滤条件应提供以下维度</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过滤规则</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提供基于报文采集来源端口、五元组标准协议域、源/目的MAC地址、IP碎片标记、传输层端口范围、以太网类型字段、TCPFlag、数据包长度、固定偏移特征、DNS/FTP/HTTP/HTTPS/DHCP/SNMP/TFTP 协议等对流量进行分类过滤转发。</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▲单台设备支持不低于5000条过滤规则</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在配置基于规则的过滤采集输出时，在满足项目典型规则配置场景下具备小包线速处理能力</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支持隧道报文（GTP/VXLAN/NVGRE）内层IP5元组过滤</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设备应提供IPV6地址、协议号、IPV6流标签等IPV6报文的规则进行分类过滤</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支持基于IP层的DSCP分流、过滤和汇聚</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负载均衡</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▲负载均衡输出：提供对分类流量进行各种策略的负载均衡分发，需提供至少6种策略方式，如：支持隧道报文（GTP/VXLAN/NVGRE）内层或外层IP Hash、支持上下行对称Hash计算、使用SIP计算哈希值、使用DIP计算哈希值、使用SIP+SP计算哈希值、使用DIP+DP计算哈希值、使用SIP+DIP计算哈希值、SIP+SP+DIP+DP计算哈希值</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3"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自定义特征码</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支持基于用户自定义字节特征的过滤匹配，匹配字节可不连续</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端口功能</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设备的所有端口均可以灵活配置为输入输出，且同一个接口输入输出独立</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设备支持输出流量复制，支持一对多复制输出，复制份数在配置层面没有限制</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输出口能够有断链保护功能，实现自动负载均衡，在同一端口组内的任一端口失效（DOWN）后提供将流量自动分配至组内其它正常（UP）端口，不需要人工干预重配置</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3"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高级功能</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支持按元组进行报文截断、纳秒级精准时间戳、数据包去重、脱敏</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支持4个25G/10G口组合成为1个100G/40G口</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性能</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▲整机带宽≥2.0Tbps，高级处理功能流量≥60Gbps</w:t>
            </w:r>
          </w:p>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设备时延不超过10us</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设备的数据准确性，线速转发丢包率&lt;10⁻¹²</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远程传输</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支持为输出报文添加隧道封装（ERSPAN/ VXLAN/ NVGRE/ MPLS）</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信息安全</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支持管理面信息安全特性，支持关闭禁用WEB、SSH和SNMP，支持防火墙功能只允许指定IP地址访问设备</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支持syslog、kafka日志推送、支持web界面网管</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系统应提供配置文件的导入和导出功能</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吞吐量</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在复制、ACL规则等应用条件下，所有千兆/万兆接口均支持线速收发</w:t>
            </w:r>
          </w:p>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可以通过配置或者其他方式，支持设备直接级联，从而扩充处理性能</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日志存储</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sz w:val="21"/>
                <w:szCs w:val="21"/>
                <w:highlight w:val="none"/>
                <w:lang w:val="en-US" w:eastAsia="zh-CN"/>
              </w:rPr>
              <w:t>支持存储设备运行及操作日志不低于6个月</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vMerge w:val="continue"/>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9" w:hRule="atLeast"/>
        </w:trPr>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0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5"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5"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Times New Roman"/>
                <w:kern w:val="2"/>
                <w:sz w:val="21"/>
                <w:szCs w:val="21"/>
                <w:highlight w:val="none"/>
                <w:lang w:val="en-US" w:eastAsia="zh-CN" w:bidi="ar-SA"/>
              </w:rPr>
            </w:pPr>
            <w:r>
              <w:rPr>
                <w:rFonts w:hint="eastAsia" w:ascii="宋体" w:hAnsi="宋体" w:eastAsia="宋体" w:cs="宋体"/>
                <w:b w:val="0"/>
                <w:bCs w:val="0"/>
                <w:color w:val="auto"/>
                <w:kern w:val="0"/>
                <w:sz w:val="24"/>
                <w:szCs w:val="24"/>
                <w:lang w:val="en-US" w:eastAsia="zh-CN"/>
              </w:rPr>
              <w:t>★</w:t>
            </w:r>
            <w:r>
              <w:rPr>
                <w:rFonts w:hint="eastAsia" w:ascii="宋体" w:hAnsi="宋体" w:eastAsia="宋体" w:cs="宋体"/>
                <w:sz w:val="21"/>
                <w:szCs w:val="21"/>
                <w:highlight w:val="none"/>
                <w:lang w:eastAsia="zh-CN"/>
              </w:rPr>
              <w:t>自主可控要求</w:t>
            </w:r>
          </w:p>
        </w:tc>
        <w:tc>
          <w:tcPr>
            <w:tcW w:w="3134" w:type="dxa"/>
            <w:tcBorders>
              <w:top w:val="single" w:color="000000" w:sz="8" w:space="0"/>
              <w:left w:val="single" w:color="000000" w:sz="8" w:space="0"/>
              <w:bottom w:val="single" w:color="000000" w:sz="8" w:space="0"/>
              <w:right w:val="single" w:color="000000" w:sz="8" w:space="0"/>
            </w:tcBorders>
            <w:shd w:val="clear" w:color="auto" w:fill="auto"/>
            <w:vAlign w:val="center"/>
          </w:tcPr>
          <w:p>
            <w:pPr>
              <w:numPr>
                <w:ilvl w:val="0"/>
                <w:numId w:val="0"/>
              </w:num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1.该设备涉及的主要芯片产品（处理器、DRAM、Flash、安全芯片）需要满足自主可控要求。</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需提供软件物料清单(SBOM)，详细列明软件所包含的所有组件、库、依赖项及其版本、许可证和来源信息，并满足合规性要求，交付的软件不能有高危及以上漏洞，软件部署运行环境须满足以下要求，并提供证明材料；</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.软件部署运行环境须满足以下要求：</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1）CPU：该软件兼容通过国家安全可靠测评的 CPU（ARM、X86、MIPS）架构。</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2）操作系统：该软件兼容 UOS、麒麟等linux类型的桌面自主可控操作系统和服务器自主可控操作系统。</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3）数据库：该软件兼容达梦等关系数据库。</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4）应用服务器中间件：该软件兼容中创等应用服务器中间件。</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5）浏览器：兼容自主可控终端下的奇安信浏览器、360安全浏览器。</w:t>
            </w:r>
          </w:p>
          <w:p>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.本项目所采购的软件产品100%为国产自主可控软件，如软件涉及境外厂商开发、境外版权所有、境外主体提供，涉及境外组件、境外模块、境外云服务、境外接口依赖，需做申明。</w:t>
            </w:r>
          </w:p>
          <w:p>
            <w:pPr>
              <w:rPr>
                <w:rFonts w:hint="eastAsia" w:ascii="宋体" w:hAnsi="宋体" w:eastAsia="宋体" w:cs="Times New Roman"/>
                <w:kern w:val="2"/>
                <w:sz w:val="21"/>
                <w:szCs w:val="21"/>
                <w:highlight w:val="none"/>
                <w:lang w:val="en-US" w:eastAsia="zh-CN" w:bidi="ar-SA"/>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.原厂需就以上要求提供自主可控承诺函并加盖原厂公章。</w:t>
            </w:r>
          </w:p>
        </w:tc>
        <w:tc>
          <w:tcPr>
            <w:tcW w:w="24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9" w:type="pct"/>
            <w:tcBorders>
              <w:top w:val="single" w:color="000000" w:sz="8" w:space="0"/>
              <w:left w:val="single" w:color="000000" w:sz="8" w:space="0"/>
              <w:bottom w:val="single" w:color="000000" w:sz="8"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auto" w:sz="4" w:space="0"/>
              <w:bottom w:val="single" w:color="auto" w:sz="4" w:space="0"/>
              <w:right w:val="single" w:color="000000" w:sz="8" w:space="0"/>
            </w:tcBorders>
            <w:shd w:val="clear" w:color="auto" w:fill="auto"/>
            <w:vAlign w:val="center"/>
          </w:tcPr>
          <w:p>
            <w:pPr>
              <w:rPr>
                <w:rFonts w:hint="eastAsia" w:ascii="宋体" w:hAnsi="宋体" w:eastAsia="宋体" w:cs="宋体"/>
                <w:i w:val="0"/>
                <w:iCs w:val="0"/>
                <w:color w:val="000000"/>
                <w:sz w:val="21"/>
                <w:szCs w:val="21"/>
                <w:u w:val="none"/>
              </w:rPr>
            </w:pPr>
          </w:p>
        </w:tc>
        <w:tc>
          <w:tcPr>
            <w:tcW w:w="275" w:type="pct"/>
            <w:vMerge w:val="continue"/>
            <w:tcBorders>
              <w:top w:val="single" w:color="auto" w:sz="4" w:space="0"/>
              <w:left w:val="single" w:color="000000" w:sz="8"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21"/>
                <w:szCs w:val="21"/>
                <w:u w:val="none"/>
              </w:rPr>
            </w:pPr>
          </w:p>
        </w:tc>
      </w:tr>
      <w:bookmarkEnd w:id="0"/>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A261A"/>
    <w:rsid w:val="1CC05DD2"/>
    <w:rsid w:val="53320CBA"/>
    <w:rsid w:val="725A2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customStyle="1" w:styleId="6">
    <w:name w:val="表格文字"/>
    <w:basedOn w:val="1"/>
    <w:qFormat/>
    <w:uiPriority w:val="0"/>
    <w:pPr>
      <w:spacing w:before="25" w:after="25"/>
    </w:pPr>
    <w:rPr>
      <w:bC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2026-06-17T10:31:00Z</dcterms:created>
  <dc:creator>csgadmin</dc:creator>
  <cp:lastModifiedBy>csgadmin</cp:lastModifiedBy>
  <dcterms:modified xsi:type="dcterms:W3CDTF">2026-06-18T09:43:12Z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