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outlineLvl w:val="1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技术参数偏离表</w:t>
      </w:r>
    </w:p>
    <w:p>
      <w:pPr>
        <w:spacing w:line="360" w:lineRule="auto"/>
        <w:rPr>
          <w:rFonts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</w:pPr>
      <w:r>
        <w:rPr>
          <w:rFonts w:hint="eastAsia"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  <w:t>（说明：根据技术参数偏离表的内容及要求，针对响应产品的技术参数响应情况、质保期响应情况、到货期响应情况进行逐条响应明确具体参数。提供盖章文件）</w:t>
      </w:r>
    </w:p>
    <w:p>
      <w:pPr>
        <w:pStyle w:val="6"/>
        <w:rPr>
          <w:b/>
          <w:bCs w:val="0"/>
        </w:rPr>
      </w:pPr>
      <w:r>
        <w:rPr>
          <w:rFonts w:hint="eastAsia"/>
          <w:b/>
          <w:bCs w:val="0"/>
        </w:rPr>
        <w:t>本项目采购的设备须满足自主可控要求。</w:t>
      </w:r>
    </w:p>
    <w:tbl>
      <w:tblPr>
        <w:tblStyle w:val="4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035"/>
        <w:gridCol w:w="689"/>
        <w:gridCol w:w="390"/>
        <w:gridCol w:w="795"/>
        <w:gridCol w:w="615"/>
        <w:gridCol w:w="990"/>
        <w:gridCol w:w="2638"/>
        <w:gridCol w:w="752"/>
        <w:gridCol w:w="1005"/>
        <w:gridCol w:w="2820"/>
        <w:gridCol w:w="811"/>
        <w:gridCol w:w="8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2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3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1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pStyle w:val="7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技术指标</w:t>
            </w:r>
          </w:p>
        </w:tc>
        <w:tc>
          <w:tcPr>
            <w:tcW w:w="34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pStyle w:val="7"/>
              <w:rPr>
                <w:rFonts w:hint="default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技术指标子项</w:t>
            </w:r>
          </w:p>
        </w:tc>
        <w:tc>
          <w:tcPr>
            <w:tcW w:w="93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pStyle w:val="7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2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质保期要求</w:t>
            </w:r>
          </w:p>
        </w:tc>
        <w:tc>
          <w:tcPr>
            <w:tcW w:w="35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到货期要求</w:t>
            </w:r>
          </w:p>
        </w:tc>
        <w:tc>
          <w:tcPr>
            <w:tcW w:w="99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参数响应情况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质保期响应情况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到货期响应情况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286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 w:colFirst="5" w:colLast="7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2026年南方电网数字电网集团有限公司深圳分公司信息类软硬件（全流量检测分析设备、流量汇聚镜像设备、上网行为管理、防病毒系统、数据库审计系统）投标寻源项目（标的3：上网行为管理）</w:t>
            </w:r>
          </w:p>
        </w:tc>
        <w:tc>
          <w:tcPr>
            <w:tcW w:w="243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上网行为管理</w:t>
            </w:r>
          </w:p>
        </w:tc>
        <w:tc>
          <w:tcPr>
            <w:tcW w:w="137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80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产品规格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硬件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  <w:t>规格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★不少于4个以太网电口，2个SFP口，2个SFP+口，冗余电源。</w:t>
            </w:r>
          </w:p>
        </w:tc>
        <w:tc>
          <w:tcPr>
            <w:tcW w:w="26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3年</w:t>
            </w:r>
          </w:p>
        </w:tc>
        <w:tc>
          <w:tcPr>
            <w:tcW w:w="354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合同签订后30日内</w:t>
            </w:r>
          </w:p>
        </w:tc>
        <w:tc>
          <w:tcPr>
            <w:tcW w:w="99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  <w:t>安全要求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  <w:t>1.投标产品标准不低于《通用服务器政府采购需求标准（2023 版）》要求，详见中国信息安全测评中心（www.itsec.gov.cn）和国家保密科技测评中心（www.nsstec.org.cn）公告结果。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  <w:t>2.CPU和操作系统应当符合安全可靠测评要求。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性能要求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▲网络层吞吐量≥10 Gbps，应用层吞吐量≥1Gbps，带宽性能≥1 Gbps，用户数≥ 5000，每秒新建连接数≥10000,最大并发连接数≥400000；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设备功能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highlight w:val="none"/>
                <w:lang w:val="en-US" w:eastAsia="zh-CN"/>
              </w:rPr>
              <w:t>该设备为软硬件一体设备，需实现对内网用户互联网访问行为进行身份认证、访问控制、流量限速、内容过滤及全面行为审计，满足网络安全监管要求。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运维管理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多主模式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▲支持两台设备同时做主机的部署模式；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可视化展示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首页显示在线用户、流量分析、行为日志分析、应用流量排名、用户流量排名、资产类型分布、新设备发现趋势、TOP违规检查项、TOP违规用户、行为风险分析包括：终端接入、上网安全、系统状态、接入状态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故障排查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支持网络故障排查，支持PPS异常、丢包异常、ARP异常、内网DOS攻击等异常情况实时监测，显示每日异常事件个数及情况；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（提供截图证明并加盖厂商公章）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Web访问质量检测，针对内网用户的web访问质量进行检测，对整体网络提供清晰的整体网络质量评级；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认证管理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认证管理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支持802.1x认证，可对接本地和AD域用户源进行用户名密码认证。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流量管理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动态流量调整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支持在设置流量策略后，根据整体线路或者某流量通道内的空闲情况，自动启用和停止使用流量控制策略，以提升带宽的高使用率；线路空闲值可自定义；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（提供截图证明并加盖厂商公章）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P2P智能流控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通过抑制P2P下行丢包，减少P2P下行流量，缓解网络出口在流控后仍存在的压力问题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；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（提供截图证明并加盖厂商公章）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流量配额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支持对单个用户/用户组、位置、终端类型等设置日流量、月流量配额功能；必须支持流量配额的配置、实时使用量查询。</w:t>
            </w:r>
          </w:p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能够实时看到各级流控通道的状态：包括所属线路、瞬时速率、通道占用比例、用户数、保证带宽、最大带宽、优先级，启用状态等；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应用访问管理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应用识别规则库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▲设备内置应用识别规则库，支持不低于8000种以上应用规则数和不低于8000种以上的应用；支持根据标签选择应用，并支持给每个应用自定义标签；支持根据标签选择一类应用做控制；支持不低于3000种以上主流Saas应用，对Saas应用有默认分类标签，帮助客户统一配置策略；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（提供权威机构检测报告并加盖厂商公章）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URL库管理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能够针对各种URL类型做识别和分类，同时所有URL类型都支持区分“网站浏览”、“文件上传”、“其他上传”、“HTTPS”等细分行为并分别做权限控制；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网页过滤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支持根据访问的URL进行网页过滤，支持设置拒绝以IP访问网页行为；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网络共享管理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防共享接入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发现私接路由（或者共享软件等）共享网络的行为，支持“仅统计电脑”和“统计所有终端”两种模式，自定义配置终端数量和冻结时间，支持添加信任列表，支持例外排除功能；支持以IP或用户名的维度统计一段时间内的趋势图。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终端资产管理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IP地址管理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支持图形化查看当前内网IP使用情况，帮助管理员减少人工维护IP表的工作量；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9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外联控制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统信、麒麟等信创终端支持设置终端访问地址白名单和黑名单，写入终端防火墙ACL策略，实现强访问管控;管控规则可离线生效；</w:t>
            </w:r>
          </w:p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windows终端支持SSL中间人解密与客户端解密能力的，确保数据传输的透明性与安全性。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业务访问审计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业务系统自定义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支持自定义业务系统名称、描述，绑定到相应的IP地址和端口或域名，以每个业务系统作为单独审计对象；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业务访问审计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支持WEB/FTP/SMB类型业务的行为和内容审计，对上传/下载文件可选择只审计文件名或同时审计文件内容；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日志管理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审计通路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支持IM聊天软件、邮件客户端、云笔记、网盘、浏览器、远程协助工具、文件传输工具、会议软件、打印机、文件解密等途径的文件外发行为进行日志审计。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（提供截图证明并加盖厂商公章）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日志中心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支持内置、外置日志中心,并支持分级配置管理员日志查看权限；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上网行为统计报表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支持基于时间段/用户/用户组/终端类型/位置等维度的多种上网行为统计排行报表，至少包括5种;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资质要求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资质要求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公安部计算机信息系统安全产品质量监督检验中心《网络安全专用产品安全检测证书》或同等效力的其他证书</w:t>
            </w:r>
          </w:p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bidi="ar"/>
              </w:rPr>
              <w:t>中国网络安全审查认证和市场监管大数据中心《网络关键设备和网络安全专用产品安全认证证书》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8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自主可控要求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自主可控要求</w:t>
            </w:r>
          </w:p>
        </w:tc>
        <w:tc>
          <w:tcPr>
            <w:tcW w:w="26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1.该设备涉及的主要芯片产品（处理器、DRAM、Flash、安全芯片）需要满足自主可控要求。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需提供软件物料清单(SBOM)，详细列明软件所包含的所有组件、库、依赖项及其版本、许可证和来源信息，并满足合规性要求，交付的软件不能有高危及以上漏洞，软件部署运行环境须满足以下要求，并提供证明材料；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.软件部署运行环境须满足以下要求：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1）CPU：该软件兼容通过国家安全可靠测评的 CPU（ARM、X86、MIPS）架构。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2）操作系统：该软件兼容 UOS、麒麟等linux类型的桌面自主可控操作系统和服务器自主可控操作系统。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3）数据库：该软件兼容达梦等关系数据库。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4）应用服务器中间件：该软件兼容中创等应用服务器中间件。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5）浏览器：兼容自主可控终端下的奇安信浏览器、360安全浏览器。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.本项目所采购的软件产品100%为国产自主可控软件，如软件涉及境外厂商开发、境外版权所有、境外主体提供，涉及境外组件、境外模块、境外云服务、境外接口依赖，需做申明。</w:t>
            </w:r>
          </w:p>
          <w:p>
            <w:pPr>
              <w:rPr>
                <w:rFonts w:hint="eastAsia" w:ascii="宋体" w:hAnsi="宋体" w:cs="宋体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.原厂需就以上要求提供自主可控承诺函并加盖原厂公章。</w:t>
            </w:r>
          </w:p>
        </w:tc>
        <w:tc>
          <w:tcPr>
            <w:tcW w:w="26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bookmarkEnd w:id="0"/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96962"/>
    <w:rsid w:val="20B32CC8"/>
    <w:rsid w:val="42596962"/>
    <w:rsid w:val="5FE1411D"/>
    <w:rsid w:val="69D7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6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  <w:style w:type="paragraph" w:customStyle="1" w:styleId="7">
    <w:name w:val="表正文"/>
    <w:basedOn w:val="1"/>
    <w:qFormat/>
    <w:uiPriority w:val="0"/>
    <w:pPr>
      <w:widowControl w:val="0"/>
    </w:pPr>
    <w:rPr>
      <w:rFonts w:ascii="Arial" w:hAnsi="Arial" w:eastAsia="等线"/>
      <w:kern w:val="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2026-06-17T10:37:00Z</dcterms:created>
  <dc:creator>csgadmin</dc:creator>
  <cp:lastModifiedBy>csgadmin</cp:lastModifiedBy>
  <dcterms:modified xsi:type="dcterms:W3CDTF">2026-06-18T09:44:16Z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