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360" w:lineRule="auto"/>
        <w:outlineLvl w:val="1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技术参数偏离表</w:t>
      </w:r>
    </w:p>
    <w:p>
      <w:pPr>
        <w:spacing w:line="360" w:lineRule="auto"/>
        <w:rPr>
          <w:rFonts w:ascii="仿宋_GB2312" w:hAnsi="仿宋_GB2312" w:eastAsia="仿宋_GB2312" w:cs="仿宋_GB2312"/>
          <w:i/>
          <w:iCs/>
          <w:color w:val="0000FF"/>
          <w:kern w:val="0"/>
          <w:sz w:val="24"/>
          <w:u w:val="single"/>
          <w:lang w:bidi="ar"/>
        </w:rPr>
      </w:pPr>
      <w:r>
        <w:rPr>
          <w:rFonts w:hint="eastAsia" w:ascii="仿宋_GB2312" w:hAnsi="仿宋_GB2312" w:eastAsia="仿宋_GB2312" w:cs="仿宋_GB2312"/>
          <w:i/>
          <w:iCs/>
          <w:color w:val="0000FF"/>
          <w:kern w:val="0"/>
          <w:sz w:val="24"/>
          <w:u w:val="single"/>
          <w:lang w:bidi="ar"/>
        </w:rPr>
        <w:t>（说明：根据技术参数偏离表的内容及要求，针对响应产品的技术参数响应情况、质保期响应情况、到货期响应情况进行逐条响应明确具体参数。提供盖章文件）</w:t>
      </w:r>
    </w:p>
    <w:p>
      <w:pPr>
        <w:pStyle w:val="6"/>
        <w:rPr>
          <w:b/>
          <w:bCs w:val="0"/>
        </w:rPr>
      </w:pPr>
      <w:r>
        <w:rPr>
          <w:rFonts w:hint="eastAsia"/>
          <w:b/>
          <w:bCs w:val="0"/>
        </w:rPr>
        <w:t>本项目采购的设备须满足自主可控要求。</w:t>
      </w:r>
    </w:p>
    <w:tbl>
      <w:tblPr>
        <w:tblStyle w:val="4"/>
        <w:tblW w:w="0" w:type="auto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1579"/>
        <w:gridCol w:w="1080"/>
        <w:gridCol w:w="510"/>
        <w:gridCol w:w="585"/>
        <w:gridCol w:w="870"/>
        <w:gridCol w:w="3255"/>
        <w:gridCol w:w="420"/>
        <w:gridCol w:w="825"/>
        <w:gridCol w:w="2820"/>
        <w:gridCol w:w="625"/>
        <w:gridCol w:w="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485" w:type="dxa"/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79" w:type="dxa"/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1080" w:type="dxa"/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510" w:type="dxa"/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585" w:type="dxa"/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870" w:type="dxa"/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技术指标</w:t>
            </w:r>
          </w:p>
        </w:tc>
        <w:tc>
          <w:tcPr>
            <w:tcW w:w="3255" w:type="dxa"/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技术参数要求</w:t>
            </w:r>
          </w:p>
        </w:tc>
        <w:tc>
          <w:tcPr>
            <w:tcW w:w="420" w:type="dxa"/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质保期要求</w:t>
            </w:r>
          </w:p>
        </w:tc>
        <w:tc>
          <w:tcPr>
            <w:tcW w:w="825" w:type="dxa"/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到货期要求</w:t>
            </w:r>
          </w:p>
        </w:tc>
        <w:tc>
          <w:tcPr>
            <w:tcW w:w="2820" w:type="dxa"/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参数响应情况</w:t>
            </w:r>
          </w:p>
        </w:tc>
        <w:tc>
          <w:tcPr>
            <w:tcW w:w="625" w:type="dxa"/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质保期响应情况</w:t>
            </w:r>
          </w:p>
        </w:tc>
        <w:tc>
          <w:tcPr>
            <w:tcW w:w="625" w:type="dxa"/>
            <w:shd w:val="clear" w:color="auto" w:fill="FFC0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到货期响应情况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 w:colFirst="5" w:colLast="6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7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2026年南方电网数字电网集团有限公司深圳分公司信息类软硬件（全流量检测分析设备、流量汇聚镜像设备、上网行为管理、防病毒系统、数据库审计系统）投标寻源项目（标的4：防病毒系统）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防病毒系统(服务器防病毒license)</w:t>
            </w:r>
          </w:p>
        </w:tc>
        <w:tc>
          <w:tcPr>
            <w:tcW w:w="51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授权数量</w:t>
            </w:r>
          </w:p>
        </w:tc>
        <w:tc>
          <w:tcPr>
            <w:tcW w:w="325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  <w:highlight w:val="none"/>
              </w:rPr>
              <w:t>★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</w:rPr>
              <w:t>对现有云平台主机防病毒系统提供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highlight w:val="none"/>
              </w:rPr>
              <w:t>≥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880个主机许可扩容。含三</w:t>
            </w:r>
            <w:r>
              <w:rPr>
                <w:rFonts w:ascii="宋体" w:hAnsi="宋体" w:cs="宋体"/>
                <w:color w:val="000000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</w:rPr>
              <w:t>维保服务。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3年</w:t>
            </w:r>
          </w:p>
        </w:tc>
        <w:tc>
          <w:tcPr>
            <w:tcW w:w="82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合同签订后30日内</w:t>
            </w: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病毒防护性能</w:t>
            </w:r>
          </w:p>
        </w:tc>
        <w:tc>
          <w:tcPr>
            <w:tcW w:w="3255" w:type="dxa"/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▲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highlight w:val="none"/>
              </w:rPr>
              <w:t>产品在病毒样本基本库≥1500时，检测率≥99%；流行病毒样本库≥1500时，检测率≥99%。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（提供CNAS测试报告证明材料）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restart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sz w:val="21"/>
                <w:szCs w:val="21"/>
                <w:highlight w:val="none"/>
                <w:lang w:bidi="ar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主机与客户端管理</w:t>
            </w:r>
          </w:p>
        </w:tc>
        <w:tc>
          <w:tcPr>
            <w:tcW w:w="325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支持通过arp、ping和nmap三种方式进行未安装主机发现功能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Agent安装方式支持手动下载安装包（Linux X86，Linux X86 64，Linux ARm 64,windows安装包类型）安装和一句话命令（CMD，Powershell方式）自动安装；支持选择安装主机范围，配置主机连接方式，至少包括直连主机、代理连接、前置机连接三种模式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▲在进行虚拟化环境统一扫描时，整体资源占用不应超过系统资源的35%；在安装部署虚拟化安全产品时，原虚拟环境的可用资源减少不应超过 35%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（提供CNAS测试报告且检测结果为符合）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支持在服务端设置密码，防止恶意卸载agent。支持Agent停用监控；支持通过管理端对agent进行批量远程启动、停止、重启和卸载操作；对agent自身进程进行保护，当恶意终止后可以自动拉起来。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支持对agent进行灰度更新发布，并指定时间，指定用户，指定版本进行Agent更新.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支持监测主机的运行进程、CPU利用率、内存利用率、线程数、I/O读写情况，可设置监控阈值，超过阈值进行告警。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新的虚拟机开机的时候能够得到即时保护；虚拟机休眠以后，恢复开机能够得到即时保护。（提供权威第三方测试报告）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支持Agent资源限速，可限制Agent CPU资源使用率，主机内存使用率、支持自定义限速阈值设定。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支持管理服务端对Agent日志文件数量和大小限制进行设置和修改，包括日志文件大小和备份文件数量。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支持展示各客户端版本、规则库版本、插件版本、扫描引擎版本状态信息，支持手动本地/联网更新模式，自动联网更新模式，更新记录，手动/自动全网下发，下发操作记录维护等能力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产品支持银河麒麟、统信操作系统（提供各操作系统兼容性证书）；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bidi="ar"/>
              </w:rPr>
              <w:t>支持本地扫描和云安全扫描（并支持对压缩包文件进行扫描），具备本地病毒码和云端病毒码，支持实时扫描，预设扫描手动扫描和立即扫描。如发现特殊情况 （如业务高峰期），可支持终止操作。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支持配置扫描参数，包括扫描目录、后缀，以及例外的目录、文件、文件hash、进程镜像文件和后缀以及是否扫描网络盘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支持配置自动响应策略，响应措施包括：仅记录、隔离、清除、拒绝访问，并且支持配置自动响应的生效目录和后缀和生效时间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▲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bidi="ar"/>
              </w:rPr>
              <w:t>支持扫描办公文件、压缩文件、勒索/挖矿病毒、文本文件等各种类型文件。</w:t>
            </w: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压缩文件扫描支持配置扫描参数：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bidi="ar"/>
              </w:rPr>
              <w:t>压缩层级</w:t>
            </w:r>
            <w:r>
              <w:rPr>
                <w:rFonts w:hint="eastAsia" w:ascii="宋体" w:hAnsi="宋体"/>
                <w:sz w:val="21"/>
                <w:szCs w:val="21"/>
                <w:highlight w:val="none"/>
              </w:rPr>
              <w:t>、单文件大小、单压缩包最多可解压文件数量；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（提供截图证明）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支持不对正常的系统程序文件、应用程序文件、程序代码和数据等产生误报警（提供CNAS测试报告且检测结果为符合）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bidi="ar"/>
              </w:rPr>
              <w:t>支持对防病毒扫描过程中的CPU占用比例进行手动设定，保障不影响正常业务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支持切换内核级落盘查杀，勒索病毒落盘即拦截，确保恶意文件无法运行；具备无文件攻击检测能力，支持无文件攻击防护统计（提供截图证明）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bidi="ar"/>
              </w:rPr>
              <w:t>支持主机综合安全态势可视化大屏展示能力；支持生成安全报表，并导出word格式，支持自定义时间范围生成安全报表。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restart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平台管理</w:t>
            </w:r>
          </w:p>
        </w:tc>
        <w:tc>
          <w:tcPr>
            <w:tcW w:w="325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支持用户操作超时配置、登录失败账户锁定、单端登录、认证密码复杂度、密码修改周期等配置能力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restart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支持超级管理员、系统管理员、审计员、租户角色，超级管理员可查看不同租户的数据。支持自由创建角色，并分配权限；支持机构管理能力，针对机构分配测试或证实授权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支持Syslog日志外发，提供外部接口与南方电网公司云盾系统对接,并负责完成对接与集成工作（提供原厂承诺函）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restart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资质要求</w:t>
            </w:r>
          </w:p>
        </w:tc>
        <w:tc>
          <w:tcPr>
            <w:tcW w:w="3255" w:type="dxa"/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提供《计算机软件著作权登记证书》证书。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restart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55" w:type="dxa"/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bidi="ar"/>
              </w:rPr>
              <w:t>提供产品类型为“病毒防治产品”的《网络安全专用产品安全检测证书》证书。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4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9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  <w:highlight w:val="none"/>
              </w:rPr>
              <w:t>★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自主可控要求</w:t>
            </w:r>
          </w:p>
        </w:tc>
        <w:tc>
          <w:tcPr>
            <w:tcW w:w="3255" w:type="dxa"/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需提供软件物料清单(SBOM)，详细列明软件所包含的所有组件、库、依赖项及其版本、许可证和来源信息，并满足合规性要求，交付的软件不能有高危及以上漏洞，软件部署运行环境须满足以下要求，并提供证明材料；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2.软件部署运行环境须满足以下要求：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1）CPU：该软件兼容通过国家安全可靠测评的 CPU（ARM、X86、MIPS）架构。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2）操作系统：该软件兼容 UOS、麒麟等linux类型的桌面自主可控操作系统和服务器自主可控操作系统。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3）数据库：该软件兼容达梦等关系数据库。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4）应用服务器中间件：该软件兼容中创等应用服务器中间件。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5）浏览器：兼容自主可控终端下的奇安信浏览器、360安全浏览器。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3.本项目所采购的软件产品100%为国产自主可控软件，如软件涉及境外厂商开发、境外版权所有、境外主体提供，涉及境外组件、境外模块、境外云服务、境外接口依赖，需做申明。</w:t>
            </w: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4.原厂需就以上要求提供自主可控承诺函并加盖原厂公章。</w:t>
            </w:r>
          </w:p>
        </w:tc>
        <w:tc>
          <w:tcPr>
            <w:tcW w:w="42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0"/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D5A62"/>
    <w:multiLevelType w:val="singleLevel"/>
    <w:tmpl w:val="20CD5A62"/>
    <w:lvl w:ilvl="0" w:tentative="0">
      <w:start w:val="1"/>
      <w:numFmt w:val="chineseCounting"/>
      <w:suff w:val="space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D6180B"/>
    <w:rsid w:val="09D6180B"/>
    <w:rsid w:val="1A0F1856"/>
    <w:rsid w:val="3FEE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6">
    <w:name w:val="表格文字"/>
    <w:basedOn w:val="1"/>
    <w:qFormat/>
    <w:uiPriority w:val="0"/>
    <w:pPr>
      <w:spacing w:before="25" w:after="25"/>
    </w:pPr>
    <w:rPr>
      <w:bCs/>
      <w:spacing w:val="10"/>
      <w:sz w:val="24"/>
    </w:rPr>
  </w:style>
  <w:style w:type="character" w:customStyle="1" w:styleId="7">
    <w:name w:val="font4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7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2026-06-17T10:39:00Z</dcterms:created>
  <dc:creator>csgadmin</dc:creator>
  <cp:lastModifiedBy>csgadmin</cp:lastModifiedBy>
  <dcterms:modified xsi:type="dcterms:W3CDTF">2026-06-18T09:44:50Z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