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outlineLvl w:val="1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技术参数偏离表</w:t>
      </w:r>
    </w:p>
    <w:p>
      <w:pPr>
        <w:spacing w:line="360" w:lineRule="auto"/>
        <w:rPr>
          <w:rFonts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</w:pPr>
      <w:r>
        <w:rPr>
          <w:rFonts w:hint="eastAsia"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  <w:t>（说明：根据技术参数偏离表的内容及要求，针对响应产品的技术参数响应情况、质保期响应情况、到货期响应情况进行逐条响应明确具体参数。提供盖章文件）</w:t>
      </w:r>
    </w:p>
    <w:p>
      <w:pPr>
        <w:pStyle w:val="8"/>
        <w:rPr>
          <w:b/>
          <w:bCs w:val="0"/>
        </w:rPr>
      </w:pPr>
      <w:r>
        <w:rPr>
          <w:rFonts w:hint="eastAsia"/>
          <w:b/>
          <w:bCs w:val="0"/>
        </w:rPr>
        <w:t>本项目采购的设备须满足自主可控要求。</w:t>
      </w:r>
    </w:p>
    <w:tbl>
      <w:tblPr>
        <w:tblStyle w:val="6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1126"/>
        <w:gridCol w:w="706"/>
        <w:gridCol w:w="735"/>
        <w:gridCol w:w="630"/>
        <w:gridCol w:w="1080"/>
        <w:gridCol w:w="3060"/>
        <w:gridCol w:w="795"/>
        <w:gridCol w:w="885"/>
        <w:gridCol w:w="3105"/>
        <w:gridCol w:w="765"/>
        <w:gridCol w:w="6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1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9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24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5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38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技术指标</w:t>
            </w:r>
          </w:p>
        </w:tc>
        <w:tc>
          <w:tcPr>
            <w:tcW w:w="10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2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质保期要求</w:t>
            </w:r>
          </w:p>
        </w:tc>
        <w:tc>
          <w:tcPr>
            <w:tcW w:w="31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到货期要求</w:t>
            </w:r>
          </w:p>
        </w:tc>
        <w:tc>
          <w:tcPr>
            <w:tcW w:w="10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参数响应情况</w:t>
            </w:r>
          </w:p>
        </w:tc>
        <w:tc>
          <w:tcPr>
            <w:tcW w:w="27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质保期响应情况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到货期响应情况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1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 w:colFirst="5" w:colLast="6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2026年南方电网数字电网集团有限公司深圳分公司信息类软硬件（全流量检测分析设备、流量汇聚镜像设备、上网行为管理、防病毒系统、数据库审计系统）投标寻源项目（标的5：数据库审计系统）</w:t>
            </w:r>
          </w:p>
        </w:tc>
        <w:tc>
          <w:tcPr>
            <w:tcW w:w="24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数据库审计系统(数据库堡垒机)</w:t>
            </w:r>
          </w:p>
        </w:tc>
        <w:tc>
          <w:tcPr>
            <w:tcW w:w="25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2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性能及环境兼容要求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▲支持≥144个数据库实例授权支持CentOS、Redhat或Ubuntu等 操作系统；支持银河麒麟或统信等国产操作系统，及海光或鲲鹏等国产CPU芯片部署环境；</w:t>
            </w:r>
          </w:p>
        </w:tc>
        <w:tc>
          <w:tcPr>
            <w:tcW w:w="280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3年</w:t>
            </w:r>
          </w:p>
        </w:tc>
        <w:tc>
          <w:tcPr>
            <w:tcW w:w="312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合同签订后30日内</w:t>
            </w:r>
          </w:p>
        </w:tc>
        <w:tc>
          <w:tcPr>
            <w:tcW w:w="10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资产管理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★支持MySQL、Oracle、PostgreSQL、SQLServer、MongoDB、Redis、 Impala、GaussDB、武汉达梦、人大金仓、等类型的数据源进行统一 管理；实时展示数据库运行指标，至少包括实时请求数、实时会话 数、访问量、流入量、流出量；支持根据组织架构或权限组，进行数据库分组；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身份管理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支持通过AD(LDAP)等外部认证系统，结合动态令牌等附加因素，或者本地身份系统鉴别人员的实名身份；（投标时提供功能截图并加盖原厂公章）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权限模版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▲支持为敏感资产自定义权限模板；支持通过内置权限模板实现身份初始化授权与最小化权限访问控制。（投标时提供功能截图并加盖原厂公章）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准入控制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数据库登录授权，通过身份的多因素认证，应支持IP地址、MAC地址、第三方堡垒机用户账号或域账号等因素的任意组合，系统根据多维身份管理策略，自动判别登录主体的合法性，如不符合设定的身份管理策略，登录失败；（投标时提供功能截图并加盖原厂公章）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防绕过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▲支持直连阻断与本地操作管控；通过Web客户端或集中管理的远程应用发布的数据库客户端等模式，结合实名化认证，确保仅受信运维人员、运维通道可访问数据库，从架构层面杜绝应用假冒。（投标时提供功能截图并加盖原厂公章）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数据库账号安全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具备免密登录功能，用户通过数据库堡垒机身份认证后，由系统使用已加密托管的数据库密码进行代理认证，运维终端无需知晓数据库真实用户名密码就可登录数据库，同时需要确保运维终端即使知晓数据库账号密码也无法访问数据库，从根源杜绝密码泄露问题。免密登录至少支持PL/SQL Developer、DBeaver等主流及信创常用数据库运维工具。</w:t>
            </w:r>
          </w:p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支持产品OTP登录二次身份认证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具备账号托管功能，支持将数据库真实密码加密存储于数据库堡垒机中，由系统自动认证代理连接数据库，防止因数据库账密公开造成的泄露问题；系统支持对数据库堡垒机登录环节配置OTP/动态令牌二次身份认证。（投标时提供功能截图并加盖原厂公章）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权限管控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针对敏感数据集合的访问，任何账户（包括DBA\SYSDBA\SchemaUser\any 权限等用户）都需要通过授权才可以访问，对不具备访问权限的操作，明确阻断拒绝，实现用户权限分离管理；（投标时提供功能截图并加盖原厂公章）</w:t>
            </w:r>
          </w:p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支持通过标准SQL、原始SQL等方式自定义高危SQL，用以精细化控制针对指定对象的ALTER、DROP、CREATE 、TRUNCATE等高危操作行为；支持将访问日志中的原始SQL进行标准化，形成标准SQL，方便运维人员从访问日志中直接拷贝标准SQL用以自定义高危SQL；（投标时提供功能截图并加盖原厂公章）</w:t>
            </w:r>
          </w:p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无需进行SQL语句自定义，即可在系统页面直接设置针对数据库用户代码的操作管控授权，包括存储过程、函数、包、触发器、视图、索引等代码的创建、删除、修改，对用户、角色的创建、删除和修改，以及对密码的更改，对数据库、SCHEMA、敏感数据表、业务用户表格、系统表格、以及表空间的删除、清空、修改、创建；（投标时提供功能截图并加盖原厂公章）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数据访问频次控制，当请求超过自定义的阈值时，阻断请求；支持查询行数控制，当查询行数超过自定义的阈值时，超过的行数进行阻断，防止返回过多明文导致批量数据泄漏；支持对已分类资产、未分类资产进行动态管控；实现将新增或变更的数据资产自动纳入管控；动态管控策略至少包含阻断、脱敏两种方式；支持对通 过PLsql、Navicat、DBeaver 等三方运维工具进行数据导出的行为进行管控，未授权身份无法实现数据导出；（投标时提供功能截图并加盖原厂公章）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安全防御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支持通过数据库账号集中托管与权限回收机制，实现对闲置或过期账号的快速清理与访问权限撤销。</w:t>
            </w:r>
          </w:p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支持数据库堡垒机登录口令暴力破解防御，对口令攻击行为进行防御，防御数据库爆破行为；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支持通过代理架构隐藏数据库真实IP与端口，从网络层隔离数据库服务，使外部扫描工具无法直接探测数据库服务。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误操作恢复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bidi="ar"/>
              </w:rPr>
              <w:t>支持误操作恢复，对DROP、Truncate类型的操作进行告警、阻断，支持DML操作的事务级数据回滚保护；（投标时提供功能截图并加盖原厂公章）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21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abs>
                <w:tab w:val="left" w:pos="1962"/>
              </w:tabs>
              <w:ind w:left="0" w:leftChars="0" w:firstLine="0" w:firstLine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highlight w:val="none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自主可控要求</w:t>
            </w:r>
          </w:p>
        </w:tc>
        <w:tc>
          <w:tcPr>
            <w:tcW w:w="30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需提供软件物料清单(SBOM)，详细列明软件所包含的所有组件、库、依赖项及其版本、许可证和来源信息，并满足合规性要求，交付的软件不能有高危及以上漏洞，软件部署运行环境须满足以下要求，并提供证明材料；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2.软件部署运行环境须满足以下要求：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1）CPU：该软件兼容通过国家安全可靠测评的 CPU（ARM、X86、MIPS）架构。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2）操作系统：该软件兼容 UOS、麒麟等linux类型的桌面自主可控操作系统和服务器自主可控操作系统。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3）数据库：该软件兼容达梦等关系数据库。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4）应用服务器中间件：该软件兼容中创等应用服务器中间件。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5）浏览器：兼容自主可控终端下的奇安信浏览器、360安全浏览器。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3.本项目所采购的软件产品100%为国产自主可控软件，如软件涉及境外厂商开发、境外版权所有、境外主体提供，涉及境外组件、境外模块、境外云服务、境外接口依赖，需做申明。</w:t>
            </w:r>
          </w:p>
          <w:p>
            <w:pPr>
              <w:tabs>
                <w:tab w:val="left" w:pos="1962"/>
              </w:tabs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4.原厂需就以上要求提供自主可控承诺函并加盖原厂公章。</w:t>
            </w:r>
          </w:p>
        </w:tc>
        <w:tc>
          <w:tcPr>
            <w:tcW w:w="28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2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12C74"/>
    <w:rsid w:val="0F412C74"/>
    <w:rsid w:val="5B04723E"/>
    <w:rsid w:val="7026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5">
    <w:name w:val="Body Text First Indent 2"/>
    <w:basedOn w:val="4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paragraph" w:customStyle="1" w:styleId="8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2026-06-17T10:42:00Z</dcterms:created>
  <dc:creator>csgadmin</dc:creator>
  <cp:lastModifiedBy>csgadmin</cp:lastModifiedBy>
  <dcterms:modified xsi:type="dcterms:W3CDTF">2026-06-18T09:45:19Z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