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color w:val="000000"/>
          <w:sz w:val="52"/>
          <w:lang w:val="en-US" w:eastAsia="zh-CN"/>
        </w:rPr>
      </w:pPr>
    </w:p>
    <w:p>
      <w:pPr>
        <w:jc w:val="center"/>
        <w:rPr>
          <w:rFonts w:hint="eastAsia"/>
          <w:b/>
          <w:bCs/>
          <w:color w:val="000000"/>
          <w:sz w:val="52"/>
          <w:lang w:val="en-US" w:eastAsia="zh-CN"/>
        </w:rPr>
      </w:pPr>
    </w:p>
    <w:p>
      <w:pPr>
        <w:jc w:val="center"/>
        <w:rPr>
          <w:rFonts w:hint="eastAsia"/>
          <w:b/>
          <w:bCs/>
          <w:color w:val="000000"/>
          <w:sz w:val="52"/>
          <w:lang w:val="en-US" w:eastAsia="zh-CN"/>
        </w:rPr>
      </w:pPr>
      <w:r>
        <w:rPr>
          <w:rFonts w:hint="eastAsia"/>
          <w:b/>
          <w:bCs/>
          <w:color w:val="000000"/>
          <w:sz w:val="52"/>
          <w:lang w:val="en-US" w:eastAsia="zh-CN"/>
        </w:rPr>
        <w:t>保护插件</w:t>
      </w:r>
    </w:p>
    <w:p>
      <w:pPr>
        <w:jc w:val="center"/>
        <w:rPr>
          <w:rFonts w:hint="eastAsia"/>
          <w:b/>
          <w:bCs/>
          <w:color w:val="000000"/>
          <w:sz w:val="52"/>
          <w:lang w:eastAsia="zh-CN"/>
        </w:rPr>
      </w:pPr>
      <w:r>
        <w:rPr>
          <w:rFonts w:hint="eastAsia"/>
          <w:b/>
          <w:bCs/>
          <w:color w:val="000000"/>
          <w:sz w:val="52"/>
          <w:lang w:eastAsia="zh-CN"/>
        </w:rPr>
        <w:t>技术规范书</w:t>
      </w:r>
    </w:p>
    <w:p>
      <w:pPr>
        <w:jc w:val="center"/>
        <w:rPr>
          <w:rFonts w:hint="eastAsia"/>
          <w:b/>
          <w:bCs/>
          <w:color w:val="000000"/>
          <w:sz w:val="52"/>
          <w:lang w:eastAsia="zh-CN"/>
        </w:rPr>
      </w:pPr>
    </w:p>
    <w:p>
      <w:pPr>
        <w:spacing w:line="420" w:lineRule="exact"/>
        <w:jc w:val="center"/>
        <w:rPr>
          <w:rFonts w:hint="eastAsia" w:ascii="Arial" w:hAnsi="Arial"/>
          <w:b/>
          <w:sz w:val="32"/>
          <w:lang w:eastAsia="zh-CN"/>
        </w:rPr>
      </w:pPr>
      <w:r>
        <w:rPr>
          <w:rFonts w:hint="eastAsia" w:ascii="Times New Roman" w:hAnsi="Times New Roman"/>
          <w:b/>
          <w:color w:val="000000"/>
          <w:sz w:val="36"/>
          <w:szCs w:val="36"/>
        </w:rPr>
        <w:t>项目名称：</w:t>
      </w:r>
    </w:p>
    <w:p>
      <w:pPr>
        <w:spacing w:line="420" w:lineRule="exact"/>
        <w:jc w:val="center"/>
        <w:rPr>
          <w:rFonts w:ascii="Times New Roman" w:hAnsi="Times New Roman"/>
          <w:b/>
          <w:color w:val="000000"/>
          <w:sz w:val="48"/>
        </w:rPr>
      </w:pPr>
      <w:r>
        <w:rPr>
          <w:rFonts w:hint="eastAsia" w:ascii="Arial" w:hAnsi="Arial"/>
          <w:b/>
          <w:sz w:val="32"/>
          <w:lang w:eastAsia="zh-CN"/>
        </w:rPr>
        <w:t>2026年变电管理二所生产材料购置项目（二次）</w:t>
      </w:r>
    </w:p>
    <w:p>
      <w:pPr>
        <w:pStyle w:val="4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pStyle w:val="4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jc w:val="center"/>
        <w:rPr>
          <w:b/>
          <w:bCs/>
          <w:color w:val="000000"/>
          <w:sz w:val="44"/>
          <w:szCs w:val="44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ascii="Times New Roman" w:hAnsi="Times New Roman"/>
          <w:color w:val="000000"/>
        </w:rPr>
      </w:pPr>
    </w:p>
    <w:p>
      <w:pPr>
        <w:pStyle w:val="4"/>
        <w:rPr>
          <w:rFonts w:hint="eastAsia" w:ascii="Times New Roman" w:hAnsi="Times New Roman"/>
          <w:color w:val="000000"/>
          <w:sz w:val="32"/>
        </w:rPr>
      </w:pPr>
    </w:p>
    <w:p>
      <w:pPr>
        <w:pStyle w:val="4"/>
        <w:jc w:val="center"/>
        <w:rPr>
          <w:rFonts w:hint="eastAsia" w:ascii="Times New Roman" w:hAnsi="Times New Roman"/>
          <w:color w:val="000000"/>
          <w:sz w:val="36"/>
          <w:szCs w:val="36"/>
        </w:rPr>
      </w:pPr>
      <w:r>
        <w:rPr>
          <w:rFonts w:hint="eastAsia" w:ascii="Times New Roman" w:hAnsi="Times New Roman"/>
          <w:color w:val="000000"/>
          <w:sz w:val="36"/>
          <w:szCs w:val="36"/>
        </w:rPr>
        <w:t>20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26</w:t>
      </w:r>
      <w:r>
        <w:rPr>
          <w:rFonts w:hint="eastAsia" w:ascii="Times New Roman" w:hAnsi="Times New Roman"/>
          <w:color w:val="000000"/>
          <w:sz w:val="36"/>
          <w:szCs w:val="36"/>
        </w:rPr>
        <w:t>年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</w:t>
      </w:r>
      <w:r>
        <w:rPr>
          <w:rFonts w:hint="eastAsia" w:ascii="Times New Roman" w:hAnsi="Times New Roman"/>
          <w:color w:val="000000"/>
          <w:sz w:val="36"/>
          <w:szCs w:val="36"/>
        </w:rPr>
        <w:t>月</w:t>
      </w:r>
    </w:p>
    <w:p>
      <w:pPr>
        <w:pStyle w:val="4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color w:val="000000"/>
          <w:sz w:val="32"/>
        </w:rPr>
        <w:br w:type="page"/>
      </w:r>
    </w:p>
    <w:p>
      <w:pPr>
        <w:pStyle w:val="4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b/>
          <w:color w:val="000000"/>
          <w:sz w:val="44"/>
        </w:rPr>
        <w:t>目    录</w:t>
      </w:r>
    </w:p>
    <w:p>
      <w:pPr>
        <w:pStyle w:val="4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pStyle w:val="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1. 总则</w:t>
      </w: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2. 基本技术要求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3. 供货范围</w:t>
      </w:r>
      <w:r>
        <w:rPr>
          <w:rFonts w:eastAsia="黑体"/>
          <w:b/>
          <w:sz w:val="28"/>
          <w:szCs w:val="28"/>
        </w:rPr>
        <w:cr/>
      </w:r>
      <w:r>
        <w:rPr>
          <w:rFonts w:eastAsia="黑体"/>
          <w:b/>
          <w:sz w:val="28"/>
          <w:szCs w:val="28"/>
        </w:rPr>
        <w:t xml:space="preserve">    4. 质量保证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5. 技术服务、设计联络、工厂检验和监造</w:t>
      </w:r>
    </w:p>
    <w:p>
      <w:pPr>
        <w:pStyle w:val="2"/>
        <w:ind w:firstLine="562" w:firstLineChars="200"/>
        <w:rPr>
          <w:rFonts w:hint="default" w:eastAsia="黑体"/>
          <w:lang w:val="en-US" w:eastAsia="zh-CN"/>
        </w:rPr>
      </w:pPr>
      <w:r>
        <w:rPr>
          <w:rFonts w:hint="eastAsia" w:eastAsia="黑体"/>
          <w:b/>
          <w:sz w:val="28"/>
          <w:szCs w:val="28"/>
          <w:lang w:val="en-US" w:eastAsia="zh-CN"/>
        </w:rPr>
        <w:t xml:space="preserve">6. </w:t>
      </w:r>
      <w:r>
        <w:rPr>
          <w:rFonts w:ascii="Times New Roman" w:hAnsi="Times New Roman" w:eastAsia="黑体" w:cs="Times New Roman"/>
          <w:b/>
          <w:kern w:val="2"/>
          <w:sz w:val="28"/>
          <w:szCs w:val="28"/>
          <w:lang w:val="en-US" w:eastAsia="zh-CN" w:bidi="ar-SA"/>
        </w:rPr>
        <w:t>技术联络</w:t>
      </w:r>
    </w:p>
    <w:p>
      <w:pPr>
        <w:pStyle w:val="4"/>
        <w:rPr>
          <w:rFonts w:ascii="Times New Roman" w:hAnsi="Times New Roman"/>
          <w:bCs/>
          <w:color w:val="000000"/>
          <w:sz w:val="30"/>
        </w:rPr>
      </w:pPr>
      <w:r>
        <w:rPr>
          <w:rFonts w:ascii="Times New Roman" w:hAnsi="Times New Roman"/>
          <w:bCs/>
          <w:color w:val="000000"/>
          <w:sz w:val="30"/>
        </w:rPr>
        <w:cr/>
      </w: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4"/>
        <w:tabs>
          <w:tab w:val="left" w:pos="2340"/>
          <w:tab w:val="left" w:pos="7020"/>
        </w:tabs>
        <w:jc w:val="both"/>
        <w:rPr>
          <w:rFonts w:ascii="Times New Roman" w:hAnsi="Times New Roman"/>
          <w:b/>
          <w:sz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  <w:r>
        <w:rPr>
          <w:rFonts w:eastAsia="黑体"/>
          <w:b/>
          <w:sz w:val="24"/>
          <w:szCs w:val="24"/>
        </w:rPr>
        <w:t>1</w:t>
      </w:r>
      <w:r>
        <w:rPr>
          <w:rFonts w:hint="eastAsia" w:eastAsia="黑体"/>
          <w:b/>
          <w:sz w:val="24"/>
          <w:szCs w:val="24"/>
          <w:lang w:eastAsia="zh-CN"/>
        </w:rPr>
        <w:t>、</w:t>
      </w:r>
      <w:r>
        <w:rPr>
          <w:rFonts w:eastAsia="黑体"/>
          <w:b/>
          <w:sz w:val="24"/>
          <w:szCs w:val="24"/>
        </w:rPr>
        <w:t>总则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1.1   本设备技术规范书提出了该设备的功能设计、</w:t>
      </w:r>
      <w:r>
        <w:rPr>
          <w:rFonts w:hint="eastAsia"/>
          <w:sz w:val="24"/>
          <w:szCs w:val="24"/>
        </w:rPr>
        <w:t>结构、</w:t>
      </w:r>
      <w:r>
        <w:rPr>
          <w:sz w:val="24"/>
          <w:szCs w:val="24"/>
        </w:rPr>
        <w:t>性能</w:t>
      </w:r>
      <w:r>
        <w:rPr>
          <w:rFonts w:hint="eastAsia"/>
          <w:sz w:val="24"/>
          <w:szCs w:val="24"/>
        </w:rPr>
        <w:t>参数</w:t>
      </w:r>
      <w:r>
        <w:rPr>
          <w:sz w:val="24"/>
          <w:szCs w:val="24"/>
        </w:rPr>
        <w:t>等方面的技术要求。</w:t>
      </w:r>
    </w:p>
    <w:p>
      <w:pPr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1.2 </w:t>
      </w:r>
      <w:r>
        <w:rPr>
          <w:sz w:val="24"/>
        </w:rPr>
        <w:t>本协议提出的是最低限度的技术要求，并未对一切技术细节作出规定，也未充分引述有关标准和规范，供方应保证提供符合本标书和工业标准的产品。</w:t>
      </w:r>
      <w:r>
        <w:rPr>
          <w:kern w:val="0"/>
          <w:sz w:val="24"/>
          <w:szCs w:val="24"/>
        </w:rPr>
        <w:t>本协议所提出的技术指标与供方所执行的标准发生矛盾时，按较高指标执行。</w:t>
      </w:r>
      <w:r>
        <w:rPr>
          <w:rFonts w:hint="eastAsia"/>
          <w:kern w:val="0"/>
          <w:sz w:val="24"/>
          <w:szCs w:val="24"/>
          <w:lang w:val="en-US" w:eastAsia="zh-CN"/>
        </w:rPr>
        <w:t xml:space="preserve"> </w:t>
      </w:r>
    </w:p>
    <w:p>
      <w:pPr>
        <w:widowControl/>
        <w:spacing w:line="360" w:lineRule="auto"/>
        <w:jc w:val="left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1.3 供方所提供的组件或附件如需向第三方外购时，供方应对质量向需方</w:t>
      </w:r>
      <w:r>
        <w:rPr>
          <w:rFonts w:hint="eastAsia"/>
          <w:kern w:val="0"/>
          <w:sz w:val="24"/>
          <w:szCs w:val="24"/>
        </w:rPr>
        <w:t>负责</w:t>
      </w:r>
      <w:r>
        <w:rPr>
          <w:kern w:val="0"/>
          <w:sz w:val="24"/>
          <w:szCs w:val="24"/>
        </w:rPr>
        <w:t>，并提供相应的出厂和验收证明。</w:t>
      </w:r>
    </w:p>
    <w:p>
      <w:pPr>
        <w:pStyle w:val="4"/>
        <w:spacing w:line="360" w:lineRule="auto"/>
        <w:rPr>
          <w:rFonts w:ascii="Times New Roman" w:hAnsi="Times New Roman"/>
          <w:kern w:val="0"/>
          <w:sz w:val="24"/>
          <w:szCs w:val="24"/>
        </w:rPr>
      </w:pPr>
      <w:bookmarkStart w:id="0" w:name="_Toc469818029"/>
      <w:bookmarkEnd w:id="0"/>
      <w:bookmarkStart w:id="1" w:name="_Toc469818030"/>
      <w:bookmarkEnd w:id="1"/>
      <w:r>
        <w:rPr>
          <w:rFonts w:ascii="Times New Roman" w:hAnsi="Times New Roman"/>
          <w:kern w:val="0"/>
          <w:sz w:val="24"/>
          <w:szCs w:val="24"/>
        </w:rPr>
        <w:t>1.4 本协议经供需双方确认签字后作为订货合同的技术附件，与合同正文具有同等的法律效力。</w:t>
      </w:r>
    </w:p>
    <w:p>
      <w:pPr>
        <w:pStyle w:val="4"/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>1.5</w:t>
      </w: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ab/>
      </w: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>应采购满足自主可控要求的CPU</w:t>
      </w:r>
    </w:p>
    <w:p>
      <w:pPr>
        <w:pStyle w:val="4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1.</w:t>
      </w: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>6</w:t>
      </w:r>
      <w:r>
        <w:rPr>
          <w:rFonts w:ascii="Times New Roman" w:hAnsi="Times New Roman"/>
          <w:sz w:val="24"/>
          <w:szCs w:val="24"/>
        </w:rPr>
        <w:t xml:space="preserve"> 本协议未尽事宜，由供需双方协商确定。</w:t>
      </w:r>
    </w:p>
    <w:p>
      <w:pPr>
        <w:spacing w:line="360" w:lineRule="auto"/>
        <w:rPr>
          <w:b/>
          <w:color w:val="FF0000"/>
          <w:kern w:val="0"/>
          <w:sz w:val="24"/>
          <w:szCs w:val="24"/>
        </w:rPr>
      </w:pPr>
    </w:p>
    <w:p>
      <w:pPr>
        <w:tabs>
          <w:tab w:val="left" w:pos="630"/>
        </w:tabs>
        <w:spacing w:line="360" w:lineRule="auto"/>
        <w:rPr>
          <w:rFonts w:eastAsia="黑体"/>
          <w:b/>
          <w:kern w:val="0"/>
          <w:sz w:val="24"/>
          <w:szCs w:val="24"/>
        </w:rPr>
      </w:pPr>
      <w:r>
        <w:rPr>
          <w:b/>
          <w:kern w:val="0"/>
          <w:sz w:val="24"/>
          <w:szCs w:val="24"/>
        </w:rPr>
        <w:t>2</w:t>
      </w:r>
      <w:r>
        <w:rPr>
          <w:rFonts w:hint="eastAsia"/>
          <w:b/>
          <w:kern w:val="0"/>
          <w:sz w:val="24"/>
          <w:szCs w:val="24"/>
          <w:lang w:eastAsia="zh-CN"/>
        </w:rPr>
        <w:t>、</w:t>
      </w:r>
      <w:r>
        <w:rPr>
          <w:rFonts w:eastAsia="黑体"/>
          <w:b/>
          <w:kern w:val="0"/>
          <w:sz w:val="24"/>
          <w:szCs w:val="24"/>
        </w:rPr>
        <w:t>基本技术要求</w:t>
      </w:r>
    </w:p>
    <w:p>
      <w:pPr>
        <w:spacing w:line="360" w:lineRule="auto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2.1   设备使用环境条件</w:t>
      </w:r>
    </w:p>
    <w:p>
      <w:pPr>
        <w:spacing w:line="360" w:lineRule="auto"/>
        <w:ind w:left="784" w:leftChars="-7" w:hanging="799" w:hangingChars="333"/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2.1.1   空气温度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 xml:space="preserve">        </w:t>
      </w:r>
      <w:r>
        <w:rPr>
          <w:sz w:val="24"/>
        </w:rPr>
        <w:t>最高温度    ＋4</w:t>
      </w:r>
      <w:r>
        <w:rPr>
          <w:rFonts w:hint="eastAsia"/>
          <w:sz w:val="24"/>
        </w:rPr>
        <w:t>0</w:t>
      </w:r>
      <w:r>
        <w:rPr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最低温度    －5℃   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最大日温差  25K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24 h内平均温度不高于35</w:t>
      </w:r>
      <w:r>
        <w:rPr>
          <w:rFonts w:hAnsi="宋体"/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2   </w:t>
      </w:r>
      <w:r>
        <w:rPr>
          <w:sz w:val="24"/>
        </w:rPr>
        <w:t>海拔高度    不超过1000m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3   </w:t>
      </w:r>
      <w:r>
        <w:rPr>
          <w:sz w:val="24"/>
        </w:rPr>
        <w:t>环境湿度    相对湿度不大于</w:t>
      </w:r>
      <w:r>
        <w:rPr>
          <w:rFonts w:hint="eastAsia"/>
          <w:sz w:val="24"/>
        </w:rPr>
        <w:t>80</w:t>
      </w:r>
      <w:r>
        <w:rPr>
          <w:sz w:val="24"/>
        </w:rPr>
        <w:t>%</w:t>
      </w:r>
    </w:p>
    <w:p>
      <w:pPr>
        <w:spacing w:line="360" w:lineRule="auto"/>
        <w:ind w:left="784" w:leftChars="-7" w:hanging="799" w:hangingChars="333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2.1.4   技术要求</w:t>
      </w:r>
    </w:p>
    <w:p>
      <w:pPr>
        <w:spacing w:line="360" w:lineRule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 xml:space="preserve">       风量   不小于50CFM</w:t>
      </w:r>
    </w:p>
    <w:p>
      <w:pPr>
        <w:spacing w:line="360" w:lineRule="auto"/>
        <w:rPr>
          <w:rFonts w:hint="eastAsia"/>
          <w:sz w:val="22"/>
          <w:szCs w:val="22"/>
          <w:lang w:eastAsia="zh-CN"/>
        </w:rPr>
      </w:pPr>
    </w:p>
    <w:p>
      <w:pPr>
        <w:spacing w:line="360" w:lineRule="auto"/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>3</w:t>
      </w:r>
      <w:r>
        <w:rPr>
          <w:rFonts w:hint="eastAsia" w:eastAsia="黑体"/>
          <w:b/>
          <w:sz w:val="24"/>
          <w:lang w:eastAsia="zh-CN"/>
        </w:rPr>
        <w:t>、</w:t>
      </w:r>
      <w:r>
        <w:rPr>
          <w:rFonts w:eastAsia="黑体"/>
          <w:b/>
          <w:sz w:val="24"/>
        </w:rPr>
        <w:t>供货范围</w:t>
      </w:r>
    </w:p>
    <w:p>
      <w:pPr>
        <w:spacing w:line="360" w:lineRule="auto"/>
        <w:rPr>
          <w:sz w:val="24"/>
        </w:rPr>
      </w:pPr>
      <w:r>
        <w:rPr>
          <w:sz w:val="24"/>
        </w:rPr>
        <w:t>3.1 供货要求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3.1.1 供方保证提供设备为全新的、先进的、成熟的、完整的和安全可靠的</w:t>
      </w:r>
      <w:r>
        <w:rPr>
          <w:rFonts w:hint="eastAsia"/>
          <w:sz w:val="24"/>
        </w:rPr>
        <w:t>，</w:t>
      </w:r>
      <w:r>
        <w:rPr>
          <w:sz w:val="24"/>
        </w:rPr>
        <w:t>且设备的技术经济性能符合本协议的要求。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3.1.2 供方应提供详细供货清单，清单中依次说明型号、数量、产地、生产厂家等内容。</w:t>
      </w:r>
    </w:p>
    <w:p>
      <w:pPr>
        <w:spacing w:line="360" w:lineRule="auto"/>
        <w:rPr>
          <w:rFonts w:hint="eastAsia"/>
          <w:sz w:val="24"/>
        </w:rPr>
      </w:pPr>
      <w:r>
        <w:rPr>
          <w:sz w:val="24"/>
        </w:rPr>
        <w:t>3.2 供货范围</w:t>
      </w:r>
    </w:p>
    <w:p>
      <w:pPr>
        <w:pStyle w:val="4"/>
        <w:jc w:val="both"/>
        <w:rPr>
          <w:rFonts w:hint="eastAsia"/>
          <w:sz w:val="22"/>
          <w:szCs w:val="18"/>
        </w:rPr>
      </w:pPr>
      <w:r>
        <w:rPr>
          <w:rFonts w:hint="eastAsia"/>
          <w:sz w:val="22"/>
          <w:szCs w:val="18"/>
        </w:rPr>
        <w:t>项目名称：</w:t>
      </w:r>
      <w:r>
        <w:rPr>
          <w:rFonts w:hint="eastAsia" w:ascii="宋体" w:eastAsia="宋体"/>
          <w:sz w:val="22"/>
          <w:szCs w:val="18"/>
        </w:rPr>
        <w:t>2026年变电管理二所生产材料购置项目（二次）</w:t>
      </w:r>
    </w:p>
    <w:tbl>
      <w:tblPr>
        <w:tblStyle w:val="5"/>
        <w:tblW w:w="89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743"/>
        <w:gridCol w:w="2620"/>
        <w:gridCol w:w="1154"/>
        <w:gridCol w:w="920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75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1743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62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规格型号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55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743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宋体" w:cs="宋体"/>
                <w:sz w:val="24"/>
                <w:szCs w:val="24"/>
                <w:lang w:val="en-US" w:eastAsia="zh-CN"/>
              </w:rPr>
              <w:t>保护插件</w:t>
            </w:r>
          </w:p>
        </w:tc>
        <w:tc>
          <w:tcPr>
            <w:tcW w:w="262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cs="宋体"/>
                <w:sz w:val="24"/>
                <w:lang w:val="en-US" w:eastAsia="zh-CN"/>
              </w:rPr>
              <w:t>CPU插件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个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sz w:val="21"/>
                <w:szCs w:val="21"/>
                <w:lang w:val="en-US" w:eastAsia="zh-CN"/>
              </w:rPr>
              <w:t>CPU插件-用于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武汉旌胜科技有限公司FH-6611保护测控装置</w:t>
            </w:r>
          </w:p>
        </w:tc>
      </w:tr>
    </w:tbl>
    <w:p>
      <w:pPr>
        <w:spacing w:line="360" w:lineRule="auto"/>
        <w:rPr>
          <w:rFonts w:hint="eastAsia" w:eastAsia="宋体"/>
          <w:sz w:val="24"/>
          <w:lang w:eastAsia="zh-CN"/>
        </w:rPr>
      </w:pP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4</w:t>
      </w:r>
      <w:r>
        <w:rPr>
          <w:rFonts w:hint="eastAsia"/>
          <w:b/>
          <w:sz w:val="24"/>
          <w:lang w:eastAsia="zh-CN"/>
        </w:rPr>
        <w:t>、</w:t>
      </w:r>
      <w:r>
        <w:rPr>
          <w:b/>
          <w:sz w:val="24"/>
        </w:rPr>
        <w:t>质量保证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4</w:t>
      </w:r>
      <w:r>
        <w:rPr>
          <w:sz w:val="24"/>
        </w:rPr>
        <w:t>.1 供货方应保证其提供的产品及其附件是全新的，未使用过的，采用的是优质材料和先进工艺，并在各方面符合合同规定的质量、规格和性能。供货方应保证设备及其组件经过正确安装、正常操作和保养，在其寿命期内运行良好，供货方应承诺设备的寿命不少于30年。在质保期内，由于供货方设计、材料或工艺的原因所造成的缺陷或故障，供货方应立即免费负责修理或更换有缺陷的零部件或整机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4</w:t>
      </w:r>
      <w:r>
        <w:rPr>
          <w:sz w:val="24"/>
        </w:rPr>
        <w:t>.</w:t>
      </w:r>
      <w:r>
        <w:rPr>
          <w:rFonts w:hint="eastAsia"/>
          <w:sz w:val="24"/>
          <w:lang w:val="en-US" w:eastAsia="zh-CN"/>
        </w:rPr>
        <w:t>2</w:t>
      </w:r>
      <w:r>
        <w:rPr>
          <w:sz w:val="24"/>
        </w:rPr>
        <w:t xml:space="preserve"> 在质量保证期内，由于供货方设备的质量问题而造成停运，供货方应负责尽快更换有缺陷或损坏的部件并赔偿相应损失。设备的质保期将延长，延长时间为设备重新投运后12个月。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4</w:t>
      </w:r>
      <w:r>
        <w:rPr>
          <w:sz w:val="24"/>
        </w:rPr>
        <w:t>.</w:t>
      </w:r>
      <w:r>
        <w:rPr>
          <w:rFonts w:hint="eastAsia"/>
          <w:sz w:val="24"/>
          <w:lang w:val="en-US" w:eastAsia="zh-CN"/>
        </w:rPr>
        <w:t>3</w:t>
      </w:r>
      <w:r>
        <w:rPr>
          <w:sz w:val="24"/>
        </w:rPr>
        <w:t xml:space="preserve"> </w:t>
      </w:r>
      <w:bookmarkStart w:id="3" w:name="_GoBack"/>
      <w:bookmarkEnd w:id="3"/>
      <w:r>
        <w:rPr>
          <w:sz w:val="24"/>
        </w:rPr>
        <w:t>供货方从其他厂采购的设备，一切质量问题应由供货方负责。</w:t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b/>
          <w:sz w:val="24"/>
        </w:rPr>
      </w:pPr>
      <w:bookmarkStart w:id="2" w:name="_Toc225910598"/>
      <w:r>
        <w:rPr>
          <w:rFonts w:hint="eastAsia"/>
          <w:b/>
          <w:sz w:val="24"/>
          <w:lang w:val="en-US" w:eastAsia="zh-CN"/>
        </w:rPr>
        <w:t>5</w:t>
      </w:r>
      <w:r>
        <w:rPr>
          <w:rFonts w:hint="eastAsia"/>
          <w:b/>
          <w:sz w:val="24"/>
        </w:rPr>
        <w:t>、</w:t>
      </w:r>
      <w:r>
        <w:rPr>
          <w:b/>
          <w:sz w:val="24"/>
        </w:rPr>
        <w:t>技术服务、设计联络、工厂检验和监造</w:t>
      </w:r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5</w:t>
      </w:r>
      <w:r>
        <w:rPr>
          <w:sz w:val="24"/>
        </w:rPr>
        <w:t>.1 技术服务：供货方应指定一名工地代表，配合买方及安装承包商之间的工作。供货方应指派合格的有经验的安装监督人员和试验工程师， 对合同设备的安装、调试和现场试验等进行技术指导。供货方指导人员应对所有安装工作的正确性负责，除非安装承包商的工作未按照供货方指导人员的意见执行，并且供货方指导人员立即以书面形式将此情况通知买方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5</w:t>
      </w:r>
      <w:r>
        <w:rPr>
          <w:sz w:val="24"/>
        </w:rPr>
        <w:t>.2 设计联络会：为协调设计及其它方面的接口工作，根据需要买方与供货方应召开设计联络会。供货方应制定详细的设计联络会日程。签约后的4周内，供货方应向买方建议设计联络会方案，在设计联络会上买方有权对合同设备提出改进意见，供货方应高度重视这些意见并作出改进。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val="en-US" w:eastAsia="zh-CN"/>
        </w:rPr>
        <w:t>5</w:t>
      </w:r>
      <w:r>
        <w:rPr>
          <w:sz w:val="24"/>
        </w:rPr>
        <w:t>.3 在供货方工厂的检验和监造：买方有权派遣其检验人员到供货方及其分包商的车间场所， 对合同设备的加工制造进行检验和监造。买方将为此目的而派遣的代表的身份以书面形式通知供货方。</w:t>
      </w:r>
    </w:p>
    <w:p>
      <w:pPr>
        <w:spacing w:line="360" w:lineRule="auto"/>
        <w:rPr>
          <w:rFonts w:hint="eastAsia"/>
          <w:sz w:val="24"/>
        </w:rPr>
      </w:pPr>
    </w:p>
    <w:p>
      <w:pPr>
        <w:tabs>
          <w:tab w:val="left" w:pos="3220"/>
        </w:tabs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 w:eastAsia="黑体"/>
          <w:b/>
          <w:sz w:val="24"/>
          <w:lang w:val="en-US" w:eastAsia="zh-CN"/>
        </w:rPr>
        <w:t>6</w:t>
      </w:r>
      <w:r>
        <w:rPr>
          <w:rFonts w:hint="eastAsia" w:eastAsia="黑体"/>
          <w:b/>
          <w:sz w:val="24"/>
          <w:lang w:eastAsia="zh-CN"/>
        </w:rPr>
        <w:t>、</w:t>
      </w:r>
      <w:r>
        <w:rPr>
          <w:rFonts w:eastAsia="黑体"/>
          <w:b/>
          <w:sz w:val="24"/>
        </w:rPr>
        <w:t>技术联络</w:t>
      </w:r>
    </w:p>
    <w:p>
      <w:pPr>
        <w:spacing w:line="360" w:lineRule="auto"/>
        <w:rPr>
          <w:rFonts w:eastAsia="黑体"/>
          <w:b w:val="0"/>
          <w:bCs/>
          <w:sz w:val="24"/>
        </w:rPr>
      </w:pPr>
      <w:r>
        <w:rPr>
          <w:rFonts w:hint="eastAsia"/>
          <w:b w:val="0"/>
          <w:bCs/>
          <w:sz w:val="24"/>
          <w:lang w:val="en-US" w:eastAsia="zh-CN"/>
        </w:rPr>
        <w:t>6</w:t>
      </w:r>
      <w:r>
        <w:rPr>
          <w:b w:val="0"/>
          <w:bCs/>
          <w:sz w:val="24"/>
        </w:rPr>
        <w:t>.</w:t>
      </w:r>
      <w:r>
        <w:rPr>
          <w:rFonts w:eastAsia="黑体"/>
          <w:b w:val="0"/>
          <w:bCs/>
          <w:sz w:val="24"/>
        </w:rPr>
        <w:t>1</w:t>
      </w:r>
      <w:r>
        <w:rPr>
          <w:b w:val="0"/>
          <w:bCs/>
          <w:sz w:val="24"/>
        </w:rPr>
        <w:t xml:space="preserve"> 技术联络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1 </w:t>
      </w:r>
      <w:r>
        <w:rPr>
          <w:sz w:val="24"/>
        </w:rPr>
        <w:t>合同签订后，供方应指定负责本次合同的项目经理（负责人），负责协调供方在交付中的各项工作，如包装运输等。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  <w:lang w:val="en-US" w:eastAsia="zh-CN"/>
        </w:rPr>
        <w:t>6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2 </w:t>
      </w:r>
      <w:r>
        <w:rPr>
          <w:sz w:val="24"/>
          <w:szCs w:val="24"/>
        </w:rPr>
        <w:t>供货方在订货前应向需方提供一般性资料如：鉴定证书、说明书和主要技术参数等。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AD24C0"/>
    <w:rsid w:val="006D7232"/>
    <w:rsid w:val="00F34DE0"/>
    <w:rsid w:val="01713364"/>
    <w:rsid w:val="01970ABF"/>
    <w:rsid w:val="020751CD"/>
    <w:rsid w:val="0211269C"/>
    <w:rsid w:val="024C3C36"/>
    <w:rsid w:val="032004D5"/>
    <w:rsid w:val="0364598B"/>
    <w:rsid w:val="03711C7C"/>
    <w:rsid w:val="03B655FF"/>
    <w:rsid w:val="04B24818"/>
    <w:rsid w:val="05242382"/>
    <w:rsid w:val="06622973"/>
    <w:rsid w:val="067726BC"/>
    <w:rsid w:val="070B49BD"/>
    <w:rsid w:val="07886CD2"/>
    <w:rsid w:val="07A4285E"/>
    <w:rsid w:val="07B633B7"/>
    <w:rsid w:val="08271864"/>
    <w:rsid w:val="085D44ED"/>
    <w:rsid w:val="087A4235"/>
    <w:rsid w:val="08E74B9C"/>
    <w:rsid w:val="09007054"/>
    <w:rsid w:val="0B353EBE"/>
    <w:rsid w:val="0B6B41E2"/>
    <w:rsid w:val="0C0E49BB"/>
    <w:rsid w:val="0CCB5E93"/>
    <w:rsid w:val="0D27000B"/>
    <w:rsid w:val="0D2A53B3"/>
    <w:rsid w:val="0DEE6035"/>
    <w:rsid w:val="0EBB5EBB"/>
    <w:rsid w:val="0F2870F4"/>
    <w:rsid w:val="0FCA2B46"/>
    <w:rsid w:val="10293910"/>
    <w:rsid w:val="10655840"/>
    <w:rsid w:val="10985769"/>
    <w:rsid w:val="10F950E6"/>
    <w:rsid w:val="11E22098"/>
    <w:rsid w:val="15824DAD"/>
    <w:rsid w:val="15B56431"/>
    <w:rsid w:val="15D363DA"/>
    <w:rsid w:val="17937126"/>
    <w:rsid w:val="17F16CD0"/>
    <w:rsid w:val="18384B92"/>
    <w:rsid w:val="1853615F"/>
    <w:rsid w:val="18563DD9"/>
    <w:rsid w:val="18BF37B0"/>
    <w:rsid w:val="18DE7BB4"/>
    <w:rsid w:val="19FA2490"/>
    <w:rsid w:val="1A7A3BCD"/>
    <w:rsid w:val="1AAA53CA"/>
    <w:rsid w:val="1AF01396"/>
    <w:rsid w:val="1B4D6D9C"/>
    <w:rsid w:val="1B543494"/>
    <w:rsid w:val="1B686F58"/>
    <w:rsid w:val="1C5A2CAC"/>
    <w:rsid w:val="1C7F72E3"/>
    <w:rsid w:val="1D594677"/>
    <w:rsid w:val="1DA011EB"/>
    <w:rsid w:val="1E007071"/>
    <w:rsid w:val="1E032915"/>
    <w:rsid w:val="1E06161C"/>
    <w:rsid w:val="1FAE0C8A"/>
    <w:rsid w:val="1FEB1AD0"/>
    <w:rsid w:val="20093941"/>
    <w:rsid w:val="21BB17F6"/>
    <w:rsid w:val="23C930CA"/>
    <w:rsid w:val="23E30EC7"/>
    <w:rsid w:val="241D1241"/>
    <w:rsid w:val="2436260A"/>
    <w:rsid w:val="250C4303"/>
    <w:rsid w:val="251E16CB"/>
    <w:rsid w:val="25B924F3"/>
    <w:rsid w:val="262A4069"/>
    <w:rsid w:val="27521582"/>
    <w:rsid w:val="27BC2A82"/>
    <w:rsid w:val="28070BDC"/>
    <w:rsid w:val="28E3473E"/>
    <w:rsid w:val="29E53C09"/>
    <w:rsid w:val="2A6B28F0"/>
    <w:rsid w:val="2B7D6B5A"/>
    <w:rsid w:val="2C1619D3"/>
    <w:rsid w:val="2C2159DB"/>
    <w:rsid w:val="2D6E6317"/>
    <w:rsid w:val="2D7F2BBD"/>
    <w:rsid w:val="2DC107B9"/>
    <w:rsid w:val="2E314F70"/>
    <w:rsid w:val="30741554"/>
    <w:rsid w:val="30B119FD"/>
    <w:rsid w:val="3115699C"/>
    <w:rsid w:val="312F25C0"/>
    <w:rsid w:val="314C1868"/>
    <w:rsid w:val="31F70E19"/>
    <w:rsid w:val="324639CF"/>
    <w:rsid w:val="32CD5F81"/>
    <w:rsid w:val="32F11349"/>
    <w:rsid w:val="336D3EEB"/>
    <w:rsid w:val="35481E3C"/>
    <w:rsid w:val="358D3900"/>
    <w:rsid w:val="36F7608C"/>
    <w:rsid w:val="380A3AE4"/>
    <w:rsid w:val="38E76532"/>
    <w:rsid w:val="38F74DA8"/>
    <w:rsid w:val="39F0701C"/>
    <w:rsid w:val="3A45694D"/>
    <w:rsid w:val="3D3422BC"/>
    <w:rsid w:val="3DBA31A3"/>
    <w:rsid w:val="3DF47AE1"/>
    <w:rsid w:val="3EA60034"/>
    <w:rsid w:val="3F9600F7"/>
    <w:rsid w:val="40905B6B"/>
    <w:rsid w:val="40B53C35"/>
    <w:rsid w:val="411C7705"/>
    <w:rsid w:val="414A38C6"/>
    <w:rsid w:val="42624AAF"/>
    <w:rsid w:val="4286740D"/>
    <w:rsid w:val="43270B14"/>
    <w:rsid w:val="445F1352"/>
    <w:rsid w:val="45261D3A"/>
    <w:rsid w:val="46046375"/>
    <w:rsid w:val="461E5AF7"/>
    <w:rsid w:val="467C05DA"/>
    <w:rsid w:val="468422EE"/>
    <w:rsid w:val="46DF275D"/>
    <w:rsid w:val="46E9696D"/>
    <w:rsid w:val="48D14B40"/>
    <w:rsid w:val="4929257C"/>
    <w:rsid w:val="4A0008D3"/>
    <w:rsid w:val="4A6203C8"/>
    <w:rsid w:val="4AA367AE"/>
    <w:rsid w:val="4BED2709"/>
    <w:rsid w:val="4C6B394D"/>
    <w:rsid w:val="4D266B2A"/>
    <w:rsid w:val="4D6B792C"/>
    <w:rsid w:val="4D7E1B37"/>
    <w:rsid w:val="4E3905B3"/>
    <w:rsid w:val="4F786FC5"/>
    <w:rsid w:val="504A683A"/>
    <w:rsid w:val="506226B9"/>
    <w:rsid w:val="50C6757F"/>
    <w:rsid w:val="50D86E19"/>
    <w:rsid w:val="516B5F7A"/>
    <w:rsid w:val="518C2568"/>
    <w:rsid w:val="53B460F0"/>
    <w:rsid w:val="560B01EC"/>
    <w:rsid w:val="567D4C35"/>
    <w:rsid w:val="57E050A3"/>
    <w:rsid w:val="58715B3E"/>
    <w:rsid w:val="589C4BC9"/>
    <w:rsid w:val="59073CBD"/>
    <w:rsid w:val="59225793"/>
    <w:rsid w:val="59272BA2"/>
    <w:rsid w:val="59675B45"/>
    <w:rsid w:val="59FD301C"/>
    <w:rsid w:val="5AAA0879"/>
    <w:rsid w:val="5AE15AB6"/>
    <w:rsid w:val="5B1844C7"/>
    <w:rsid w:val="5BF80257"/>
    <w:rsid w:val="5C591485"/>
    <w:rsid w:val="5C674EF1"/>
    <w:rsid w:val="5C90211F"/>
    <w:rsid w:val="5D5B7A88"/>
    <w:rsid w:val="60982715"/>
    <w:rsid w:val="60EA2231"/>
    <w:rsid w:val="610221BC"/>
    <w:rsid w:val="612208ED"/>
    <w:rsid w:val="617D4483"/>
    <w:rsid w:val="61CB217A"/>
    <w:rsid w:val="61F45FE9"/>
    <w:rsid w:val="62A674A6"/>
    <w:rsid w:val="633D77F6"/>
    <w:rsid w:val="634A0ED8"/>
    <w:rsid w:val="64376CB1"/>
    <w:rsid w:val="6449332B"/>
    <w:rsid w:val="646C331E"/>
    <w:rsid w:val="64B03F6B"/>
    <w:rsid w:val="654B542C"/>
    <w:rsid w:val="65CF64FF"/>
    <w:rsid w:val="660C7779"/>
    <w:rsid w:val="67032227"/>
    <w:rsid w:val="67A21D8C"/>
    <w:rsid w:val="67F44FCF"/>
    <w:rsid w:val="68821681"/>
    <w:rsid w:val="6A5A3E35"/>
    <w:rsid w:val="6AC4755E"/>
    <w:rsid w:val="6B015182"/>
    <w:rsid w:val="6B2E1D13"/>
    <w:rsid w:val="6D073C31"/>
    <w:rsid w:val="6D182324"/>
    <w:rsid w:val="711A109F"/>
    <w:rsid w:val="71AD24C0"/>
    <w:rsid w:val="71B4316D"/>
    <w:rsid w:val="71F012A6"/>
    <w:rsid w:val="722F158D"/>
    <w:rsid w:val="72801CCD"/>
    <w:rsid w:val="729874D1"/>
    <w:rsid w:val="737E36C8"/>
    <w:rsid w:val="73C16C81"/>
    <w:rsid w:val="74070ABB"/>
    <w:rsid w:val="74C3379D"/>
    <w:rsid w:val="76C2248B"/>
    <w:rsid w:val="7710308C"/>
    <w:rsid w:val="7716187C"/>
    <w:rsid w:val="77DB281C"/>
    <w:rsid w:val="79A20EA0"/>
    <w:rsid w:val="79C070CF"/>
    <w:rsid w:val="79C919BE"/>
    <w:rsid w:val="79D917F7"/>
    <w:rsid w:val="7BFC41CD"/>
    <w:rsid w:val="7D01659D"/>
    <w:rsid w:val="7D996DAC"/>
    <w:rsid w:val="7D9C711C"/>
    <w:rsid w:val="7ED867C8"/>
    <w:rsid w:val="7EDC404F"/>
    <w:rsid w:val="7EE14B32"/>
    <w:rsid w:val="7F5B5B81"/>
    <w:rsid w:val="7FB0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2025-05-15T01:14:00Z</dcterms:created>
  <dc:creator>31A345AE565A4A90998B44A15F23EAE5</dc:creator>
  <cp:lastModifiedBy>杨经书</cp:lastModifiedBy>
  <dcterms:modified xsi:type="dcterms:W3CDTF">2026-05-25T03:24:34Z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D6A2F483376F472E845F50E5DB5C738B</vt:lpwstr>
  </property>
</Properties>
</file>