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EC5188">
      <w:pPr>
        <w:pStyle w:val="20"/>
        <w:spacing w:line="360" w:lineRule="auto"/>
        <w:ind w:left="-567" w:leftChars="-270" w:right="-617" w:rightChars="-294"/>
        <w:jc w:val="center"/>
        <w:rPr>
          <w:rFonts w:hint="eastAsia" w:ascii="Times New Roman"/>
          <w:b/>
          <w:sz w:val="48"/>
          <w:szCs w:val="48"/>
          <w:highlight w:val="none"/>
        </w:rPr>
      </w:pPr>
      <w:bookmarkStart w:id="0" w:name="_Toc316983912"/>
      <w:r>
        <w:rPr>
          <w:rFonts w:hint="eastAsia" w:ascii="Times New Roman"/>
          <w:b/>
          <w:sz w:val="48"/>
          <w:szCs w:val="48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-911860</wp:posOffset>
            </wp:positionH>
            <wp:positionV relativeFrom="paragraph">
              <wp:posOffset>-727710</wp:posOffset>
            </wp:positionV>
            <wp:extent cx="8915400" cy="2736850"/>
            <wp:effectExtent l="0" t="0" r="0" b="6350"/>
            <wp:wrapTight wrapText="bothSides">
              <wp:wrapPolygon>
                <wp:start x="0" y="0"/>
                <wp:lineTo x="0" y="21500"/>
                <wp:lineTo x="21554" y="21500"/>
                <wp:lineTo x="21554" y="0"/>
                <wp:lineTo x="0" y="0"/>
              </wp:wrapPolygon>
            </wp:wrapTight>
            <wp:docPr id="1" name="图片 1" descr="说明: 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说明: 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2736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44E1923">
      <w:pPr>
        <w:pStyle w:val="20"/>
        <w:spacing w:line="360" w:lineRule="auto"/>
        <w:ind w:left="-567" w:leftChars="-270" w:right="-617" w:rightChars="-294"/>
        <w:jc w:val="center"/>
        <w:rPr>
          <w:rFonts w:hint="default" w:ascii="Times New Roman" w:hAnsi="Times New Roman" w:cs="Times New Roman"/>
          <w:b w:val="0"/>
          <w:bCs/>
          <w:sz w:val="48"/>
          <w:szCs w:val="48"/>
          <w:highlight w:val="none"/>
        </w:rPr>
      </w:pPr>
      <w:r>
        <w:rPr>
          <w:rFonts w:hint="default" w:ascii="Times New Roman" w:hAnsi="Times New Roman" w:cs="Times New Roman"/>
          <w:b w:val="0"/>
          <w:bCs/>
          <w:sz w:val="48"/>
          <w:szCs w:val="48"/>
          <w:highlight w:val="none"/>
        </w:rPr>
        <w:t>数智运营中心202</w:t>
      </w:r>
      <w:r>
        <w:rPr>
          <w:rFonts w:hint="eastAsia" w:cs="Times New Roman"/>
          <w:b w:val="0"/>
          <w:bCs/>
          <w:sz w:val="48"/>
          <w:szCs w:val="48"/>
          <w:highlight w:val="none"/>
          <w:lang w:val="en-US" w:eastAsia="zh-CN"/>
        </w:rPr>
        <w:t>6</w:t>
      </w:r>
      <w:r>
        <w:rPr>
          <w:rFonts w:hint="default" w:ascii="Times New Roman" w:hAnsi="Times New Roman" w:cs="Times New Roman"/>
          <w:b w:val="0"/>
          <w:bCs/>
          <w:sz w:val="48"/>
          <w:szCs w:val="48"/>
          <w:highlight w:val="none"/>
        </w:rPr>
        <w:t>年日常生产资金</w:t>
      </w:r>
    </w:p>
    <w:p w14:paraId="7861321E">
      <w:pPr>
        <w:pStyle w:val="20"/>
        <w:spacing w:line="360" w:lineRule="auto"/>
        <w:ind w:left="-567" w:leftChars="-270" w:right="-617" w:rightChars="-294"/>
        <w:jc w:val="center"/>
        <w:rPr>
          <w:rFonts w:hint="eastAsia" w:cs="Times New Roman"/>
          <w:b/>
          <w:bCs w:val="0"/>
          <w:sz w:val="48"/>
          <w:szCs w:val="48"/>
          <w:highlight w:val="none"/>
          <w:lang w:val="en-US" w:eastAsia="zh-CN"/>
        </w:rPr>
      </w:pPr>
      <w:r>
        <w:rPr>
          <w:rFonts w:hint="eastAsia" w:cs="Times New Roman"/>
          <w:b/>
          <w:bCs w:val="0"/>
          <w:sz w:val="48"/>
          <w:szCs w:val="48"/>
          <w:highlight w:val="none"/>
          <w:lang w:val="en-US" w:eastAsia="zh-CN"/>
        </w:rPr>
        <w:t>（信息材料及耗材）</w:t>
      </w:r>
    </w:p>
    <w:p w14:paraId="758FF700">
      <w:pPr>
        <w:pStyle w:val="20"/>
        <w:spacing w:line="360" w:lineRule="auto"/>
        <w:ind w:left="-567" w:leftChars="-270" w:right="-617" w:rightChars="-294"/>
        <w:jc w:val="center"/>
        <w:rPr>
          <w:rFonts w:hint="default" w:ascii="Times New Roman" w:hAnsi="Times New Roman" w:eastAsia="宋体" w:cs="Times New Roman"/>
          <w:b/>
          <w:color w:val="000000"/>
          <w:sz w:val="26"/>
          <w:szCs w:val="26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bCs/>
          <w:sz w:val="48"/>
          <w:szCs w:val="48"/>
          <w:highlight w:val="none"/>
          <w:lang w:eastAsia="zh-CN"/>
        </w:rPr>
        <w:t>技术规范书</w:t>
      </w:r>
    </w:p>
    <w:p w14:paraId="4EC22124">
      <w:pPr>
        <w:spacing w:line="360" w:lineRule="auto"/>
        <w:jc w:val="center"/>
        <w:rPr>
          <w:rFonts w:hint="default" w:ascii="Times New Roman" w:hAnsi="Times New Roman" w:cs="Times New Roman"/>
          <w:b/>
          <w:color w:val="000000"/>
          <w:sz w:val="26"/>
          <w:szCs w:val="26"/>
          <w:highlight w:val="none"/>
        </w:rPr>
      </w:pPr>
    </w:p>
    <w:p w14:paraId="3C6CAEA1">
      <w:pPr>
        <w:spacing w:line="360" w:lineRule="auto"/>
        <w:jc w:val="center"/>
        <w:rPr>
          <w:rFonts w:hint="default" w:ascii="Times New Roman" w:hAnsi="Times New Roman" w:cs="Times New Roman"/>
          <w:b/>
          <w:color w:val="000000"/>
          <w:sz w:val="26"/>
          <w:szCs w:val="26"/>
          <w:highlight w:val="none"/>
        </w:rPr>
      </w:pPr>
    </w:p>
    <w:p w14:paraId="6E31F14A">
      <w:pPr>
        <w:spacing w:line="360" w:lineRule="auto"/>
        <w:jc w:val="center"/>
        <w:rPr>
          <w:rFonts w:hint="default" w:ascii="Times New Roman" w:hAnsi="Times New Roman" w:cs="Times New Roman"/>
          <w:b/>
          <w:bCs/>
          <w:color w:val="000000"/>
          <w:sz w:val="40"/>
          <w:szCs w:val="40"/>
          <w:highlight w:val="none"/>
        </w:rPr>
      </w:pPr>
    </w:p>
    <w:p w14:paraId="38761401">
      <w:pPr>
        <w:spacing w:line="360" w:lineRule="auto"/>
        <w:jc w:val="center"/>
        <w:rPr>
          <w:rFonts w:hint="default" w:ascii="Times New Roman" w:hAnsi="Times New Roman" w:cs="Times New Roman"/>
          <w:b/>
          <w:bCs/>
          <w:color w:val="000000"/>
          <w:sz w:val="40"/>
          <w:szCs w:val="40"/>
          <w:highlight w:val="none"/>
        </w:rPr>
      </w:pPr>
    </w:p>
    <w:p w14:paraId="2115B539">
      <w:pPr>
        <w:spacing w:line="360" w:lineRule="auto"/>
        <w:jc w:val="center"/>
        <w:rPr>
          <w:rFonts w:hint="default" w:ascii="Times New Roman" w:hAnsi="Times New Roman" w:cs="Times New Roman"/>
          <w:b/>
          <w:bCs/>
          <w:color w:val="000000"/>
          <w:sz w:val="40"/>
          <w:szCs w:val="40"/>
          <w:highlight w:val="none"/>
        </w:rPr>
      </w:pPr>
    </w:p>
    <w:p w14:paraId="56FAD699">
      <w:pPr>
        <w:spacing w:line="360" w:lineRule="auto"/>
        <w:jc w:val="center"/>
        <w:rPr>
          <w:rFonts w:hint="default" w:ascii="Times New Roman" w:hAnsi="Times New Roman" w:cs="Times New Roman"/>
          <w:b/>
          <w:bCs/>
          <w:color w:val="000000"/>
          <w:sz w:val="40"/>
          <w:szCs w:val="40"/>
          <w:highlight w:val="none"/>
        </w:rPr>
      </w:pPr>
    </w:p>
    <w:p w14:paraId="20DF99F7">
      <w:pPr>
        <w:spacing w:line="360" w:lineRule="auto"/>
        <w:jc w:val="center"/>
        <w:rPr>
          <w:rFonts w:hint="default" w:ascii="Times New Roman" w:hAnsi="Times New Roman" w:cs="Times New Roman"/>
          <w:b/>
          <w:bCs/>
          <w:color w:val="000000"/>
          <w:sz w:val="40"/>
          <w:szCs w:val="40"/>
          <w:highlight w:val="none"/>
        </w:rPr>
      </w:pPr>
    </w:p>
    <w:p w14:paraId="6714C68F">
      <w:pPr>
        <w:pStyle w:val="2"/>
        <w:rPr>
          <w:rFonts w:hint="default"/>
        </w:rPr>
      </w:pPr>
    </w:p>
    <w:p w14:paraId="7AAB0054">
      <w:pPr>
        <w:spacing w:line="360" w:lineRule="auto"/>
        <w:jc w:val="center"/>
        <w:rPr>
          <w:rFonts w:hint="default" w:ascii="Times New Roman" w:hAnsi="Times New Roman" w:cs="Times New Roman"/>
          <w:b/>
          <w:bCs/>
          <w:color w:val="000000"/>
          <w:sz w:val="40"/>
          <w:szCs w:val="40"/>
          <w:highlight w:val="none"/>
        </w:rPr>
      </w:pPr>
    </w:p>
    <w:p w14:paraId="3C733A82">
      <w:pPr>
        <w:spacing w:after="156" w:afterLines="50" w:line="360" w:lineRule="auto"/>
        <w:jc w:val="center"/>
        <w:rPr>
          <w:rFonts w:hint="default" w:ascii="Times New Roman" w:hAnsi="Times New Roman" w:cs="Times New Roman"/>
          <w:b/>
          <w:bCs/>
          <w:color w:val="000000"/>
          <w:sz w:val="40"/>
          <w:szCs w:val="40"/>
          <w:highlight w:val="none"/>
        </w:rPr>
      </w:pPr>
      <w:r>
        <w:rPr>
          <w:rFonts w:hint="default" w:ascii="Times New Roman" w:hAnsi="Times New Roman" w:cs="Times New Roman"/>
          <w:b/>
          <w:bCs/>
          <w:color w:val="000000"/>
          <w:sz w:val="40"/>
          <w:szCs w:val="40"/>
          <w:highlight w:val="none"/>
        </w:rPr>
        <w:t>广西电网有限责任公司</w:t>
      </w:r>
      <w:r>
        <w:rPr>
          <w:rFonts w:hint="eastAsia" w:ascii="Times New Roman" w:hAnsi="Times New Roman" w:cs="Times New Roman"/>
          <w:b/>
          <w:bCs/>
          <w:color w:val="000000"/>
          <w:sz w:val="40"/>
          <w:szCs w:val="40"/>
          <w:highlight w:val="none"/>
          <w:lang w:eastAsia="zh-CN"/>
        </w:rPr>
        <w:t>数智运营</w:t>
      </w:r>
      <w:r>
        <w:rPr>
          <w:rFonts w:hint="default" w:ascii="Times New Roman" w:hAnsi="Times New Roman" w:cs="Times New Roman"/>
          <w:b/>
          <w:bCs/>
          <w:color w:val="000000"/>
          <w:sz w:val="40"/>
          <w:szCs w:val="40"/>
          <w:highlight w:val="none"/>
        </w:rPr>
        <w:t>中心</w:t>
      </w:r>
    </w:p>
    <w:p w14:paraId="1B5A7C84">
      <w:pPr>
        <w:spacing w:line="360" w:lineRule="auto"/>
        <w:jc w:val="center"/>
        <w:rPr>
          <w:rFonts w:hint="default" w:ascii="Times New Roman" w:hAnsi="Times New Roman" w:cs="Times New Roman"/>
          <w:color w:val="000000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b/>
          <w:bCs/>
          <w:color w:val="000000"/>
          <w:sz w:val="40"/>
          <w:szCs w:val="40"/>
          <w:highlight w:val="none"/>
        </w:rPr>
        <w:t>20</w:t>
      </w:r>
      <w:r>
        <w:rPr>
          <w:rFonts w:hint="default" w:ascii="Times New Roman" w:hAnsi="Times New Roman" w:cs="Times New Roman"/>
          <w:b/>
          <w:bCs/>
          <w:color w:val="000000"/>
          <w:sz w:val="40"/>
          <w:szCs w:val="40"/>
          <w:highlight w:val="none"/>
          <w:lang w:val="en-US" w:eastAsia="zh-CN"/>
        </w:rPr>
        <w:t>2</w:t>
      </w:r>
      <w:r>
        <w:rPr>
          <w:rFonts w:hint="eastAsia" w:ascii="Times New Roman" w:hAnsi="Times New Roman" w:cs="Times New Roman"/>
          <w:b/>
          <w:bCs/>
          <w:color w:val="000000"/>
          <w:sz w:val="40"/>
          <w:szCs w:val="40"/>
          <w:highlight w:val="none"/>
          <w:lang w:val="en-US" w:eastAsia="zh-CN"/>
        </w:rPr>
        <w:t>6</w:t>
      </w:r>
      <w:r>
        <w:rPr>
          <w:rFonts w:hint="default" w:ascii="Times New Roman" w:hAnsi="Times New Roman" w:cs="Times New Roman"/>
          <w:b/>
          <w:bCs/>
          <w:color w:val="000000"/>
          <w:sz w:val="40"/>
          <w:szCs w:val="40"/>
          <w:highlight w:val="none"/>
        </w:rPr>
        <w:t>年</w:t>
      </w:r>
      <w:r>
        <w:rPr>
          <w:rFonts w:hint="eastAsia" w:ascii="Times New Roman" w:hAnsi="Times New Roman" w:cs="Times New Roman"/>
          <w:b/>
          <w:bCs/>
          <w:color w:val="000000"/>
          <w:sz w:val="40"/>
          <w:szCs w:val="40"/>
          <w:highlight w:val="none"/>
          <w:lang w:val="en-US" w:eastAsia="zh-CN"/>
        </w:rPr>
        <w:t>5</w:t>
      </w:r>
      <w:r>
        <w:rPr>
          <w:rFonts w:hint="default" w:ascii="Times New Roman" w:hAnsi="Times New Roman" w:cs="Times New Roman"/>
          <w:b/>
          <w:bCs/>
          <w:color w:val="000000"/>
          <w:sz w:val="40"/>
          <w:szCs w:val="40"/>
          <w:highlight w:val="none"/>
        </w:rPr>
        <w:t>月</w:t>
      </w:r>
    </w:p>
    <w:p w14:paraId="24C9728E">
      <w:pPr>
        <w:pStyle w:val="2"/>
        <w:rPr>
          <w:rFonts w:hint="default"/>
        </w:rPr>
        <w:sectPr>
          <w:pgSz w:w="11906" w:h="16838"/>
          <w:pgMar w:top="1134" w:right="1418" w:bottom="1701" w:left="1418" w:header="567" w:footer="1134" w:gutter="0"/>
          <w:pgNumType w:start="1"/>
          <w:cols w:space="425" w:num="1"/>
          <w:docGrid w:linePitch="312" w:charSpace="0"/>
        </w:sectPr>
      </w:pPr>
    </w:p>
    <w:p w14:paraId="03441C24">
      <w:pPr>
        <w:pStyle w:val="4"/>
        <w:keepNext/>
        <w:keepLines w:val="0"/>
        <w:widowControl/>
        <w:adjustRightInd/>
        <w:spacing w:before="0" w:after="163"/>
        <w:jc w:val="left"/>
        <w:textAlignment w:val="auto"/>
        <w:rPr>
          <w:rFonts w:hint="default" w:ascii="Times New Roman" w:hAnsi="Times New Roman" w:eastAsia="宋体" w:cs="宋体"/>
          <w:w w:val="100"/>
          <w:kern w:val="44"/>
          <w:sz w:val="32"/>
          <w:szCs w:val="32"/>
          <w:highlight w:val="none"/>
        </w:rPr>
      </w:pPr>
      <w:r>
        <w:rPr>
          <w:rFonts w:hint="default" w:ascii="Times New Roman" w:hAnsi="Times New Roman" w:eastAsia="宋体" w:cs="宋体"/>
          <w:w w:val="100"/>
          <w:kern w:val="44"/>
          <w:sz w:val="32"/>
          <w:szCs w:val="32"/>
          <w:highlight w:val="none"/>
        </w:rPr>
        <w:t>总则</w:t>
      </w:r>
      <w:bookmarkEnd w:id="0"/>
    </w:p>
    <w:p w14:paraId="04404FE2">
      <w:pPr>
        <w:pStyle w:val="41"/>
        <w:keepNext w:val="0"/>
        <w:keepLines w:val="0"/>
        <w:pageBreakBefore w:val="0"/>
        <w:widowControl w:val="0"/>
        <w:numPr>
          <w:ilvl w:val="1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sz w:val="24"/>
          <w:szCs w:val="24"/>
          <w:highlight w:val="none"/>
        </w:rPr>
        <w:t>本技术规范书适用</w:t>
      </w:r>
      <w:r>
        <w:rPr>
          <w:rFonts w:hint="default" w:ascii="Times New Roman" w:hAnsi="Times New Roman" w:cs="Times New Roman"/>
          <w:sz w:val="24"/>
          <w:szCs w:val="24"/>
          <w:highlight w:val="none"/>
          <w:lang w:val="en-US" w:eastAsia="zh-CN"/>
        </w:rPr>
        <w:t>于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数智运营中心2026年日常生产资金（信息材料及耗材）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的功能、性能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、安装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等方面的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技术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要求。</w:t>
      </w:r>
    </w:p>
    <w:p w14:paraId="29EEF70D">
      <w:pPr>
        <w:pStyle w:val="41"/>
        <w:keepNext w:val="0"/>
        <w:keepLines w:val="0"/>
        <w:pageBreakBefore w:val="0"/>
        <w:widowControl w:val="0"/>
        <w:numPr>
          <w:ilvl w:val="1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sz w:val="24"/>
          <w:szCs w:val="24"/>
          <w:highlight w:val="none"/>
        </w:rPr>
        <w:t>本技术规范书提出的是最基本的技术要求，并未对一切技术细节做出规定，也未充分引述有关标准和规范的条文，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投标方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应提供保证符合本技术规范书和工业标准的产品。</w:t>
      </w:r>
    </w:p>
    <w:p w14:paraId="462C2660">
      <w:pPr>
        <w:pStyle w:val="41"/>
        <w:keepNext w:val="0"/>
        <w:keepLines w:val="0"/>
        <w:pageBreakBefore w:val="0"/>
        <w:widowControl w:val="0"/>
        <w:numPr>
          <w:ilvl w:val="1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sz w:val="24"/>
          <w:szCs w:val="24"/>
          <w:highlight w:val="none"/>
        </w:rPr>
        <w:t>如果投标方没有以书面形式对本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技术规范书</w:t>
      </w:r>
      <w:r>
        <w:rPr>
          <w:rFonts w:hint="eastAsia" w:ascii="Times New Roman" w:hAnsi="Times New Roman" w:cs="Times New Roman"/>
          <w:sz w:val="24"/>
          <w:szCs w:val="24"/>
          <w:highlight w:val="none"/>
        </w:rPr>
        <w:t>的条文提出异议, 则意味着投标方提供的设备(或系统)完全符合本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技术规范书</w:t>
      </w:r>
      <w:r>
        <w:rPr>
          <w:rFonts w:hint="eastAsia" w:ascii="Times New Roman" w:hAnsi="Times New Roman" w:cs="Times New Roman"/>
          <w:sz w:val="24"/>
          <w:szCs w:val="24"/>
          <w:highlight w:val="none"/>
        </w:rPr>
        <w:t>的要求。如有异议, 不管是多么微小, 都应在报价书中以“对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技术规范书</w:t>
      </w:r>
      <w:r>
        <w:rPr>
          <w:rFonts w:hint="eastAsia" w:ascii="Times New Roman" w:hAnsi="Times New Roman" w:cs="Times New Roman"/>
          <w:sz w:val="24"/>
          <w:szCs w:val="24"/>
          <w:highlight w:val="none"/>
        </w:rPr>
        <w:t>的意见和同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技术规范书</w:t>
      </w:r>
      <w:r>
        <w:rPr>
          <w:rFonts w:hint="eastAsia" w:ascii="Times New Roman" w:hAnsi="Times New Roman" w:cs="Times New Roman"/>
          <w:sz w:val="24"/>
          <w:szCs w:val="24"/>
          <w:highlight w:val="none"/>
        </w:rPr>
        <w:t>的差异”为标题的专门章节中加以详细描述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。</w:t>
      </w:r>
    </w:p>
    <w:p w14:paraId="12B0AB4D">
      <w:pPr>
        <w:pStyle w:val="41"/>
        <w:keepNext w:val="0"/>
        <w:keepLines w:val="0"/>
        <w:pageBreakBefore w:val="0"/>
        <w:widowControl w:val="0"/>
        <w:numPr>
          <w:ilvl w:val="1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sz w:val="24"/>
          <w:szCs w:val="24"/>
          <w:highlight w:val="none"/>
        </w:rPr>
        <w:t>本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技术规范书</w:t>
      </w:r>
      <w:r>
        <w:rPr>
          <w:rFonts w:hint="eastAsia" w:ascii="Times New Roman" w:hAnsi="Times New Roman" w:cs="Times New Roman"/>
          <w:sz w:val="24"/>
          <w:szCs w:val="24"/>
          <w:highlight w:val="none"/>
        </w:rPr>
        <w:t>所使用的标准如遇与投标方所执行的标准不一致时, 按较高标准执行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。</w:t>
      </w:r>
    </w:p>
    <w:p w14:paraId="0F563B94">
      <w:pPr>
        <w:pStyle w:val="41"/>
        <w:keepNext w:val="0"/>
        <w:keepLines w:val="0"/>
        <w:pageBreakBefore w:val="0"/>
        <w:widowControl w:val="0"/>
        <w:numPr>
          <w:ilvl w:val="1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sz w:val="24"/>
          <w:szCs w:val="24"/>
          <w:highlight w:val="none"/>
        </w:rPr>
        <w:t>本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技术规范书</w:t>
      </w:r>
      <w:r>
        <w:rPr>
          <w:rFonts w:hint="eastAsia" w:ascii="Times New Roman" w:hAnsi="Times New Roman" w:cs="Times New Roman"/>
          <w:sz w:val="24"/>
          <w:szCs w:val="24"/>
          <w:highlight w:val="none"/>
        </w:rPr>
        <w:t>经买、卖双方确认后作为订货合同的技术附件，与合同正文具有同等法律效力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。</w:t>
      </w:r>
    </w:p>
    <w:p w14:paraId="52434353">
      <w:pPr>
        <w:pStyle w:val="41"/>
        <w:keepNext w:val="0"/>
        <w:keepLines w:val="0"/>
        <w:pageBreakBefore w:val="0"/>
        <w:widowControl w:val="0"/>
        <w:numPr>
          <w:ilvl w:val="1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sz w:val="24"/>
          <w:szCs w:val="24"/>
          <w:highlight w:val="none"/>
        </w:rPr>
        <w:t>投标方在应标技术文件中应如实反映应标产品与本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技术规范书</w:t>
      </w:r>
      <w:r>
        <w:rPr>
          <w:rFonts w:hint="eastAsia" w:ascii="Times New Roman" w:hAnsi="Times New Roman" w:cs="Times New Roman"/>
          <w:sz w:val="24"/>
          <w:szCs w:val="24"/>
          <w:highlight w:val="none"/>
        </w:rPr>
        <w:t>的技术差异。如果投标方没有提出技术差异，而在执行合同的过程中，招标方发现投标方提供的产品与其应标技术文件的条文存在差异，招标方有权利要求退货，并将对下一年度的评标工作有不同程度的影响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。</w:t>
      </w:r>
    </w:p>
    <w:p w14:paraId="46773BB0">
      <w:pPr>
        <w:pStyle w:val="41"/>
        <w:keepNext w:val="0"/>
        <w:keepLines w:val="0"/>
        <w:pageBreakBefore w:val="0"/>
        <w:widowControl w:val="0"/>
        <w:numPr>
          <w:ilvl w:val="1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投标方应在投标的技术应答文件按</w:t>
      </w:r>
      <w:r>
        <w:rPr>
          <w:rFonts w:hint="eastAsia" w:ascii="Times New Roman" w:hAnsi="Times New Roman" w:cs="Times New Roman"/>
          <w:sz w:val="24"/>
          <w:szCs w:val="24"/>
          <w:highlight w:val="none"/>
        </w:rPr>
        <w:t>本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技术规范书的要求如实详细的填写应标设备的标准配置表，并在应标商务部分按此标准配置进行报价，如发现二者有矛盾之处，将对评标工作有不同程度的影响</w:t>
      </w:r>
      <w:r>
        <w:rPr>
          <w:rFonts w:hint="default" w:ascii="Times New Roman" w:hAnsi="Times New Roman" w:cs="Times New Roman"/>
          <w:sz w:val="24"/>
          <w:szCs w:val="24"/>
          <w:highlight w:val="none"/>
          <w:lang w:eastAsia="zh-CN"/>
        </w:rPr>
        <w:t>。</w:t>
      </w:r>
    </w:p>
    <w:p w14:paraId="12C3E1EF">
      <w:pPr>
        <w:pStyle w:val="41"/>
        <w:keepNext w:val="0"/>
        <w:keepLines w:val="0"/>
        <w:pageBreakBefore w:val="0"/>
        <w:widowControl w:val="0"/>
        <w:numPr>
          <w:ilvl w:val="1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sz w:val="24"/>
          <w:szCs w:val="24"/>
          <w:highlight w:val="none"/>
        </w:rPr>
        <w:t>投标方应充分理解本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技术规范书</w:t>
      </w:r>
      <w:r>
        <w:rPr>
          <w:rFonts w:hint="eastAsia" w:ascii="Times New Roman" w:hAnsi="Times New Roman" w:cs="Times New Roman"/>
          <w:sz w:val="24"/>
          <w:szCs w:val="24"/>
          <w:highlight w:val="none"/>
        </w:rPr>
        <w:t>并按本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技术规范书</w:t>
      </w:r>
      <w:r>
        <w:rPr>
          <w:rFonts w:hint="eastAsia" w:ascii="Times New Roman" w:hAnsi="Times New Roman" w:cs="Times New Roman"/>
          <w:sz w:val="24"/>
          <w:szCs w:val="24"/>
          <w:highlight w:val="none"/>
        </w:rPr>
        <w:t>的具体条款、格式要求填写应标的技术文件，如发现应标的技术文件条款、格式不符合本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技术规范书</w:t>
      </w:r>
      <w:r>
        <w:rPr>
          <w:rFonts w:hint="eastAsia" w:ascii="Times New Roman" w:hAnsi="Times New Roman" w:cs="Times New Roman"/>
          <w:sz w:val="24"/>
          <w:szCs w:val="24"/>
          <w:highlight w:val="none"/>
        </w:rPr>
        <w:t>的要求，则认为应标不严肃，在评标时将有不同程度的扣分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。</w:t>
      </w:r>
    </w:p>
    <w:p w14:paraId="1CD2CAAB">
      <w:pPr>
        <w:pStyle w:val="41"/>
        <w:keepNext w:val="0"/>
        <w:keepLines w:val="0"/>
        <w:pageBreakBefore w:val="0"/>
        <w:widowControl w:val="0"/>
        <w:numPr>
          <w:ilvl w:val="1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0"/>
        <w:textAlignment w:val="auto"/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sz w:val="24"/>
          <w:szCs w:val="24"/>
          <w:highlight w:val="none"/>
        </w:rPr>
        <w:t>本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技术规范书</w:t>
      </w:r>
      <w:r>
        <w:rPr>
          <w:rFonts w:hint="eastAsia" w:ascii="Times New Roman" w:hAnsi="Times New Roman" w:cs="Times New Roman"/>
          <w:sz w:val="24"/>
          <w:szCs w:val="24"/>
          <w:highlight w:val="none"/>
        </w:rPr>
        <w:t>未尽事宜, 由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招标方与投标方双方</w:t>
      </w:r>
      <w:r>
        <w:rPr>
          <w:rFonts w:hint="eastAsia" w:ascii="Times New Roman" w:hAnsi="Times New Roman" w:cs="Times New Roman"/>
          <w:sz w:val="24"/>
          <w:szCs w:val="24"/>
          <w:highlight w:val="none"/>
        </w:rPr>
        <w:t>协商确定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。</w:t>
      </w:r>
    </w:p>
    <w:p w14:paraId="29A4920B">
      <w:pPr>
        <w:pStyle w:val="4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default" w:ascii="Times New Roman" w:hAnsi="Times New Roman" w:cs="Times New Roman"/>
          <w:sz w:val="24"/>
          <w:szCs w:val="24"/>
          <w:highlight w:val="none"/>
        </w:rPr>
      </w:pPr>
    </w:p>
    <w:p w14:paraId="3411E018">
      <w:pPr>
        <w:pStyle w:val="4"/>
        <w:keepNext/>
        <w:keepLines w:val="0"/>
        <w:widowControl/>
        <w:adjustRightInd/>
        <w:spacing w:before="0" w:after="163"/>
        <w:jc w:val="left"/>
        <w:textAlignment w:val="auto"/>
        <w:rPr>
          <w:rFonts w:hint="default" w:ascii="Times New Roman" w:hAnsi="Times New Roman" w:eastAsia="宋体" w:cs="宋体"/>
          <w:w w:val="100"/>
          <w:kern w:val="44"/>
          <w:sz w:val="32"/>
          <w:szCs w:val="32"/>
          <w:highlight w:val="none"/>
        </w:rPr>
      </w:pPr>
      <w:r>
        <w:rPr>
          <w:rFonts w:hint="eastAsia" w:cs="宋体"/>
          <w:w w:val="100"/>
          <w:kern w:val="44"/>
          <w:sz w:val="32"/>
          <w:szCs w:val="32"/>
          <w:highlight w:val="none"/>
          <w:lang w:val="en-US" w:eastAsia="zh-CN"/>
        </w:rPr>
        <w:t>范围和内容</w:t>
      </w:r>
    </w:p>
    <w:p w14:paraId="08EC45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lang w:val="en-US" w:eastAsia="zh-CN"/>
        </w:rPr>
        <w:t>2</w:t>
      </w:r>
      <w:r>
        <w:rPr>
          <w:rFonts w:hint="default" w:ascii="Times New Roman" w:hAnsi="Times New Roman" w:cs="Times New Roman"/>
          <w:b/>
          <w:bCs/>
          <w:sz w:val="24"/>
          <w:szCs w:val="24"/>
          <w:highlight w:val="none"/>
        </w:rPr>
        <w:t>.</w:t>
      </w:r>
      <w:r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lang w:val="en-US" w:eastAsia="zh-CN"/>
        </w:rPr>
        <w:t>1</w:t>
      </w:r>
      <w:r>
        <w:rPr>
          <w:rFonts w:hint="default" w:ascii="Times New Roman" w:hAnsi="Times New Roman" w:cs="Times New Roman"/>
          <w:b/>
          <w:bCs/>
          <w:sz w:val="24"/>
          <w:szCs w:val="24"/>
          <w:highlight w:val="none"/>
        </w:rPr>
        <w:t xml:space="preserve"> 供货范围</w:t>
      </w:r>
    </w:p>
    <w:p w14:paraId="4C473F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0"/>
        <w:textAlignment w:val="auto"/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投标方提供的配件具体规格、数量见表1，投标方要确保供货范围完整，需满足本技术规范的供货要求及技术、功能、性能等要求，并以能满足用户安装、运行要求为原则，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提供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安装手册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。若签订合同后，在安装、调试、运行中发现缺项，则由投标方负责免费补充。</w:t>
      </w:r>
    </w:p>
    <w:p w14:paraId="694305B3">
      <w:pPr>
        <w:pStyle w:val="2"/>
        <w:jc w:val="center"/>
        <w:rPr>
          <w:rFonts w:hint="eastAsia" w:eastAsia="宋体"/>
          <w:highlight w:val="none"/>
          <w:lang w:eastAsia="zh-CN"/>
        </w:rPr>
      </w:pP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表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 xml:space="preserve">1  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供货范围及技术规格一览表</w:t>
      </w:r>
    </w:p>
    <w:tbl>
      <w:tblPr>
        <w:tblStyle w:val="27"/>
        <w:tblW w:w="93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7"/>
        <w:gridCol w:w="1532"/>
        <w:gridCol w:w="5464"/>
        <w:gridCol w:w="810"/>
        <w:gridCol w:w="736"/>
      </w:tblGrid>
      <w:tr w14:paraId="06D4B7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67" w:type="dxa"/>
            <w:vAlign w:val="center"/>
          </w:tcPr>
          <w:p w14:paraId="0FEE6CF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1532" w:type="dxa"/>
            <w:vAlign w:val="center"/>
          </w:tcPr>
          <w:p w14:paraId="1A1D02E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/>
                <w:bCs w:val="0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 w:val="0"/>
                <w:kern w:val="0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5464" w:type="dxa"/>
            <w:vAlign w:val="center"/>
          </w:tcPr>
          <w:p w14:paraId="6AAA431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/>
                <w:bCs w:val="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 w:val="0"/>
                <w:kern w:val="0"/>
                <w:sz w:val="24"/>
                <w:szCs w:val="24"/>
                <w:highlight w:val="none"/>
                <w:lang w:eastAsia="zh-CN"/>
              </w:rPr>
              <w:t>规格要求</w:t>
            </w:r>
          </w:p>
        </w:tc>
        <w:tc>
          <w:tcPr>
            <w:tcW w:w="810" w:type="dxa"/>
            <w:vAlign w:val="center"/>
          </w:tcPr>
          <w:p w14:paraId="52ED4BB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/>
                <w:bCs w:val="0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 w:val="0"/>
                <w:kern w:val="0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736" w:type="dxa"/>
            <w:vAlign w:val="center"/>
          </w:tcPr>
          <w:p w14:paraId="57040C4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/>
                <w:bCs w:val="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 w:val="0"/>
                <w:kern w:val="0"/>
                <w:sz w:val="24"/>
                <w:szCs w:val="24"/>
                <w:highlight w:val="none"/>
                <w:lang w:eastAsia="zh-CN"/>
              </w:rPr>
              <w:t>数量</w:t>
            </w:r>
          </w:p>
        </w:tc>
      </w:tr>
      <w:tr w14:paraId="6CC1A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dxa"/>
            <w:vAlign w:val="center"/>
          </w:tcPr>
          <w:p w14:paraId="5610B3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532" w:type="dxa"/>
            <w:vAlign w:val="center"/>
          </w:tcPr>
          <w:p w14:paraId="541E86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搓纸轮</w:t>
            </w:r>
          </w:p>
        </w:tc>
        <w:tc>
          <w:tcPr>
            <w:tcW w:w="5464" w:type="dxa"/>
            <w:vAlign w:val="center"/>
          </w:tcPr>
          <w:p w14:paraId="291A96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适用于佳能IR ADVABCE C3530搓纸轮</w:t>
            </w:r>
          </w:p>
        </w:tc>
        <w:tc>
          <w:tcPr>
            <w:tcW w:w="810" w:type="dxa"/>
            <w:vAlign w:val="center"/>
          </w:tcPr>
          <w:p w14:paraId="3B67A2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736" w:type="dxa"/>
            <w:vAlign w:val="center"/>
          </w:tcPr>
          <w:p w14:paraId="429DEB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78170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dxa"/>
            <w:vAlign w:val="center"/>
          </w:tcPr>
          <w:p w14:paraId="7CE5E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532" w:type="dxa"/>
            <w:vAlign w:val="center"/>
          </w:tcPr>
          <w:p w14:paraId="101EAB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搓纸轮</w:t>
            </w:r>
          </w:p>
        </w:tc>
        <w:tc>
          <w:tcPr>
            <w:tcW w:w="5464" w:type="dxa"/>
            <w:vAlign w:val="center"/>
          </w:tcPr>
          <w:p w14:paraId="009A14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适用于柯尼卡美能达C368搓纸轮</w:t>
            </w:r>
          </w:p>
        </w:tc>
        <w:tc>
          <w:tcPr>
            <w:tcW w:w="810" w:type="dxa"/>
            <w:vAlign w:val="center"/>
          </w:tcPr>
          <w:p w14:paraId="7ECE49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736" w:type="dxa"/>
            <w:vAlign w:val="center"/>
          </w:tcPr>
          <w:p w14:paraId="546B34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04AA7A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dxa"/>
            <w:vAlign w:val="center"/>
          </w:tcPr>
          <w:p w14:paraId="16165F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532" w:type="dxa"/>
            <w:shd w:val="clear" w:color="auto" w:fill="auto"/>
            <w:vAlign w:val="center"/>
          </w:tcPr>
          <w:p w14:paraId="4437BB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电池</w:t>
            </w:r>
          </w:p>
        </w:tc>
        <w:tc>
          <w:tcPr>
            <w:tcW w:w="5464" w:type="dxa"/>
            <w:shd w:val="clear" w:color="auto" w:fill="auto"/>
            <w:vAlign w:val="center"/>
          </w:tcPr>
          <w:p w14:paraId="481DAE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适用于联想K32-80笔记本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0088E8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2B8E5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47C32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dxa"/>
            <w:vAlign w:val="center"/>
          </w:tcPr>
          <w:p w14:paraId="11F4A2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</w:tcPr>
          <w:p w14:paraId="15BF94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电池</w:t>
            </w:r>
          </w:p>
        </w:tc>
        <w:tc>
          <w:tcPr>
            <w:tcW w:w="5464" w:type="dxa"/>
            <w:shd w:val="clear" w:color="auto" w:fill="auto"/>
            <w:vAlign w:val="center"/>
          </w:tcPr>
          <w:p w14:paraId="10B09D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适用于惠普440 G5笔记本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4E0DDD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B90D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</w:tr>
      <w:tr w14:paraId="6F725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dxa"/>
            <w:vAlign w:val="center"/>
          </w:tcPr>
          <w:p w14:paraId="7988AB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</w:tcPr>
          <w:p w14:paraId="57D601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电源适配器</w:t>
            </w:r>
          </w:p>
        </w:tc>
        <w:tc>
          <w:tcPr>
            <w:tcW w:w="5464" w:type="dxa"/>
            <w:shd w:val="clear" w:color="auto" w:fill="auto"/>
            <w:vAlign w:val="center"/>
          </w:tcPr>
          <w:p w14:paraId="55FA3F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适用于索尼SVP132A1CT笔记本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25BE64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4EA8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9E7B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dxa"/>
            <w:vAlign w:val="center"/>
          </w:tcPr>
          <w:p w14:paraId="54336A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532" w:type="dxa"/>
            <w:shd w:val="clear" w:color="auto" w:fill="auto"/>
            <w:vAlign w:val="center"/>
          </w:tcPr>
          <w:p w14:paraId="648BA5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鼓组件</w:t>
            </w:r>
          </w:p>
        </w:tc>
        <w:tc>
          <w:tcPr>
            <w:tcW w:w="5464" w:type="dxa"/>
            <w:shd w:val="clear" w:color="auto" w:fill="auto"/>
            <w:vAlign w:val="center"/>
          </w:tcPr>
          <w:p w14:paraId="5E79B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instrText xml:space="preserve"> HYPERLINK "https://list.jd.com/list.html?cat=670,21076,21079&amp;ev=exbrand_4760" \t "https://item.jd.com/_blank" </w:instrTex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奔图（PANTUM）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fldChar w:fldCharType="end"/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CP2500DN COO-200YMCK原装彩色成像套件（约40000页）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246F7F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7505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28BD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dxa"/>
            <w:vAlign w:val="center"/>
          </w:tcPr>
          <w:p w14:paraId="6892F5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</w:tcPr>
          <w:p w14:paraId="2FC3F3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墨盒</w:t>
            </w:r>
          </w:p>
        </w:tc>
        <w:tc>
          <w:tcPr>
            <w:tcW w:w="5464" w:type="dxa"/>
            <w:shd w:val="clear" w:color="auto" w:fill="auto"/>
            <w:vAlign w:val="center"/>
          </w:tcPr>
          <w:p w14:paraId="1152CA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适用于惠普Designjet T930 printer绘图仪黄色墨盒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3E0477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C9AC3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048E3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dxa"/>
            <w:vAlign w:val="center"/>
          </w:tcPr>
          <w:p w14:paraId="373AD1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</w:tcPr>
          <w:p w14:paraId="3E707F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墨盒</w:t>
            </w:r>
          </w:p>
        </w:tc>
        <w:tc>
          <w:tcPr>
            <w:tcW w:w="5464" w:type="dxa"/>
            <w:shd w:val="clear" w:color="auto" w:fill="auto"/>
            <w:vAlign w:val="center"/>
          </w:tcPr>
          <w:p w14:paraId="198780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适用于惠普Designjet T930 printer绘图仪灰色墨盒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24118D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A61BB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37F5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dxa"/>
            <w:vAlign w:val="center"/>
          </w:tcPr>
          <w:p w14:paraId="2151F7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532" w:type="dxa"/>
            <w:shd w:val="clear" w:color="auto" w:fill="auto"/>
            <w:vAlign w:val="center"/>
          </w:tcPr>
          <w:p w14:paraId="418F3D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墨盒</w:t>
            </w:r>
          </w:p>
        </w:tc>
        <w:tc>
          <w:tcPr>
            <w:tcW w:w="5464" w:type="dxa"/>
            <w:shd w:val="clear" w:color="auto" w:fill="auto"/>
            <w:vAlign w:val="center"/>
          </w:tcPr>
          <w:p w14:paraId="3B855D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适用于惠普Designjet T930 printer绘图仪磨砂黑墨盒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2AB8A4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DA10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432C2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dxa"/>
            <w:vAlign w:val="center"/>
          </w:tcPr>
          <w:p w14:paraId="3FAEA4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532" w:type="dxa"/>
            <w:shd w:val="clear" w:color="auto" w:fill="auto"/>
            <w:vAlign w:val="center"/>
          </w:tcPr>
          <w:p w14:paraId="668D12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墨盒</w:t>
            </w:r>
          </w:p>
        </w:tc>
        <w:tc>
          <w:tcPr>
            <w:tcW w:w="5464" w:type="dxa"/>
            <w:shd w:val="clear" w:color="auto" w:fill="auto"/>
            <w:vAlign w:val="center"/>
          </w:tcPr>
          <w:p w14:paraId="07A40E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适用于惠普Designjet T930 printer绘图仪品红色墨盒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467077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EA70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1895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dxa"/>
            <w:vAlign w:val="center"/>
          </w:tcPr>
          <w:p w14:paraId="63D83E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532" w:type="dxa"/>
            <w:shd w:val="clear" w:color="auto" w:fill="auto"/>
            <w:vAlign w:val="center"/>
          </w:tcPr>
          <w:p w14:paraId="3B918B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墨盒</w:t>
            </w:r>
          </w:p>
        </w:tc>
        <w:tc>
          <w:tcPr>
            <w:tcW w:w="5464" w:type="dxa"/>
            <w:shd w:val="clear" w:color="auto" w:fill="auto"/>
            <w:vAlign w:val="center"/>
          </w:tcPr>
          <w:p w14:paraId="79DA16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适用于惠普Designjet T930 printer绘图仪青色墨盒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708556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C0CF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14EE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dxa"/>
            <w:vAlign w:val="center"/>
          </w:tcPr>
          <w:p w14:paraId="20DCC5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532" w:type="dxa"/>
            <w:shd w:val="clear" w:color="auto" w:fill="auto"/>
            <w:vAlign w:val="center"/>
          </w:tcPr>
          <w:p w14:paraId="780DF1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墨盒</w:t>
            </w:r>
          </w:p>
        </w:tc>
        <w:tc>
          <w:tcPr>
            <w:tcW w:w="5464" w:type="dxa"/>
            <w:shd w:val="clear" w:color="auto" w:fill="auto"/>
            <w:vAlign w:val="center"/>
          </w:tcPr>
          <w:p w14:paraId="13F731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适用于惠普Designjet T930 printer绘图仪照片黑墨盒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0688C0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9768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5499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dxa"/>
            <w:vAlign w:val="center"/>
          </w:tcPr>
          <w:p w14:paraId="4CBE49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532" w:type="dxa"/>
            <w:shd w:val="clear" w:color="auto" w:fill="auto"/>
            <w:vAlign w:val="center"/>
          </w:tcPr>
          <w:p w14:paraId="7067E0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无线路由器</w:t>
            </w:r>
          </w:p>
        </w:tc>
        <w:tc>
          <w:tcPr>
            <w:tcW w:w="5464" w:type="dxa"/>
            <w:shd w:val="clear" w:color="auto" w:fill="auto"/>
            <w:vAlign w:val="center"/>
          </w:tcPr>
          <w:p w14:paraId="45D577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芯片及核心技术自主可控，WiFi6，无线速率≥7200Mbps，千兆无线路由器，无线双频2.4GHz、5GHz，WDS功能，支持多台路由器无线桥接接入，有线网络接口≥4个，外置天线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4285C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F1745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</w:tr>
      <w:tr w14:paraId="4D0263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dxa"/>
            <w:vAlign w:val="center"/>
          </w:tcPr>
          <w:p w14:paraId="6F2C26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532" w:type="dxa"/>
            <w:shd w:val="clear" w:color="auto" w:fill="auto"/>
            <w:vAlign w:val="center"/>
          </w:tcPr>
          <w:p w14:paraId="5DD625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显影组件</w:t>
            </w:r>
          </w:p>
        </w:tc>
        <w:tc>
          <w:tcPr>
            <w:tcW w:w="5464" w:type="dxa"/>
            <w:shd w:val="clear" w:color="auto" w:fill="auto"/>
            <w:vAlign w:val="center"/>
          </w:tcPr>
          <w:p w14:paraId="78E54B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适用于富士胶片ApeosPort C5570 黑色显影组件（含载体）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614655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838B2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2CE7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dxa"/>
            <w:vAlign w:val="center"/>
          </w:tcPr>
          <w:p w14:paraId="43B6F3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532" w:type="dxa"/>
            <w:shd w:val="clear" w:color="auto" w:fill="auto"/>
            <w:vAlign w:val="center"/>
          </w:tcPr>
          <w:p w14:paraId="1110DB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显影组件</w:t>
            </w:r>
          </w:p>
        </w:tc>
        <w:tc>
          <w:tcPr>
            <w:tcW w:w="5464" w:type="dxa"/>
            <w:shd w:val="clear" w:color="auto" w:fill="auto"/>
            <w:vAlign w:val="center"/>
          </w:tcPr>
          <w:p w14:paraId="37293E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适用于富士胶片ApeosPort C5570 蓝色显影组件（含载体）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081ABD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B578E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CFA6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dxa"/>
            <w:vAlign w:val="center"/>
          </w:tcPr>
          <w:p w14:paraId="3ACD5D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532" w:type="dxa"/>
            <w:shd w:val="clear" w:color="auto" w:fill="auto"/>
            <w:vAlign w:val="center"/>
          </w:tcPr>
          <w:p w14:paraId="5E33CC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显影组件</w:t>
            </w:r>
          </w:p>
        </w:tc>
        <w:tc>
          <w:tcPr>
            <w:tcW w:w="5464" w:type="dxa"/>
            <w:shd w:val="clear" w:color="auto" w:fill="auto"/>
            <w:vAlign w:val="center"/>
          </w:tcPr>
          <w:p w14:paraId="5912C1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适用于富士胶片ApeosPort C5570 黄色显影组件（含载体）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4B054B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7FD24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18711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dxa"/>
            <w:vAlign w:val="center"/>
          </w:tcPr>
          <w:p w14:paraId="098982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532" w:type="dxa"/>
            <w:shd w:val="clear" w:color="auto" w:fill="auto"/>
            <w:vAlign w:val="center"/>
          </w:tcPr>
          <w:p w14:paraId="226C6C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显影组件</w:t>
            </w:r>
          </w:p>
        </w:tc>
        <w:tc>
          <w:tcPr>
            <w:tcW w:w="5464" w:type="dxa"/>
            <w:shd w:val="clear" w:color="auto" w:fill="auto"/>
            <w:vAlign w:val="center"/>
          </w:tcPr>
          <w:p w14:paraId="786F25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适用于富士胶片ApeosPort C5570 红色显影组件（含载体）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1B578F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76554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5C5629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dxa"/>
            <w:vAlign w:val="center"/>
          </w:tcPr>
          <w:p w14:paraId="7BA114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1532" w:type="dxa"/>
            <w:shd w:val="clear" w:color="auto" w:fill="auto"/>
            <w:vAlign w:val="center"/>
          </w:tcPr>
          <w:p w14:paraId="24D65E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转印组件</w:t>
            </w:r>
          </w:p>
        </w:tc>
        <w:tc>
          <w:tcPr>
            <w:tcW w:w="5464" w:type="dxa"/>
            <w:shd w:val="clear" w:color="auto" w:fill="auto"/>
            <w:vAlign w:val="center"/>
          </w:tcPr>
          <w:p w14:paraId="6E65EB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适用于富士胶片Apeos C3060 转印组件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70CD56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5D25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</w:tr>
      <w:tr w14:paraId="200FC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dxa"/>
            <w:vAlign w:val="center"/>
          </w:tcPr>
          <w:p w14:paraId="70D7EF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要求报价含</w:t>
            </w:r>
          </w:p>
        </w:tc>
        <w:tc>
          <w:tcPr>
            <w:tcW w:w="8542" w:type="dxa"/>
            <w:gridSpan w:val="4"/>
            <w:vAlign w:val="center"/>
          </w:tcPr>
          <w:p w14:paraId="5A0B89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Cs w:val="20"/>
                <w:highlight w:val="none"/>
                <w:lang w:val="en-US" w:eastAsia="zh-CN"/>
              </w:rPr>
              <w:t>产品质量保证期不小于1年。</w:t>
            </w:r>
            <w:bookmarkStart w:id="3" w:name="_GoBack"/>
            <w:bookmarkEnd w:id="3"/>
          </w:p>
        </w:tc>
      </w:tr>
    </w:tbl>
    <w:p w14:paraId="0F4543A5">
      <w:pPr>
        <w:pStyle w:val="2"/>
        <w:jc w:val="center"/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</w:pPr>
    </w:p>
    <w:p w14:paraId="276CF233">
      <w:pPr>
        <w:pStyle w:val="4"/>
        <w:numPr>
          <w:ilvl w:val="0"/>
          <w:numId w:val="0"/>
        </w:numPr>
        <w:bidi w:val="0"/>
        <w:rPr>
          <w:rFonts w:hint="eastAsia" w:ascii="Times New Roman" w:hAnsi="Times New Roman" w:eastAsia="宋体" w:cs="Times New Roman"/>
          <w:b w:val="0"/>
          <w:color w:val="auto"/>
          <w:w w:val="100"/>
          <w:kern w:val="2"/>
          <w:sz w:val="24"/>
          <w:szCs w:val="24"/>
          <w:highlight w:val="none"/>
          <w:lang w:val="en-US" w:eastAsia="zh-CN" w:bidi="ar-SA"/>
        </w:rPr>
      </w:pPr>
      <w:bookmarkStart w:id="1" w:name="_Toc316983939"/>
      <w:r>
        <w:rPr>
          <w:rFonts w:hint="eastAsia" w:ascii="Times New Roman" w:hAnsi="Times New Roman" w:eastAsia="宋体" w:cs="Times New Roman"/>
          <w:b w:val="0"/>
          <w:color w:val="auto"/>
          <w:w w:val="100"/>
          <w:kern w:val="2"/>
          <w:sz w:val="24"/>
          <w:szCs w:val="24"/>
          <w:highlight w:val="none"/>
          <w:lang w:val="en-US" w:eastAsia="zh-CN" w:bidi="ar-SA"/>
        </w:rPr>
        <w:t>需方联系人及电话：周森 0771-2551238</w:t>
      </w:r>
    </w:p>
    <w:p w14:paraId="050B15F6">
      <w:pPr>
        <w:rPr>
          <w:rFonts w:hint="eastAsia"/>
        </w:rPr>
      </w:pPr>
    </w:p>
    <w:p w14:paraId="71EB8F98">
      <w:pPr>
        <w:pStyle w:val="4"/>
        <w:bidi w:val="0"/>
        <w:ind w:left="0" w:leftChars="0" w:firstLine="0" w:firstLineChars="0"/>
        <w:rPr>
          <w:rFonts w:hint="eastAsia"/>
          <w:highlight w:val="none"/>
        </w:rPr>
      </w:pPr>
      <w:r>
        <w:rPr>
          <w:rFonts w:hint="eastAsia"/>
          <w:highlight w:val="none"/>
        </w:rPr>
        <w:t>应遵循的主要标准</w:t>
      </w:r>
    </w:p>
    <w:p w14:paraId="2379CB30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Chars="0" w:right="0" w:rightChars="0" w:firstLine="420" w:firstLineChars="0"/>
        <w:jc w:val="both"/>
        <w:textAlignment w:val="auto"/>
        <w:rPr>
          <w:rFonts w:hint="eastAsia" w:ascii="宋体" w:hAnsi="Calibri" w:eastAsia="宋体" w:cs="Times New Roman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"/>
        </w:rPr>
        <w:t>表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"/>
        </w:rPr>
        <w:t>2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"/>
        </w:rPr>
        <w:t>所列标准所包含的条文,通过在本技术规范书中引用而构成本技术规范书的基本条文。在本技术规范书出版时, 若未指明标准号年份，则使用所列标准的最新版本。如果各标准对同一内容要求有所不同，则需满足最高的标准要求。</w:t>
      </w:r>
    </w:p>
    <w:p w14:paraId="52FE1A0D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"/>
        </w:rPr>
      </w:pPr>
    </w:p>
    <w:p w14:paraId="474EE621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"/>
        </w:rPr>
        <w:t>表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"/>
        </w:rPr>
        <w:t>2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"/>
        </w:rPr>
        <w:t xml:space="preserve"> 设备应遵循主要标准列表</w:t>
      </w:r>
    </w:p>
    <w:tbl>
      <w:tblPr>
        <w:tblStyle w:val="27"/>
        <w:tblW w:w="818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5812"/>
      </w:tblGrid>
      <w:tr w14:paraId="046B5B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4FAEC7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"/>
              </w:rPr>
              <w:t>标准号/发文号-年份</w:t>
            </w:r>
          </w:p>
        </w:tc>
        <w:tc>
          <w:tcPr>
            <w:tcW w:w="581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767DDC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"/>
              </w:rPr>
              <w:t>标准名称</w:t>
            </w:r>
          </w:p>
        </w:tc>
      </w:tr>
      <w:tr w14:paraId="620589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3C09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Calibri" w:eastAsia="宋体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Calibri" w:eastAsia="宋体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GB 2423-95</w:t>
            </w:r>
          </w:p>
        </w:tc>
        <w:tc>
          <w:tcPr>
            <w:tcW w:w="581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9F39D46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Calibri" w:eastAsia="宋体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Calibri" w:eastAsia="宋体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《电工电子产品环境试验规程》</w:t>
            </w:r>
          </w:p>
        </w:tc>
      </w:tr>
      <w:tr w14:paraId="78E925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0E77938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Calibri" w:eastAsia="宋体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Calibri" w:eastAsia="宋体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GB/T 45601-2025</w:t>
            </w:r>
          </w:p>
        </w:tc>
        <w:tc>
          <w:tcPr>
            <w:tcW w:w="581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3C48A4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"/>
              </w:rPr>
              <w:t>绿色产品评价</w:t>
            </w:r>
            <w:r>
              <w:rPr>
                <w:rFonts w:hint="eastAsia" w:ascii="宋体" w:hAnsi="Calibri" w:eastAsia="宋体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《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"/>
              </w:rPr>
              <w:t>复印打印设备用耗材与配件</w:t>
            </w:r>
            <w:r>
              <w:rPr>
                <w:rFonts w:hint="eastAsia" w:ascii="宋体" w:hAnsi="Calibri" w:eastAsia="宋体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》</w:t>
            </w:r>
          </w:p>
        </w:tc>
      </w:tr>
      <w:tr w14:paraId="44C494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C74F799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Calibri" w:eastAsia="宋体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Calibri" w:eastAsia="宋体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GB/T 29793-2013</w:t>
            </w:r>
          </w:p>
        </w:tc>
        <w:tc>
          <w:tcPr>
            <w:tcW w:w="581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18F0573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"/>
              </w:rPr>
              <w:t>彩色复印(包括多功能)设备</w:t>
            </w:r>
          </w:p>
        </w:tc>
      </w:tr>
      <w:tr w14:paraId="6D9DC0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A5F7DF4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both"/>
              <w:rPr>
                <w:rFonts w:hint="eastAsia" w:ascii="宋体" w:hAnsi="Calibri" w:eastAsia="宋体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"/>
              </w:rPr>
              <w:t>Q/CSG2223003-2025</w:t>
            </w:r>
          </w:p>
        </w:tc>
        <w:tc>
          <w:tcPr>
            <w:tcW w:w="581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7F2EB0D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中国南方电网有限责任公司信息化项目建设管理细则</w:t>
            </w:r>
          </w:p>
        </w:tc>
      </w:tr>
      <w:tr w14:paraId="2A5FFA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5450C8A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both"/>
              <w:rPr>
                <w:rFonts w:hint="eastAsia" w:ascii="宋体" w:hAnsi="Calibri" w:eastAsia="宋体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Calibri" w:eastAsia="宋体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Q/CSG2222002-2025</w:t>
            </w:r>
          </w:p>
        </w:tc>
        <w:tc>
          <w:tcPr>
            <w:tcW w:w="581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3814BAE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"/>
              </w:rPr>
              <w:t>中国南方电网有限责任公司网络安全管理办法</w:t>
            </w:r>
          </w:p>
        </w:tc>
      </w:tr>
      <w:tr w14:paraId="7A9E66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F7EBB77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both"/>
              <w:rPr>
                <w:rFonts w:hint="eastAsia" w:ascii="宋体" w:hAnsi="Calibri" w:eastAsia="宋体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Calibri" w:eastAsia="宋体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GB/T 35590-2017</w:t>
            </w:r>
          </w:p>
        </w:tc>
        <w:tc>
          <w:tcPr>
            <w:tcW w:w="581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063FA3F"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"/>
              </w:rPr>
              <w:t>信息技术</w:t>
            </w:r>
            <w:r>
              <w:rPr>
                <w:rFonts w:hint="eastAsia" w:ascii="宋体" w:hAnsi="Calibri" w:eastAsia="宋体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《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"/>
              </w:rPr>
              <w:t>便携式数字设备用移动电源通用规范</w:t>
            </w:r>
            <w:r>
              <w:rPr>
                <w:rFonts w:hint="eastAsia" w:ascii="宋体" w:hAnsi="Calibri" w:eastAsia="宋体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》</w:t>
            </w:r>
          </w:p>
        </w:tc>
      </w:tr>
    </w:tbl>
    <w:p w14:paraId="3C5A52DD">
      <w:pPr>
        <w:pStyle w:val="4"/>
        <w:numPr>
          <w:ilvl w:val="0"/>
          <w:numId w:val="0"/>
        </w:numPr>
        <w:bidi w:val="0"/>
        <w:ind w:leftChars="0"/>
        <w:rPr>
          <w:rFonts w:hint="eastAsia"/>
          <w:highlight w:val="none"/>
        </w:rPr>
      </w:pPr>
    </w:p>
    <w:p w14:paraId="6DA6E8F0">
      <w:pPr>
        <w:pStyle w:val="4"/>
        <w:bidi w:val="0"/>
        <w:ind w:left="0" w:leftChars="0" w:firstLine="0" w:firstLineChars="0"/>
        <w:rPr>
          <w:rFonts w:hint="eastAsia"/>
          <w:highlight w:val="none"/>
        </w:rPr>
      </w:pPr>
      <w:r>
        <w:rPr>
          <w:rFonts w:hint="eastAsia"/>
          <w:highlight w:val="none"/>
        </w:rPr>
        <w:t>使用条件</w:t>
      </w:r>
    </w:p>
    <w:p w14:paraId="06AA332E"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="0" w:leftChars="0" w:right="0" w:rightChars="0"/>
        <w:jc w:val="both"/>
        <w:rPr>
          <w:rFonts w:hint="eastAsia" w:ascii="宋体" w:hAnsi="Calibri" w:eastAsia="宋体" w:cs="Times New Roman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"/>
        </w:rPr>
        <w:t>4.1  正常工作大气条件</w:t>
      </w:r>
    </w:p>
    <w:p w14:paraId="10DD7E58"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="0" w:leftChars="0" w:right="0" w:rightChars="0"/>
        <w:jc w:val="both"/>
        <w:rPr>
          <w:rFonts w:hint="eastAsia" w:ascii="宋体" w:hAnsi="Calibri" w:eastAsia="宋体" w:cs="Times New Roman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"/>
        </w:rPr>
        <w:t>4.2  环境温度：-10℃～+55℃；</w:t>
      </w:r>
    </w:p>
    <w:p w14:paraId="21005179"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="0" w:leftChars="0" w:right="0" w:rightChars="0"/>
        <w:jc w:val="both"/>
        <w:rPr>
          <w:rFonts w:hint="eastAsia" w:ascii="宋体" w:hAnsi="Calibri" w:eastAsia="宋体" w:cs="Times New Roman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"/>
        </w:rPr>
        <w:t>4.3  相对湿度：5%~95%（产品内部不应结冰）；</w:t>
      </w:r>
    </w:p>
    <w:p w14:paraId="5F012AA7"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="0" w:leftChars="0" w:right="0" w:rightChars="0"/>
        <w:jc w:val="both"/>
        <w:rPr>
          <w:rFonts w:hint="eastAsia" w:ascii="宋体" w:hAnsi="Calibri" w:eastAsia="宋体" w:cs="Times New Roman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"/>
        </w:rPr>
        <w:t>4.4  大气压力：80kPa～106kPa。</w:t>
      </w:r>
    </w:p>
    <w:p w14:paraId="30F27323"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="0" w:leftChars="0" w:right="0" w:rightChars="0"/>
        <w:jc w:val="both"/>
        <w:rPr>
          <w:rFonts w:hint="eastAsia" w:ascii="宋体" w:hAnsi="Calibri" w:eastAsia="宋体" w:cs="Times New Roman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"/>
        </w:rPr>
        <w:t>4.5  贮存、运输环境条件</w:t>
      </w:r>
    </w:p>
    <w:p w14:paraId="17EED805"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right="0" w:rightChars="0"/>
        <w:jc w:val="both"/>
        <w:rPr>
          <w:rFonts w:hint="eastAsia" w:ascii="宋体" w:hAnsi="Calibri" w:eastAsia="宋体" w:cs="Times New Roman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"/>
        </w:rPr>
        <w:t>4.5.1装置在运输中允许的环境温度-40℃～＋70℃，相对湿度不大于85%；</w:t>
      </w:r>
    </w:p>
    <w:p w14:paraId="6428BFA5"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right="0" w:rightChars="0"/>
        <w:jc w:val="both"/>
        <w:rPr>
          <w:rFonts w:hint="eastAsia" w:ascii="宋体" w:hAnsi="Calibri" w:eastAsia="宋体" w:cs="Times New Roman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"/>
        </w:rPr>
        <w:t>4.5.2在贮存中允许的环境温度-25℃～＋55℃，相对湿度不大于85%，在不施加任何激励量的条件下，装置不出现不可逆变化。</w:t>
      </w:r>
    </w:p>
    <w:p w14:paraId="0C372AB2"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0" w:right="0" w:rightChars="0"/>
        <w:jc w:val="both"/>
        <w:rPr>
          <w:rFonts w:hint="eastAsia" w:ascii="宋体" w:hAnsi="Calibri" w:eastAsia="宋体" w:cs="Times New Roman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"/>
        </w:rPr>
        <w:t>4.6周围环境</w:t>
      </w:r>
    </w:p>
    <w:p w14:paraId="78729E1C"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right="0" w:rightChars="0"/>
        <w:jc w:val="both"/>
        <w:rPr>
          <w:rFonts w:hint="eastAsia" w:ascii="宋体" w:hAnsi="Calibri" w:eastAsia="宋体" w:cs="Times New Roman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"/>
        </w:rPr>
        <w:t>4.6.1  场地符合GB/T 9361-1988中B类安全要求；</w:t>
      </w:r>
    </w:p>
    <w:p w14:paraId="5FE35C88"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right="0" w:rightChars="0"/>
        <w:jc w:val="both"/>
        <w:rPr>
          <w:rFonts w:hint="eastAsia" w:ascii="宋体" w:hAnsi="Calibri" w:eastAsia="宋体" w:cs="Times New Roman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"/>
        </w:rPr>
        <w:t>4.6.2  使用地点不出现超过GB/T 11287规定的严酷等级为I级的振动；不发生GB/T 17742－1999规定的烈度为Ⅶ度的地震；</w:t>
      </w:r>
    </w:p>
    <w:p w14:paraId="349CB02D"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right="0" w:rightChars="0"/>
        <w:jc w:val="both"/>
        <w:rPr>
          <w:rFonts w:hint="default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"/>
        </w:rPr>
        <w:t>4.6.3  使用地点无爆炸危险的物质，周围介质</w:t>
      </w:r>
      <w:r>
        <w:rPr>
          <w:rFonts w:hint="eastAsia" w:ascii="宋体" w:hAnsi="Calibri" w:eastAsia="宋体" w:cs="Times New Roman"/>
          <w:kern w:val="2"/>
          <w:sz w:val="24"/>
          <w:szCs w:val="24"/>
          <w:highlight w:val="none"/>
          <w:lang w:val="en-US" w:eastAsia="zh-CN" w:bidi="ar"/>
        </w:rPr>
        <w:t xml:space="preserve"> 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"/>
        </w:rPr>
        <w:t>中不含有能腐蚀金属、破坏绝缘和表面敷层的介质及导电介质，没有严重的霉菌存在；</w:t>
      </w:r>
    </w:p>
    <w:p w14:paraId="4D2FC0FF">
      <w:pPr>
        <w:pStyle w:val="2"/>
        <w:rPr>
          <w:rFonts w:hint="default"/>
          <w:highlight w:val="none"/>
        </w:rPr>
      </w:pPr>
    </w:p>
    <w:bookmarkEnd w:id="1"/>
    <w:p w14:paraId="6AE5CC5E">
      <w:pPr>
        <w:pStyle w:val="4"/>
        <w:keepNext/>
        <w:keepLines w:val="0"/>
        <w:widowControl/>
        <w:adjustRightInd/>
        <w:spacing w:before="0" w:after="163"/>
        <w:jc w:val="left"/>
        <w:textAlignment w:val="auto"/>
        <w:rPr>
          <w:rFonts w:hint="default" w:ascii="Times New Roman" w:hAnsi="Times New Roman" w:eastAsia="宋体" w:cs="宋体"/>
          <w:w w:val="100"/>
          <w:kern w:val="44"/>
          <w:sz w:val="32"/>
          <w:szCs w:val="32"/>
          <w:highlight w:val="none"/>
        </w:rPr>
      </w:pPr>
      <w:bookmarkStart w:id="2" w:name="_Toc316983940"/>
      <w:r>
        <w:rPr>
          <w:rFonts w:hint="default" w:ascii="Times New Roman" w:hAnsi="Times New Roman" w:eastAsia="宋体" w:cs="宋体"/>
          <w:w w:val="100"/>
          <w:kern w:val="44"/>
          <w:sz w:val="32"/>
          <w:szCs w:val="32"/>
          <w:highlight w:val="none"/>
        </w:rPr>
        <w:t>报价要求</w:t>
      </w:r>
      <w:bookmarkEnd w:id="2"/>
    </w:p>
    <w:p w14:paraId="680660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5.1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本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技术规范书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所有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配件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均属报价范围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报价的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配件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必须符合本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技术规范书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的要求。</w:t>
      </w:r>
    </w:p>
    <w:p w14:paraId="0E1342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5.2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投标方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提供的报价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表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应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按本技术规范书供货范围的配件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分别开列单价及总价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（详见附表）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。</w:t>
      </w:r>
    </w:p>
    <w:p w14:paraId="2A15BF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5.3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对于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投标方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认为可推荐的供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招标方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选择的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eastAsia="zh-CN"/>
        </w:rPr>
        <w:t>材料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和选件，</w:t>
      </w:r>
      <w:r>
        <w:rPr>
          <w:rFonts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fill="FFFFFF"/>
        </w:rPr>
        <w:t>在投标文件中单独列出其具体项目和对应报价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。</w:t>
      </w:r>
    </w:p>
    <w:p w14:paraId="13ED5F5C">
      <w:pPr>
        <w:spacing w:line="360" w:lineRule="auto"/>
        <w:jc w:val="center"/>
        <w:rPr>
          <w:rFonts w:hint="default" w:ascii="Times New Roman" w:hAnsi="Times New Roman" w:cs="Times New Roman"/>
          <w:b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b/>
          <w:sz w:val="24"/>
          <w:szCs w:val="24"/>
          <w:highlight w:val="none"/>
        </w:rPr>
        <w:t>附表</w:t>
      </w:r>
      <w:r>
        <w:rPr>
          <w:rFonts w:hint="eastAsia" w:ascii="Times New Roman" w:hAnsi="Times New Roman" w:cs="Times New Roman"/>
          <w:b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b/>
          <w:sz w:val="24"/>
          <w:szCs w:val="24"/>
          <w:highlight w:val="none"/>
        </w:rPr>
        <w:t>报价汇总表</w:t>
      </w:r>
    </w:p>
    <w:tbl>
      <w:tblPr>
        <w:tblStyle w:val="27"/>
        <w:tblW w:w="84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2505"/>
        <w:gridCol w:w="666"/>
        <w:gridCol w:w="946"/>
        <w:gridCol w:w="1411"/>
        <w:gridCol w:w="2137"/>
      </w:tblGrid>
      <w:tr w14:paraId="304C41B7">
        <w:trPr>
          <w:trHeight w:val="335" w:hRule="atLeast"/>
          <w:jc w:val="center"/>
        </w:trPr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D45F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5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6CD6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</w:rPr>
              <w:t>分类名称</w:t>
            </w:r>
          </w:p>
        </w:tc>
        <w:tc>
          <w:tcPr>
            <w:tcW w:w="6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998A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9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0406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  <w:lang w:eastAsia="zh-CN"/>
              </w:rPr>
              <w:t>数量</w:t>
            </w:r>
          </w:p>
        </w:tc>
        <w:tc>
          <w:tcPr>
            <w:tcW w:w="1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B04C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</w:rPr>
              <w:t>单价(</w:t>
            </w: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  <w:lang w:eastAsia="zh-CN"/>
              </w:rPr>
              <w:t>元</w:t>
            </w: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</w:rPr>
              <w:t>)</w:t>
            </w:r>
          </w:p>
        </w:tc>
        <w:tc>
          <w:tcPr>
            <w:tcW w:w="21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1FC5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</w:rPr>
              <w:t>合计(</w:t>
            </w: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  <w:lang w:eastAsia="zh-CN"/>
              </w:rPr>
              <w:t>元</w:t>
            </w: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</w:rPr>
              <w:t>)</w:t>
            </w:r>
          </w:p>
        </w:tc>
      </w:tr>
      <w:tr w14:paraId="1B29A6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E252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2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744B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搓纸轮</w:t>
            </w:r>
          </w:p>
        </w:tc>
        <w:tc>
          <w:tcPr>
            <w:tcW w:w="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ED90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610F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48C67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4E4A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</w:p>
        </w:tc>
      </w:tr>
      <w:tr w14:paraId="423D94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AD9D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2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5FD1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搓纸轮</w:t>
            </w:r>
          </w:p>
        </w:tc>
        <w:tc>
          <w:tcPr>
            <w:tcW w:w="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629B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C22F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E294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F9D8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</w:p>
        </w:tc>
      </w:tr>
      <w:tr w14:paraId="02CACB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59E3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2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7AAD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电池</w:t>
            </w:r>
          </w:p>
        </w:tc>
        <w:tc>
          <w:tcPr>
            <w:tcW w:w="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C96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07ED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7288C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AC4A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26E7FC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66E0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2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45E5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电池</w:t>
            </w:r>
          </w:p>
        </w:tc>
        <w:tc>
          <w:tcPr>
            <w:tcW w:w="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9C36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19D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64787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9C84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2082EF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E83D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2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FDC2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电源适配器</w:t>
            </w:r>
          </w:p>
        </w:tc>
        <w:tc>
          <w:tcPr>
            <w:tcW w:w="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5AF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869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28EFB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6775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27A031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7C4E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2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AEEA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鼓组件</w:t>
            </w:r>
          </w:p>
        </w:tc>
        <w:tc>
          <w:tcPr>
            <w:tcW w:w="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C5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E986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D9F04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EDF9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7EE89E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9C5A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2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0ADE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墨盒</w:t>
            </w:r>
          </w:p>
        </w:tc>
        <w:tc>
          <w:tcPr>
            <w:tcW w:w="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AB40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AEE2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577CB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19B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195E02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F839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2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DF36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墨盒</w:t>
            </w:r>
          </w:p>
        </w:tc>
        <w:tc>
          <w:tcPr>
            <w:tcW w:w="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CAB4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2028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89731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04DB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5F99C1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8E57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2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2C61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墨盒</w:t>
            </w:r>
          </w:p>
        </w:tc>
        <w:tc>
          <w:tcPr>
            <w:tcW w:w="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8673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FB7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88492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73DD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3E82E2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4CD9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2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091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墨盒</w:t>
            </w:r>
          </w:p>
        </w:tc>
        <w:tc>
          <w:tcPr>
            <w:tcW w:w="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F9D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1B64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E2B36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5ABB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6CF282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61F6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2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F81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墨盒</w:t>
            </w:r>
          </w:p>
        </w:tc>
        <w:tc>
          <w:tcPr>
            <w:tcW w:w="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0FE3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CFFB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3C57C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E8E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04877B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1E1B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2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45EC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墨盒</w:t>
            </w:r>
          </w:p>
        </w:tc>
        <w:tc>
          <w:tcPr>
            <w:tcW w:w="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3EBC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AAB2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953AA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1C5E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7B0371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0FB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  <w:tc>
          <w:tcPr>
            <w:tcW w:w="2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2C6D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无线路由器</w:t>
            </w:r>
          </w:p>
        </w:tc>
        <w:tc>
          <w:tcPr>
            <w:tcW w:w="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ECC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4B4D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E059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F31A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26E500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63A8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14</w:t>
            </w:r>
          </w:p>
        </w:tc>
        <w:tc>
          <w:tcPr>
            <w:tcW w:w="2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271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显影组件</w:t>
            </w:r>
          </w:p>
        </w:tc>
        <w:tc>
          <w:tcPr>
            <w:tcW w:w="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C1CE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FDA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2BA74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A1EC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yellow"/>
                <w:lang w:val="en-US" w:eastAsia="zh-CN" w:bidi="ar-SA"/>
              </w:rPr>
            </w:pPr>
          </w:p>
        </w:tc>
      </w:tr>
      <w:tr w14:paraId="356F96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E94C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15</w:t>
            </w:r>
          </w:p>
        </w:tc>
        <w:tc>
          <w:tcPr>
            <w:tcW w:w="2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F17B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显影组件</w:t>
            </w:r>
          </w:p>
        </w:tc>
        <w:tc>
          <w:tcPr>
            <w:tcW w:w="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57DA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7F5C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8DCE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3079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yellow"/>
                <w:lang w:val="en-US" w:eastAsia="zh-CN" w:bidi="ar-SA"/>
              </w:rPr>
            </w:pPr>
          </w:p>
        </w:tc>
      </w:tr>
      <w:tr w14:paraId="40F306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235B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16</w:t>
            </w:r>
          </w:p>
        </w:tc>
        <w:tc>
          <w:tcPr>
            <w:tcW w:w="2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FC4D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显影组件</w:t>
            </w:r>
          </w:p>
        </w:tc>
        <w:tc>
          <w:tcPr>
            <w:tcW w:w="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6102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2FCE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FB642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F0A0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yellow"/>
                <w:lang w:val="en-US" w:eastAsia="zh-CN" w:bidi="ar-SA"/>
              </w:rPr>
            </w:pPr>
          </w:p>
        </w:tc>
      </w:tr>
      <w:tr w14:paraId="256BDE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3EBA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17</w:t>
            </w:r>
          </w:p>
        </w:tc>
        <w:tc>
          <w:tcPr>
            <w:tcW w:w="2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39C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显影组件</w:t>
            </w:r>
          </w:p>
        </w:tc>
        <w:tc>
          <w:tcPr>
            <w:tcW w:w="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AC9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7C57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75AA1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FF91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yellow"/>
                <w:lang w:val="en-US" w:eastAsia="zh-CN" w:bidi="ar-SA"/>
              </w:rPr>
            </w:pPr>
          </w:p>
        </w:tc>
      </w:tr>
      <w:tr w14:paraId="740CAB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118A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18</w:t>
            </w:r>
          </w:p>
        </w:tc>
        <w:tc>
          <w:tcPr>
            <w:tcW w:w="2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AF9C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转印组件</w:t>
            </w:r>
          </w:p>
        </w:tc>
        <w:tc>
          <w:tcPr>
            <w:tcW w:w="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5973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A035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BB6E9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5861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15D1FB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6B93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51B6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</w:rPr>
              <w:t>　</w:t>
            </w:r>
            <w:r>
              <w:rPr>
                <w:rFonts w:hint="eastAsia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  <w:lang w:eastAsia="zh-CN"/>
              </w:rPr>
              <w:t>合计总价</w:t>
            </w:r>
          </w:p>
        </w:tc>
        <w:tc>
          <w:tcPr>
            <w:tcW w:w="21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354E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</w:tbl>
    <w:p w14:paraId="1BE0F8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outlineLvl w:val="9"/>
        <w:rPr>
          <w:rFonts w:hint="default" w:ascii="Times New Roman" w:hAnsi="Times New Roman" w:cs="Times New Roman"/>
          <w:b w:val="0"/>
          <w:bCs/>
          <w:sz w:val="21"/>
          <w:szCs w:val="21"/>
          <w:highlight w:val="none"/>
        </w:rPr>
      </w:pPr>
      <w:r>
        <w:rPr>
          <w:rFonts w:hint="default" w:ascii="Times New Roman" w:hAnsi="Times New Roman" w:cs="Times New Roman"/>
          <w:b w:val="0"/>
          <w:bCs/>
          <w:sz w:val="21"/>
          <w:szCs w:val="21"/>
          <w:highlight w:val="none"/>
        </w:rPr>
        <w:t>说明：投标方须参照配置清单的格式对本次招标范围内涉及到的各种</w:t>
      </w:r>
      <w:r>
        <w:rPr>
          <w:rFonts w:hint="eastAsia" w:ascii="Times New Roman" w:hAnsi="Times New Roman" w:cs="Times New Roman"/>
          <w:b w:val="0"/>
          <w:bCs/>
          <w:sz w:val="21"/>
          <w:szCs w:val="21"/>
          <w:highlight w:val="none"/>
          <w:lang w:eastAsia="zh-CN"/>
        </w:rPr>
        <w:t>材料</w:t>
      </w:r>
      <w:r>
        <w:rPr>
          <w:rFonts w:hint="default" w:ascii="Times New Roman" w:hAnsi="Times New Roman" w:cs="Times New Roman"/>
          <w:b w:val="0"/>
          <w:bCs/>
          <w:sz w:val="21"/>
          <w:szCs w:val="21"/>
          <w:highlight w:val="none"/>
        </w:rPr>
        <w:t>等进行分项报价。如投标方有其它项需要报价，在其它项中补充，其他项计入总价。</w:t>
      </w:r>
    </w:p>
    <w:sectPr>
      <w:footerReference r:id="rId3" w:type="default"/>
      <w:pgSz w:w="11906" w:h="16838"/>
      <w:pgMar w:top="1134" w:right="1418" w:bottom="1701" w:left="1418" w:header="567" w:footer="1134" w:gutter="0"/>
      <w:pgNumType w:start="1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lotter">
    <w:altName w:val="Segoe Print"/>
    <w:panose1 w:val="00000000000000000000"/>
    <w:charset w:val="00"/>
    <w:family w:val="roman"/>
    <w:pitch w:val="default"/>
    <w:sig w:usb0="00000000" w:usb1="00000000" w:usb2="006C006F" w:usb3="81570000" w:csb0="00000000" w:csb1="815B6884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CF1899">
    <w:pPr>
      <w:pStyle w:val="23"/>
      <w:framePr w:wrap="around" w:vAnchor="text" w:hAnchor="margin" w:xAlign="center" w:y="1"/>
      <w:rPr>
        <w:rStyle w:val="30"/>
        <w:rFonts w:ascii="Times New Roman" w:hAnsi="Times New Roman"/>
        <w:sz w:val="24"/>
      </w:rPr>
    </w:pPr>
    <w:r>
      <w:rPr>
        <w:rStyle w:val="30"/>
        <w:rFonts w:ascii="Times New Roman" w:hAnsi="Times New Roman"/>
        <w:sz w:val="24"/>
      </w:rPr>
      <w:fldChar w:fldCharType="begin"/>
    </w:r>
    <w:r>
      <w:rPr>
        <w:rStyle w:val="30"/>
        <w:rFonts w:ascii="Times New Roman" w:hAnsi="Times New Roman"/>
        <w:sz w:val="24"/>
      </w:rPr>
      <w:instrText xml:space="preserve">PAGE  </w:instrText>
    </w:r>
    <w:r>
      <w:rPr>
        <w:rStyle w:val="30"/>
        <w:rFonts w:ascii="Times New Roman" w:hAnsi="Times New Roman"/>
        <w:sz w:val="24"/>
      </w:rPr>
      <w:fldChar w:fldCharType="separate"/>
    </w:r>
    <w:r>
      <w:rPr>
        <w:rStyle w:val="30"/>
        <w:rFonts w:ascii="Times New Roman" w:hAnsi="Times New Roman"/>
        <w:sz w:val="24"/>
      </w:rPr>
      <w:t>2</w:t>
    </w:r>
    <w:r>
      <w:rPr>
        <w:rStyle w:val="30"/>
        <w:rFonts w:ascii="Times New Roman" w:hAnsi="Times New Roman"/>
        <w:sz w:val="24"/>
      </w:rPr>
      <w:fldChar w:fldCharType="end"/>
    </w:r>
  </w:p>
  <w:p w14:paraId="64D4A3AF">
    <w:pPr>
      <w:pStyle w:val="23"/>
      <w:rPr>
        <w:rFonts w:hint="eastAsia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8"/>
    <w:multiLevelType w:val="singleLevel"/>
    <w:tmpl w:val="FFFFFF88"/>
    <w:lvl w:ilvl="0" w:tentative="0">
      <w:start w:val="1"/>
      <w:numFmt w:val="decimal"/>
      <w:pStyle w:val="13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1">
    <w:nsid w:val="FFFFFFFB"/>
    <w:multiLevelType w:val="multilevel"/>
    <w:tmpl w:val="FFFFFFFB"/>
    <w:lvl w:ilvl="0" w:tentative="0">
      <w:start w:val="1"/>
      <w:numFmt w:val="decimal"/>
      <w:pStyle w:val="4"/>
      <w:lvlText w:val="%1."/>
      <w:legacy w:legacy="1" w:legacySpace="144" w:legacyIndent="0"/>
      <w:lvlJc w:val="left"/>
    </w:lvl>
    <w:lvl w:ilvl="1" w:tentative="0">
      <w:start w:val="1"/>
      <w:numFmt w:val="decimal"/>
      <w:pStyle w:val="5"/>
      <w:lvlText w:val="%1.%2"/>
      <w:legacy w:legacy="1" w:legacySpace="144" w:legacyIndent="0"/>
      <w:lvlJc w:val="left"/>
    </w:lvl>
    <w:lvl w:ilvl="2" w:tentative="0">
      <w:start w:val="1"/>
      <w:numFmt w:val="decimal"/>
      <w:pStyle w:val="6"/>
      <w:lvlText w:val="%1.%2.%3"/>
      <w:legacy w:legacy="1" w:legacySpace="144" w:legacyIndent="0"/>
      <w:lvlJc w:val="left"/>
    </w:lvl>
    <w:lvl w:ilvl="3" w:tentative="0">
      <w:start w:val="1"/>
      <w:numFmt w:val="decimal"/>
      <w:pStyle w:val="7"/>
      <w:lvlText w:val="%1.%2.%3.%4"/>
      <w:legacy w:legacy="1" w:legacySpace="144" w:legacyIndent="0"/>
      <w:lvlJc w:val="left"/>
    </w:lvl>
    <w:lvl w:ilvl="4" w:tentative="0">
      <w:start w:val="1"/>
      <w:numFmt w:val="decimal"/>
      <w:pStyle w:val="8"/>
      <w:lvlText w:val="%1.%2.%3.%4.%5"/>
      <w:legacy w:legacy="1" w:legacySpace="144" w:legacyIndent="0"/>
      <w:lvlJc w:val="left"/>
    </w:lvl>
    <w:lvl w:ilvl="5" w:tentative="0">
      <w:start w:val="1"/>
      <w:numFmt w:val="decimal"/>
      <w:pStyle w:val="9"/>
      <w:lvlText w:val="%1.%2.%3.%4.%5.%6"/>
      <w:legacy w:legacy="1" w:legacySpace="144" w:legacyIndent="0"/>
      <w:lvlJc w:val="left"/>
    </w:lvl>
    <w:lvl w:ilvl="6" w:tentative="0">
      <w:start w:val="1"/>
      <w:numFmt w:val="decimal"/>
      <w:pStyle w:val="10"/>
      <w:lvlText w:val="%1.%2.%3.%4.%5.%6.%7"/>
      <w:legacy w:legacy="1" w:legacySpace="144" w:legacyIndent="0"/>
      <w:lvlJc w:val="left"/>
    </w:lvl>
    <w:lvl w:ilvl="7" w:tentative="0">
      <w:start w:val="1"/>
      <w:numFmt w:val="decimal"/>
      <w:pStyle w:val="11"/>
      <w:lvlText w:val="%1.%2.%3.%4.%5.%6.%7.%8"/>
      <w:legacy w:legacy="1" w:legacySpace="144" w:legacyIndent="0"/>
      <w:lvlJc w:val="left"/>
    </w:lvl>
    <w:lvl w:ilvl="8" w:tentative="0">
      <w:start w:val="1"/>
      <w:numFmt w:val="decimal"/>
      <w:pStyle w:val="12"/>
      <w:lvlText w:val="%1.%2.%3.%4.%5.%6.%7.%8.%9"/>
      <w:legacy w:legacy="1" w:legacySpace="144" w:legacyIndent="0"/>
      <w:lvlJc w:val="left"/>
    </w:lvl>
  </w:abstractNum>
  <w:abstractNum w:abstractNumId="2">
    <w:nsid w:val="02676A12"/>
    <w:multiLevelType w:val="singleLevel"/>
    <w:tmpl w:val="02676A12"/>
    <w:lvl w:ilvl="0" w:tentative="0">
      <w:start w:val="1"/>
      <w:numFmt w:val="lowerLetter"/>
      <w:pStyle w:val="34"/>
      <w:lvlText w:val="%1)"/>
      <w:lvlJc w:val="left"/>
      <w:pPr>
        <w:tabs>
          <w:tab w:val="left" w:pos="700"/>
        </w:tabs>
        <w:ind w:left="227" w:firstLine="113"/>
      </w:pPr>
      <w:rPr>
        <w:rFonts w:hint="eastAsia"/>
      </w:rPr>
    </w:lvl>
  </w:abstractNum>
  <w:abstractNum w:abstractNumId="3">
    <w:nsid w:val="0EEF21A1"/>
    <w:multiLevelType w:val="multilevel"/>
    <w:tmpl w:val="0EEF21A1"/>
    <w:lvl w:ilvl="0" w:tentative="0">
      <w:start w:val="1"/>
      <w:numFmt w:val="decimal"/>
      <w:lvlText w:val="%1"/>
      <w:lvlJc w:val="left"/>
      <w:pPr>
        <w:ind w:left="420" w:hanging="420"/>
      </w:pPr>
      <w:rPr>
        <w:rFonts w:hint="default" w:hAnsi="Plotter"/>
      </w:rPr>
    </w:lvl>
    <w:lvl w:ilvl="1" w:tentative="0">
      <w:start w:val="1"/>
      <w:numFmt w:val="decimal"/>
      <w:lvlText w:val="%1.%2"/>
      <w:lvlJc w:val="left"/>
      <w:pPr>
        <w:ind w:left="420" w:hanging="420"/>
      </w:pPr>
      <w:rPr>
        <w:rFonts w:hint="default" w:hAnsi="Plotter"/>
      </w:rPr>
    </w:lvl>
    <w:lvl w:ilvl="2" w:tentative="0">
      <w:start w:val="1"/>
      <w:numFmt w:val="decimal"/>
      <w:lvlText w:val="%1.%2.%3"/>
      <w:lvlJc w:val="left"/>
      <w:pPr>
        <w:ind w:left="720" w:hanging="720"/>
      </w:pPr>
      <w:rPr>
        <w:rFonts w:hint="default" w:hAnsi="Plotter"/>
      </w:rPr>
    </w:lvl>
    <w:lvl w:ilvl="3" w:tentative="0">
      <w:start w:val="1"/>
      <w:numFmt w:val="decimal"/>
      <w:lvlText w:val="%1.%2.%3.%4"/>
      <w:lvlJc w:val="left"/>
      <w:pPr>
        <w:ind w:left="720" w:hanging="720"/>
      </w:pPr>
      <w:rPr>
        <w:rFonts w:hint="default" w:hAnsi="Plotter"/>
      </w:rPr>
    </w:lvl>
    <w:lvl w:ilvl="4" w:tentative="0">
      <w:start w:val="1"/>
      <w:numFmt w:val="decimal"/>
      <w:lvlText w:val="%1.%2.%3.%4.%5"/>
      <w:lvlJc w:val="left"/>
      <w:pPr>
        <w:ind w:left="1080" w:hanging="1080"/>
      </w:pPr>
      <w:rPr>
        <w:rFonts w:hint="default" w:hAnsi="Plotter"/>
      </w:rPr>
    </w:lvl>
    <w:lvl w:ilvl="5" w:tentative="0">
      <w:start w:val="1"/>
      <w:numFmt w:val="decimal"/>
      <w:lvlText w:val="%1.%2.%3.%4.%5.%6"/>
      <w:lvlJc w:val="left"/>
      <w:pPr>
        <w:ind w:left="1080" w:hanging="1080"/>
      </w:pPr>
      <w:rPr>
        <w:rFonts w:hint="default" w:hAnsi="Plotter"/>
      </w:rPr>
    </w:lvl>
    <w:lvl w:ilvl="6" w:tentative="0">
      <w:start w:val="1"/>
      <w:numFmt w:val="decimal"/>
      <w:lvlText w:val="%1.%2.%3.%4.%5.%6.%7"/>
      <w:lvlJc w:val="left"/>
      <w:pPr>
        <w:ind w:left="1440" w:hanging="1440"/>
      </w:pPr>
      <w:rPr>
        <w:rFonts w:hint="default" w:hAnsi="Plotter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default" w:hAnsi="Plotter"/>
      </w:rPr>
    </w:lvl>
    <w:lvl w:ilvl="8" w:tentative="0">
      <w:start w:val="1"/>
      <w:numFmt w:val="decimal"/>
      <w:lvlText w:val="%1.%2.%3.%4.%5.%6.%7.%8.%9"/>
      <w:lvlJc w:val="left"/>
      <w:pPr>
        <w:ind w:left="1800" w:hanging="1800"/>
      </w:pPr>
      <w:rPr>
        <w:rFonts w:hint="default" w:hAnsi="Plotter"/>
      </w:rPr>
    </w:lvl>
  </w:abstractNum>
  <w:abstractNum w:abstractNumId="4">
    <w:nsid w:val="281F7644"/>
    <w:multiLevelType w:val="singleLevel"/>
    <w:tmpl w:val="281F7644"/>
    <w:lvl w:ilvl="0" w:tentative="0">
      <w:start w:val="1"/>
      <w:numFmt w:val="lowerLetter"/>
      <w:pStyle w:val="35"/>
      <w:lvlText w:val="%1)"/>
      <w:lvlJc w:val="left"/>
      <w:pPr>
        <w:tabs>
          <w:tab w:val="left" w:pos="360"/>
        </w:tabs>
        <w:ind w:left="340" w:hanging="340"/>
      </w:pPr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5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djN2I1NGRiMjlmM2M0NTMxODE4MmNkZDg1NmM5NWUifQ=="/>
  </w:docVars>
  <w:rsids>
    <w:rsidRoot w:val="005E32CF"/>
    <w:rsid w:val="00012682"/>
    <w:rsid w:val="000161BA"/>
    <w:rsid w:val="000260E2"/>
    <w:rsid w:val="00042BCB"/>
    <w:rsid w:val="00053EDF"/>
    <w:rsid w:val="00063E00"/>
    <w:rsid w:val="00083087"/>
    <w:rsid w:val="000A2D9B"/>
    <w:rsid w:val="000A53BE"/>
    <w:rsid w:val="000B11F8"/>
    <w:rsid w:val="000B3AD5"/>
    <w:rsid w:val="000B3DDC"/>
    <w:rsid w:val="000B3FBE"/>
    <w:rsid w:val="000B567F"/>
    <w:rsid w:val="000C0B1A"/>
    <w:rsid w:val="000C35B9"/>
    <w:rsid w:val="000C4457"/>
    <w:rsid w:val="000E0DB7"/>
    <w:rsid w:val="000E0E32"/>
    <w:rsid w:val="00103FDE"/>
    <w:rsid w:val="0010471F"/>
    <w:rsid w:val="001135EA"/>
    <w:rsid w:val="00113BCA"/>
    <w:rsid w:val="00116251"/>
    <w:rsid w:val="00122E43"/>
    <w:rsid w:val="001247FF"/>
    <w:rsid w:val="001275E1"/>
    <w:rsid w:val="00136631"/>
    <w:rsid w:val="0014597D"/>
    <w:rsid w:val="00155FBA"/>
    <w:rsid w:val="00167F1C"/>
    <w:rsid w:val="001759B2"/>
    <w:rsid w:val="00182911"/>
    <w:rsid w:val="00197CF9"/>
    <w:rsid w:val="001C3C32"/>
    <w:rsid w:val="001F3101"/>
    <w:rsid w:val="001F447D"/>
    <w:rsid w:val="001F7790"/>
    <w:rsid w:val="00202AEC"/>
    <w:rsid w:val="00206871"/>
    <w:rsid w:val="00206E39"/>
    <w:rsid w:val="002219D6"/>
    <w:rsid w:val="00225A32"/>
    <w:rsid w:val="00226F97"/>
    <w:rsid w:val="00241436"/>
    <w:rsid w:val="00241775"/>
    <w:rsid w:val="0024524D"/>
    <w:rsid w:val="002518DF"/>
    <w:rsid w:val="00274019"/>
    <w:rsid w:val="00275F44"/>
    <w:rsid w:val="00280C05"/>
    <w:rsid w:val="0028656D"/>
    <w:rsid w:val="002910A0"/>
    <w:rsid w:val="002975B5"/>
    <w:rsid w:val="002A027C"/>
    <w:rsid w:val="002A3E7A"/>
    <w:rsid w:val="002A6D1F"/>
    <w:rsid w:val="002B033C"/>
    <w:rsid w:val="002B0372"/>
    <w:rsid w:val="002B7F4D"/>
    <w:rsid w:val="002D1157"/>
    <w:rsid w:val="002E55E0"/>
    <w:rsid w:val="003029B7"/>
    <w:rsid w:val="00316062"/>
    <w:rsid w:val="003363FC"/>
    <w:rsid w:val="00341DA7"/>
    <w:rsid w:val="00357B4F"/>
    <w:rsid w:val="003606D9"/>
    <w:rsid w:val="0037467A"/>
    <w:rsid w:val="0037756F"/>
    <w:rsid w:val="00385F09"/>
    <w:rsid w:val="003911D3"/>
    <w:rsid w:val="003A0FF4"/>
    <w:rsid w:val="003B328F"/>
    <w:rsid w:val="003D6E61"/>
    <w:rsid w:val="003E1848"/>
    <w:rsid w:val="003E5D0A"/>
    <w:rsid w:val="003E6CF9"/>
    <w:rsid w:val="003E7007"/>
    <w:rsid w:val="004017B9"/>
    <w:rsid w:val="00404511"/>
    <w:rsid w:val="004074EC"/>
    <w:rsid w:val="004133B8"/>
    <w:rsid w:val="004175B5"/>
    <w:rsid w:val="00421B0F"/>
    <w:rsid w:val="00433A5A"/>
    <w:rsid w:val="00437103"/>
    <w:rsid w:val="004426F8"/>
    <w:rsid w:val="00443A83"/>
    <w:rsid w:val="004453CB"/>
    <w:rsid w:val="0045446E"/>
    <w:rsid w:val="00457453"/>
    <w:rsid w:val="00463CA0"/>
    <w:rsid w:val="00472BC4"/>
    <w:rsid w:val="00493C8D"/>
    <w:rsid w:val="0049588A"/>
    <w:rsid w:val="004B4E82"/>
    <w:rsid w:val="004B5F59"/>
    <w:rsid w:val="004D176A"/>
    <w:rsid w:val="004D6962"/>
    <w:rsid w:val="005029B9"/>
    <w:rsid w:val="00513A91"/>
    <w:rsid w:val="005336C1"/>
    <w:rsid w:val="005344D6"/>
    <w:rsid w:val="00537AAD"/>
    <w:rsid w:val="005411FD"/>
    <w:rsid w:val="00547A54"/>
    <w:rsid w:val="00552CC1"/>
    <w:rsid w:val="00575AC2"/>
    <w:rsid w:val="005A70D7"/>
    <w:rsid w:val="005B1F08"/>
    <w:rsid w:val="005B7AFA"/>
    <w:rsid w:val="005C0B47"/>
    <w:rsid w:val="005C1633"/>
    <w:rsid w:val="005D6638"/>
    <w:rsid w:val="005E32CF"/>
    <w:rsid w:val="005E58A8"/>
    <w:rsid w:val="005E6E59"/>
    <w:rsid w:val="005F0D37"/>
    <w:rsid w:val="005F0E53"/>
    <w:rsid w:val="005F6042"/>
    <w:rsid w:val="005F7FBF"/>
    <w:rsid w:val="00611B8A"/>
    <w:rsid w:val="00615433"/>
    <w:rsid w:val="0062178F"/>
    <w:rsid w:val="00627A0C"/>
    <w:rsid w:val="00633FCD"/>
    <w:rsid w:val="00646148"/>
    <w:rsid w:val="0065447E"/>
    <w:rsid w:val="006701D9"/>
    <w:rsid w:val="00670669"/>
    <w:rsid w:val="00672E3E"/>
    <w:rsid w:val="006748B9"/>
    <w:rsid w:val="00677682"/>
    <w:rsid w:val="0068691F"/>
    <w:rsid w:val="006A37A2"/>
    <w:rsid w:val="006B5255"/>
    <w:rsid w:val="006B688A"/>
    <w:rsid w:val="006C0D2F"/>
    <w:rsid w:val="006D54AA"/>
    <w:rsid w:val="006E7132"/>
    <w:rsid w:val="00743775"/>
    <w:rsid w:val="00745BCC"/>
    <w:rsid w:val="00761407"/>
    <w:rsid w:val="00770809"/>
    <w:rsid w:val="00780C9D"/>
    <w:rsid w:val="00783502"/>
    <w:rsid w:val="007848AE"/>
    <w:rsid w:val="007872D9"/>
    <w:rsid w:val="007907DE"/>
    <w:rsid w:val="00792C3A"/>
    <w:rsid w:val="00794F93"/>
    <w:rsid w:val="007A1C1F"/>
    <w:rsid w:val="007A2AB9"/>
    <w:rsid w:val="007C43AC"/>
    <w:rsid w:val="007C646D"/>
    <w:rsid w:val="007C6E0A"/>
    <w:rsid w:val="007D5B56"/>
    <w:rsid w:val="007E4C23"/>
    <w:rsid w:val="007E660B"/>
    <w:rsid w:val="007F34A0"/>
    <w:rsid w:val="007F6355"/>
    <w:rsid w:val="0080155D"/>
    <w:rsid w:val="008078D3"/>
    <w:rsid w:val="00812B55"/>
    <w:rsid w:val="00815BD7"/>
    <w:rsid w:val="0082463A"/>
    <w:rsid w:val="00862767"/>
    <w:rsid w:val="00875A14"/>
    <w:rsid w:val="00883179"/>
    <w:rsid w:val="00894391"/>
    <w:rsid w:val="00895BA3"/>
    <w:rsid w:val="008A2B62"/>
    <w:rsid w:val="008A383B"/>
    <w:rsid w:val="008A4798"/>
    <w:rsid w:val="008C75A3"/>
    <w:rsid w:val="008D0CA3"/>
    <w:rsid w:val="008E4516"/>
    <w:rsid w:val="008F3182"/>
    <w:rsid w:val="0090501C"/>
    <w:rsid w:val="00916F6B"/>
    <w:rsid w:val="00920938"/>
    <w:rsid w:val="00921EAB"/>
    <w:rsid w:val="00922955"/>
    <w:rsid w:val="00927470"/>
    <w:rsid w:val="0093047F"/>
    <w:rsid w:val="00952BCA"/>
    <w:rsid w:val="00971D8F"/>
    <w:rsid w:val="009734D0"/>
    <w:rsid w:val="00980DD1"/>
    <w:rsid w:val="00992338"/>
    <w:rsid w:val="00995117"/>
    <w:rsid w:val="009B7643"/>
    <w:rsid w:val="009C2C63"/>
    <w:rsid w:val="009D1FB4"/>
    <w:rsid w:val="009F010B"/>
    <w:rsid w:val="009F3E27"/>
    <w:rsid w:val="00A10219"/>
    <w:rsid w:val="00A16CBE"/>
    <w:rsid w:val="00A26447"/>
    <w:rsid w:val="00A376A4"/>
    <w:rsid w:val="00A45855"/>
    <w:rsid w:val="00A50505"/>
    <w:rsid w:val="00A634C9"/>
    <w:rsid w:val="00A66B8F"/>
    <w:rsid w:val="00A7261A"/>
    <w:rsid w:val="00A818A1"/>
    <w:rsid w:val="00AB3F83"/>
    <w:rsid w:val="00AD3B4A"/>
    <w:rsid w:val="00AF063F"/>
    <w:rsid w:val="00B02366"/>
    <w:rsid w:val="00B13227"/>
    <w:rsid w:val="00B13432"/>
    <w:rsid w:val="00B1448D"/>
    <w:rsid w:val="00B40FAF"/>
    <w:rsid w:val="00B46BE2"/>
    <w:rsid w:val="00B52D8C"/>
    <w:rsid w:val="00B536AA"/>
    <w:rsid w:val="00B75878"/>
    <w:rsid w:val="00B8591A"/>
    <w:rsid w:val="00B962B4"/>
    <w:rsid w:val="00BA7FE4"/>
    <w:rsid w:val="00BB3841"/>
    <w:rsid w:val="00BC5055"/>
    <w:rsid w:val="00C14338"/>
    <w:rsid w:val="00C16678"/>
    <w:rsid w:val="00C33136"/>
    <w:rsid w:val="00C40117"/>
    <w:rsid w:val="00C4258A"/>
    <w:rsid w:val="00C4458A"/>
    <w:rsid w:val="00C613DB"/>
    <w:rsid w:val="00C7042B"/>
    <w:rsid w:val="00C75A15"/>
    <w:rsid w:val="00C96B5B"/>
    <w:rsid w:val="00CA01D7"/>
    <w:rsid w:val="00CB3F6A"/>
    <w:rsid w:val="00CB66AF"/>
    <w:rsid w:val="00CC31B3"/>
    <w:rsid w:val="00CE2628"/>
    <w:rsid w:val="00CE2BAA"/>
    <w:rsid w:val="00CE426D"/>
    <w:rsid w:val="00CE48A1"/>
    <w:rsid w:val="00CE65EE"/>
    <w:rsid w:val="00CE6E4F"/>
    <w:rsid w:val="00D31277"/>
    <w:rsid w:val="00D346EF"/>
    <w:rsid w:val="00D45021"/>
    <w:rsid w:val="00D67218"/>
    <w:rsid w:val="00D70B07"/>
    <w:rsid w:val="00D70CDE"/>
    <w:rsid w:val="00D72BA1"/>
    <w:rsid w:val="00D83A41"/>
    <w:rsid w:val="00D83E45"/>
    <w:rsid w:val="00D849B0"/>
    <w:rsid w:val="00D86A47"/>
    <w:rsid w:val="00D87E6C"/>
    <w:rsid w:val="00D915D9"/>
    <w:rsid w:val="00DB0BFE"/>
    <w:rsid w:val="00DB42D3"/>
    <w:rsid w:val="00DC26BB"/>
    <w:rsid w:val="00DC3BBE"/>
    <w:rsid w:val="00DC5B10"/>
    <w:rsid w:val="00DD63EF"/>
    <w:rsid w:val="00DF537A"/>
    <w:rsid w:val="00DF5586"/>
    <w:rsid w:val="00DF55DB"/>
    <w:rsid w:val="00DF5A0D"/>
    <w:rsid w:val="00E12D1B"/>
    <w:rsid w:val="00E20B82"/>
    <w:rsid w:val="00E25132"/>
    <w:rsid w:val="00E27D86"/>
    <w:rsid w:val="00E309DD"/>
    <w:rsid w:val="00E5195F"/>
    <w:rsid w:val="00E55EB2"/>
    <w:rsid w:val="00E56A0B"/>
    <w:rsid w:val="00E830D9"/>
    <w:rsid w:val="00E86307"/>
    <w:rsid w:val="00E936AC"/>
    <w:rsid w:val="00E954CA"/>
    <w:rsid w:val="00EA2B33"/>
    <w:rsid w:val="00EC5124"/>
    <w:rsid w:val="00ED7896"/>
    <w:rsid w:val="00EE2526"/>
    <w:rsid w:val="00EE2E24"/>
    <w:rsid w:val="00EF0935"/>
    <w:rsid w:val="00EF31EB"/>
    <w:rsid w:val="00EF76F8"/>
    <w:rsid w:val="00F00534"/>
    <w:rsid w:val="00F12F2A"/>
    <w:rsid w:val="00F679A5"/>
    <w:rsid w:val="00F86163"/>
    <w:rsid w:val="00FA6922"/>
    <w:rsid w:val="00FB3943"/>
    <w:rsid w:val="00FC416A"/>
    <w:rsid w:val="00FE29CC"/>
    <w:rsid w:val="00FF123A"/>
    <w:rsid w:val="00FF2D1C"/>
    <w:rsid w:val="01176111"/>
    <w:rsid w:val="025D66F9"/>
    <w:rsid w:val="03D22F11"/>
    <w:rsid w:val="03F36509"/>
    <w:rsid w:val="04C12561"/>
    <w:rsid w:val="05164BE7"/>
    <w:rsid w:val="06095474"/>
    <w:rsid w:val="06A2436E"/>
    <w:rsid w:val="08B140CE"/>
    <w:rsid w:val="09BF4B21"/>
    <w:rsid w:val="0AAB18F1"/>
    <w:rsid w:val="0B3F11E8"/>
    <w:rsid w:val="0DF70B61"/>
    <w:rsid w:val="0E962D9B"/>
    <w:rsid w:val="0F704CF8"/>
    <w:rsid w:val="0FB83603"/>
    <w:rsid w:val="10083105"/>
    <w:rsid w:val="104907AA"/>
    <w:rsid w:val="11663318"/>
    <w:rsid w:val="125161FB"/>
    <w:rsid w:val="128B4EB9"/>
    <w:rsid w:val="12DA3533"/>
    <w:rsid w:val="12DB64F5"/>
    <w:rsid w:val="133D454B"/>
    <w:rsid w:val="13DD1333"/>
    <w:rsid w:val="14812392"/>
    <w:rsid w:val="14F63120"/>
    <w:rsid w:val="15347F44"/>
    <w:rsid w:val="167A1932"/>
    <w:rsid w:val="1696521E"/>
    <w:rsid w:val="170405DE"/>
    <w:rsid w:val="17491E14"/>
    <w:rsid w:val="174A4A2B"/>
    <w:rsid w:val="17C76EB0"/>
    <w:rsid w:val="18276B8A"/>
    <w:rsid w:val="18942286"/>
    <w:rsid w:val="18960056"/>
    <w:rsid w:val="18C837EE"/>
    <w:rsid w:val="1AFF658A"/>
    <w:rsid w:val="1BC216D8"/>
    <w:rsid w:val="1C6853E4"/>
    <w:rsid w:val="1C6E7533"/>
    <w:rsid w:val="1EE16FB7"/>
    <w:rsid w:val="1F895740"/>
    <w:rsid w:val="208C1900"/>
    <w:rsid w:val="209C7A85"/>
    <w:rsid w:val="20A374F8"/>
    <w:rsid w:val="21014487"/>
    <w:rsid w:val="2132760F"/>
    <w:rsid w:val="21A32278"/>
    <w:rsid w:val="235C7A3D"/>
    <w:rsid w:val="23983485"/>
    <w:rsid w:val="23B03DF3"/>
    <w:rsid w:val="24640A66"/>
    <w:rsid w:val="26E2325A"/>
    <w:rsid w:val="278B79D3"/>
    <w:rsid w:val="27C8203D"/>
    <w:rsid w:val="28B17DEF"/>
    <w:rsid w:val="28FB3354"/>
    <w:rsid w:val="29267C11"/>
    <w:rsid w:val="2A312798"/>
    <w:rsid w:val="2ABF0F2A"/>
    <w:rsid w:val="2B0A0233"/>
    <w:rsid w:val="2B210CD1"/>
    <w:rsid w:val="2C863E1B"/>
    <w:rsid w:val="2CD5383B"/>
    <w:rsid w:val="2CF928ED"/>
    <w:rsid w:val="2EAA1345"/>
    <w:rsid w:val="2F1B4006"/>
    <w:rsid w:val="30072C85"/>
    <w:rsid w:val="30230CE6"/>
    <w:rsid w:val="307D1B1F"/>
    <w:rsid w:val="318F6B88"/>
    <w:rsid w:val="32DB4A09"/>
    <w:rsid w:val="33E64FE7"/>
    <w:rsid w:val="343236E8"/>
    <w:rsid w:val="371B096D"/>
    <w:rsid w:val="37827EBB"/>
    <w:rsid w:val="37B449F3"/>
    <w:rsid w:val="38591578"/>
    <w:rsid w:val="39D77B70"/>
    <w:rsid w:val="3A051F48"/>
    <w:rsid w:val="3A2F3A82"/>
    <w:rsid w:val="3A4337A9"/>
    <w:rsid w:val="3B5B73B5"/>
    <w:rsid w:val="3C2358EC"/>
    <w:rsid w:val="3C445A8E"/>
    <w:rsid w:val="3CE31927"/>
    <w:rsid w:val="3DCB25D0"/>
    <w:rsid w:val="3E9165B5"/>
    <w:rsid w:val="3EF065CE"/>
    <w:rsid w:val="40B83B74"/>
    <w:rsid w:val="4183221B"/>
    <w:rsid w:val="427E7176"/>
    <w:rsid w:val="437066F3"/>
    <w:rsid w:val="43F403A7"/>
    <w:rsid w:val="440C40C5"/>
    <w:rsid w:val="442C7BAC"/>
    <w:rsid w:val="445D28B8"/>
    <w:rsid w:val="451A6320"/>
    <w:rsid w:val="4540092C"/>
    <w:rsid w:val="463E304E"/>
    <w:rsid w:val="4723491A"/>
    <w:rsid w:val="4791706D"/>
    <w:rsid w:val="47A7561B"/>
    <w:rsid w:val="48A27727"/>
    <w:rsid w:val="491C5AE9"/>
    <w:rsid w:val="49F17FA6"/>
    <w:rsid w:val="4B234341"/>
    <w:rsid w:val="4B7327E2"/>
    <w:rsid w:val="4DB902D7"/>
    <w:rsid w:val="4E3D5479"/>
    <w:rsid w:val="4E587BBF"/>
    <w:rsid w:val="4E6A7BE3"/>
    <w:rsid w:val="50D244E1"/>
    <w:rsid w:val="51040D1F"/>
    <w:rsid w:val="517D7ED4"/>
    <w:rsid w:val="51EF527C"/>
    <w:rsid w:val="55261278"/>
    <w:rsid w:val="557D73AF"/>
    <w:rsid w:val="560D22F7"/>
    <w:rsid w:val="574E493B"/>
    <w:rsid w:val="57A23AD5"/>
    <w:rsid w:val="58197A0A"/>
    <w:rsid w:val="596909BC"/>
    <w:rsid w:val="59E06DAB"/>
    <w:rsid w:val="5A8C04A0"/>
    <w:rsid w:val="5B9112C6"/>
    <w:rsid w:val="5C4C2709"/>
    <w:rsid w:val="5C591F18"/>
    <w:rsid w:val="5D8D7008"/>
    <w:rsid w:val="5E6A35F0"/>
    <w:rsid w:val="5EF037F0"/>
    <w:rsid w:val="5F6A1BA9"/>
    <w:rsid w:val="5FD4310E"/>
    <w:rsid w:val="60737DA5"/>
    <w:rsid w:val="609F2D76"/>
    <w:rsid w:val="61850469"/>
    <w:rsid w:val="637E7CC8"/>
    <w:rsid w:val="63A64046"/>
    <w:rsid w:val="647554C3"/>
    <w:rsid w:val="648469BC"/>
    <w:rsid w:val="65705957"/>
    <w:rsid w:val="65D03819"/>
    <w:rsid w:val="65D54029"/>
    <w:rsid w:val="67365082"/>
    <w:rsid w:val="677E3283"/>
    <w:rsid w:val="6786676F"/>
    <w:rsid w:val="67A46B32"/>
    <w:rsid w:val="67DB2AF0"/>
    <w:rsid w:val="67E71E36"/>
    <w:rsid w:val="67F97B21"/>
    <w:rsid w:val="684222E8"/>
    <w:rsid w:val="68B11AB8"/>
    <w:rsid w:val="68D8170E"/>
    <w:rsid w:val="69367529"/>
    <w:rsid w:val="6AB37D1A"/>
    <w:rsid w:val="6B971A76"/>
    <w:rsid w:val="6BC229B5"/>
    <w:rsid w:val="6D36583B"/>
    <w:rsid w:val="6D4F63E5"/>
    <w:rsid w:val="6E586C17"/>
    <w:rsid w:val="6EA337C6"/>
    <w:rsid w:val="6F475AAF"/>
    <w:rsid w:val="70950404"/>
    <w:rsid w:val="71022343"/>
    <w:rsid w:val="7142250B"/>
    <w:rsid w:val="7152200A"/>
    <w:rsid w:val="72365B57"/>
    <w:rsid w:val="738E1CAE"/>
    <w:rsid w:val="742517FA"/>
    <w:rsid w:val="747604D1"/>
    <w:rsid w:val="748C44C2"/>
    <w:rsid w:val="75123DBD"/>
    <w:rsid w:val="75317C6A"/>
    <w:rsid w:val="75904AE2"/>
    <w:rsid w:val="76BE7EB8"/>
    <w:rsid w:val="77FD75F1"/>
    <w:rsid w:val="78216785"/>
    <w:rsid w:val="797C2F81"/>
    <w:rsid w:val="7AFE4C67"/>
    <w:rsid w:val="7BC21317"/>
    <w:rsid w:val="7C5A278F"/>
    <w:rsid w:val="7C5F17E4"/>
    <w:rsid w:val="7C6C593A"/>
    <w:rsid w:val="7C8E04CD"/>
    <w:rsid w:val="7CD97B5E"/>
    <w:rsid w:val="7DD74C18"/>
    <w:rsid w:val="7DDB7060"/>
    <w:rsid w:val="7E0570E5"/>
    <w:rsid w:val="7E4F13C0"/>
    <w:rsid w:val="7E6E3CCD"/>
    <w:rsid w:val="7F685CF2"/>
    <w:rsid w:val="7F8F0678"/>
    <w:rsid w:val="C9EA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0" w:name="toc 1"/>
    <w:lsdException w:uiPriority="0" w:name="toc 2"/>
    <w:lsdException w:qFormat="1" w:unhideWhenUsed="0"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0" w:semiHidden="0" w:name="Normal Indent"/>
    <w:lsdException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qFormat="1" w:unhideWhenUsed="0"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qFormat="1"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Plotter" w:hAnsi="Plotter" w:eastAsia="宋体" w:cs="Times New Roman"/>
      <w:kern w:val="2"/>
      <w:sz w:val="21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Lines/>
      <w:widowControl w:val="0"/>
      <w:numPr>
        <w:ilvl w:val="0"/>
        <w:numId w:val="1"/>
      </w:numPr>
      <w:adjustRightInd w:val="0"/>
      <w:spacing w:before="120" w:after="60"/>
      <w:textAlignment w:val="baseline"/>
      <w:outlineLvl w:val="0"/>
    </w:pPr>
    <w:rPr>
      <w:rFonts w:ascii="Times New Roman" w:hAnsi="Times New Roman" w:eastAsia="宋体" w:cs="Times New Roman"/>
      <w:b/>
      <w:color w:val="000000"/>
      <w:w w:val="90"/>
      <w:kern w:val="32"/>
      <w:sz w:val="30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adjustRightInd w:val="0"/>
      <w:spacing w:before="120" w:after="60"/>
      <w:textAlignment w:val="baseline"/>
      <w:outlineLvl w:val="1"/>
    </w:pPr>
    <w:rPr>
      <w:rFonts w:ascii="Arial" w:hAnsi="Arial" w:eastAsia="黑体"/>
      <w:b/>
      <w:color w:val="0000FF"/>
      <w:w w:val="90"/>
      <w:kern w:val="0"/>
      <w:sz w:val="28"/>
    </w:rPr>
  </w:style>
  <w:style w:type="paragraph" w:styleId="6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adjustRightInd w:val="0"/>
      <w:spacing w:before="80" w:after="40"/>
      <w:textAlignment w:val="baseline"/>
      <w:outlineLvl w:val="2"/>
    </w:pPr>
    <w:rPr>
      <w:rFonts w:ascii="宋体" w:hAnsi="Times New Roman"/>
      <w:b/>
      <w:color w:val="000000"/>
      <w:w w:val="90"/>
      <w:kern w:val="0"/>
      <w:sz w:val="28"/>
    </w:rPr>
  </w:style>
  <w:style w:type="paragraph" w:styleId="7">
    <w:name w:val="heading 4"/>
    <w:basedOn w:val="1"/>
    <w:next w:val="1"/>
    <w:qFormat/>
    <w:uiPriority w:val="0"/>
    <w:pPr>
      <w:keepNext/>
      <w:keepLines/>
      <w:numPr>
        <w:ilvl w:val="3"/>
        <w:numId w:val="1"/>
      </w:numPr>
      <w:adjustRightInd w:val="0"/>
      <w:spacing w:before="280" w:after="290" w:line="376" w:lineRule="auto"/>
      <w:textAlignment w:val="baseline"/>
      <w:outlineLvl w:val="3"/>
    </w:pPr>
    <w:rPr>
      <w:rFonts w:ascii="Arial" w:hAnsi="Arial" w:eastAsia="黑体"/>
      <w:b/>
      <w:w w:val="90"/>
      <w:kern w:val="0"/>
      <w:sz w:val="28"/>
    </w:rPr>
  </w:style>
  <w:style w:type="paragraph" w:styleId="8">
    <w:name w:val="heading 5"/>
    <w:basedOn w:val="1"/>
    <w:next w:val="1"/>
    <w:qFormat/>
    <w:uiPriority w:val="0"/>
    <w:pPr>
      <w:keepNext/>
      <w:keepLines/>
      <w:numPr>
        <w:ilvl w:val="4"/>
        <w:numId w:val="1"/>
      </w:numPr>
      <w:adjustRightInd w:val="0"/>
      <w:spacing w:before="280" w:after="290" w:line="376" w:lineRule="auto"/>
      <w:textAlignment w:val="baseline"/>
      <w:outlineLvl w:val="4"/>
    </w:pPr>
    <w:rPr>
      <w:rFonts w:ascii="宋体" w:hAnsi="Times New Roman"/>
      <w:b/>
      <w:w w:val="90"/>
      <w:kern w:val="0"/>
      <w:sz w:val="28"/>
    </w:rPr>
  </w:style>
  <w:style w:type="paragraph" w:styleId="9">
    <w:name w:val="heading 6"/>
    <w:basedOn w:val="1"/>
    <w:next w:val="1"/>
    <w:qFormat/>
    <w:uiPriority w:val="0"/>
    <w:pPr>
      <w:keepNext/>
      <w:keepLines/>
      <w:numPr>
        <w:ilvl w:val="5"/>
        <w:numId w:val="1"/>
      </w:numPr>
      <w:adjustRightInd w:val="0"/>
      <w:spacing w:before="240" w:after="64" w:line="320" w:lineRule="auto"/>
      <w:textAlignment w:val="baseline"/>
      <w:outlineLvl w:val="5"/>
    </w:pPr>
    <w:rPr>
      <w:rFonts w:ascii="Arial" w:hAnsi="Arial" w:eastAsia="黑体"/>
      <w:b/>
      <w:w w:val="90"/>
      <w:kern w:val="0"/>
      <w:sz w:val="28"/>
    </w:rPr>
  </w:style>
  <w:style w:type="paragraph" w:styleId="10">
    <w:name w:val="heading 7"/>
    <w:basedOn w:val="1"/>
    <w:next w:val="1"/>
    <w:qFormat/>
    <w:uiPriority w:val="0"/>
    <w:pPr>
      <w:keepNext/>
      <w:keepLines/>
      <w:numPr>
        <w:ilvl w:val="6"/>
        <w:numId w:val="1"/>
      </w:numPr>
      <w:adjustRightInd w:val="0"/>
      <w:spacing w:before="240" w:after="64" w:line="320" w:lineRule="auto"/>
      <w:textAlignment w:val="baseline"/>
      <w:outlineLvl w:val="6"/>
    </w:pPr>
    <w:rPr>
      <w:rFonts w:ascii="宋体" w:hAnsi="Times New Roman"/>
      <w:b/>
      <w:w w:val="90"/>
      <w:kern w:val="0"/>
      <w:sz w:val="28"/>
    </w:rPr>
  </w:style>
  <w:style w:type="paragraph" w:styleId="11">
    <w:name w:val="heading 8"/>
    <w:basedOn w:val="1"/>
    <w:next w:val="1"/>
    <w:qFormat/>
    <w:uiPriority w:val="0"/>
    <w:pPr>
      <w:keepNext/>
      <w:keepLines/>
      <w:numPr>
        <w:ilvl w:val="7"/>
        <w:numId w:val="1"/>
      </w:numPr>
      <w:adjustRightInd w:val="0"/>
      <w:spacing w:before="240" w:after="64" w:line="320" w:lineRule="auto"/>
      <w:textAlignment w:val="baseline"/>
      <w:outlineLvl w:val="7"/>
    </w:pPr>
    <w:rPr>
      <w:rFonts w:ascii="Arial" w:hAnsi="Arial" w:eastAsia="黑体"/>
      <w:w w:val="90"/>
      <w:kern w:val="0"/>
      <w:sz w:val="28"/>
    </w:rPr>
  </w:style>
  <w:style w:type="paragraph" w:styleId="12">
    <w:name w:val="heading 9"/>
    <w:basedOn w:val="1"/>
    <w:next w:val="1"/>
    <w:qFormat/>
    <w:uiPriority w:val="0"/>
    <w:pPr>
      <w:keepNext/>
      <w:keepLines/>
      <w:numPr>
        <w:ilvl w:val="8"/>
        <w:numId w:val="1"/>
      </w:numPr>
      <w:adjustRightInd w:val="0"/>
      <w:spacing w:before="240" w:after="64" w:line="320" w:lineRule="auto"/>
      <w:textAlignment w:val="baseline"/>
      <w:outlineLvl w:val="8"/>
    </w:pPr>
    <w:rPr>
      <w:rFonts w:ascii="Arial" w:hAnsi="Arial" w:eastAsia="黑体"/>
      <w:w w:val="90"/>
      <w:kern w:val="0"/>
    </w:rPr>
  </w:style>
  <w:style w:type="character" w:default="1" w:styleId="29">
    <w:name w:val="Default Paragraph Font"/>
    <w:unhideWhenUsed/>
    <w:qFormat/>
    <w:uiPriority w:val="1"/>
  </w:style>
  <w:style w:type="table" w:default="1" w:styleId="27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10"/>
    <w:pPr>
      <w:adjustRightInd w:val="0"/>
      <w:spacing w:before="60" w:after="60" w:line="360" w:lineRule="auto"/>
      <w:jc w:val="left"/>
      <w:outlineLvl w:val="0"/>
    </w:pPr>
    <w:rPr>
      <w:rFonts w:ascii="宋体" w:hAnsi="Arial"/>
      <w:b/>
      <w:sz w:val="24"/>
      <w:szCs w:val="20"/>
    </w:rPr>
  </w:style>
  <w:style w:type="paragraph" w:styleId="13">
    <w:name w:val="List Number"/>
    <w:qFormat/>
    <w:uiPriority w:val="0"/>
    <w:pPr>
      <w:numPr>
        <w:ilvl w:val="0"/>
        <w:numId w:val="2"/>
      </w:numPr>
      <w:tabs>
        <w:tab w:val="left" w:pos="644"/>
        <w:tab w:val="clear" w:pos="360"/>
      </w:tabs>
      <w:spacing w:before="20" w:after="20"/>
      <w:ind w:left="624" w:hanging="340"/>
      <w:jc w:val="both"/>
    </w:pPr>
    <w:rPr>
      <w:rFonts w:ascii="Times New Roman" w:hAnsi="Times New Roman" w:eastAsia="宋体" w:cs="Times New Roman"/>
      <w:w w:val="90"/>
      <w:sz w:val="24"/>
      <w:lang w:val="en-US" w:eastAsia="zh-CN" w:bidi="ar-SA"/>
    </w:rPr>
  </w:style>
  <w:style w:type="paragraph" w:styleId="14">
    <w:name w:val="Normal Indent"/>
    <w:basedOn w:val="1"/>
    <w:qFormat/>
    <w:uiPriority w:val="0"/>
    <w:pPr>
      <w:ind w:firstLine="420"/>
    </w:pPr>
  </w:style>
  <w:style w:type="paragraph" w:styleId="15">
    <w:name w:val="Document Map"/>
    <w:basedOn w:val="1"/>
    <w:semiHidden/>
    <w:qFormat/>
    <w:uiPriority w:val="0"/>
    <w:pPr>
      <w:shd w:val="clear" w:color="auto" w:fill="000080"/>
    </w:pPr>
  </w:style>
  <w:style w:type="paragraph" w:styleId="16">
    <w:name w:val="annotation text"/>
    <w:basedOn w:val="1"/>
    <w:semiHidden/>
    <w:qFormat/>
    <w:uiPriority w:val="0"/>
    <w:pPr>
      <w:jc w:val="left"/>
    </w:pPr>
  </w:style>
  <w:style w:type="paragraph" w:styleId="17">
    <w:name w:val="Body Text Indent"/>
    <w:basedOn w:val="1"/>
    <w:qFormat/>
    <w:uiPriority w:val="0"/>
    <w:pPr>
      <w:spacing w:line="360" w:lineRule="auto"/>
      <w:ind w:firstLine="480" w:firstLineChars="200"/>
    </w:pPr>
    <w:rPr>
      <w:rFonts w:ascii="Times New Roman" w:hAnsi="Times New Roman"/>
      <w:sz w:val="24"/>
    </w:rPr>
  </w:style>
  <w:style w:type="paragraph" w:styleId="18">
    <w:name w:val="toc 3"/>
    <w:basedOn w:val="1"/>
    <w:next w:val="1"/>
    <w:semiHidden/>
    <w:qFormat/>
    <w:uiPriority w:val="0"/>
    <w:pPr>
      <w:ind w:left="840" w:leftChars="400"/>
    </w:pPr>
  </w:style>
  <w:style w:type="paragraph" w:styleId="19">
    <w:name w:val="Plain Text"/>
    <w:basedOn w:val="1"/>
    <w:qFormat/>
    <w:uiPriority w:val="0"/>
    <w:rPr>
      <w:rFonts w:ascii="宋体" w:hAnsi="Courier New"/>
    </w:rPr>
  </w:style>
  <w:style w:type="paragraph" w:styleId="20">
    <w:name w:val="Date"/>
    <w:basedOn w:val="1"/>
    <w:next w:val="1"/>
    <w:qFormat/>
    <w:uiPriority w:val="0"/>
    <w:rPr>
      <w:rFonts w:ascii="Times New Roman" w:hAnsi="Times New Roman"/>
      <w:sz w:val="24"/>
    </w:rPr>
  </w:style>
  <w:style w:type="paragraph" w:styleId="21">
    <w:name w:val="Body Text Indent 2"/>
    <w:basedOn w:val="1"/>
    <w:qFormat/>
    <w:uiPriority w:val="0"/>
    <w:pPr>
      <w:spacing w:line="360" w:lineRule="auto"/>
      <w:ind w:firstLine="480"/>
    </w:pPr>
    <w:rPr>
      <w:rFonts w:ascii="Times New Roman" w:hAnsi="Times New Roman"/>
      <w:sz w:val="24"/>
    </w:rPr>
  </w:style>
  <w:style w:type="paragraph" w:styleId="22">
    <w:name w:val="Balloon Text"/>
    <w:basedOn w:val="1"/>
    <w:semiHidden/>
    <w:qFormat/>
    <w:uiPriority w:val="0"/>
    <w:rPr>
      <w:sz w:val="18"/>
      <w:szCs w:val="18"/>
    </w:rPr>
  </w:style>
  <w:style w:type="paragraph" w:styleId="2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5">
    <w:name w:val="toc 1"/>
    <w:basedOn w:val="1"/>
    <w:next w:val="1"/>
    <w:semiHidden/>
    <w:qFormat/>
    <w:uiPriority w:val="0"/>
    <w:pPr>
      <w:tabs>
        <w:tab w:val="left" w:pos="295"/>
        <w:tab w:val="right" w:leader="dot" w:pos="9628"/>
      </w:tabs>
    </w:pPr>
  </w:style>
  <w:style w:type="paragraph" w:styleId="26">
    <w:name w:val="table of figures"/>
    <w:basedOn w:val="1"/>
    <w:next w:val="1"/>
    <w:semiHidden/>
    <w:qFormat/>
    <w:uiPriority w:val="0"/>
    <w:pPr>
      <w:tabs>
        <w:tab w:val="left" w:pos="510"/>
      </w:tabs>
      <w:adjustRightInd w:val="0"/>
      <w:spacing w:line="240" w:lineRule="atLeast"/>
      <w:jc w:val="left"/>
      <w:textAlignment w:val="baseline"/>
    </w:pPr>
    <w:rPr>
      <w:rFonts w:ascii="Times New Roman" w:hAnsi="Times New Roman"/>
      <w:kern w:val="0"/>
      <w:sz w:val="24"/>
    </w:rPr>
  </w:style>
  <w:style w:type="table" w:styleId="28">
    <w:name w:val="Table Grid"/>
    <w:basedOn w:val="2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0">
    <w:name w:val="page number"/>
    <w:basedOn w:val="29"/>
    <w:qFormat/>
    <w:uiPriority w:val="0"/>
  </w:style>
  <w:style w:type="character" w:styleId="31">
    <w:name w:val="Emphasis"/>
    <w:basedOn w:val="29"/>
    <w:qFormat/>
    <w:uiPriority w:val="0"/>
    <w:rPr>
      <w:i/>
    </w:rPr>
  </w:style>
  <w:style w:type="character" w:styleId="32">
    <w:name w:val="Hyperlink"/>
    <w:qFormat/>
    <w:uiPriority w:val="0"/>
    <w:rPr>
      <w:color w:val="0000FF"/>
      <w:u w:val="single"/>
    </w:rPr>
  </w:style>
  <w:style w:type="character" w:styleId="33">
    <w:name w:val="annotation reference"/>
    <w:semiHidden/>
    <w:qFormat/>
    <w:uiPriority w:val="0"/>
    <w:rPr>
      <w:sz w:val="21"/>
      <w:szCs w:val="21"/>
    </w:rPr>
  </w:style>
  <w:style w:type="paragraph" w:customStyle="1" w:styleId="34">
    <w:name w:val="列表yjma"/>
    <w:basedOn w:val="1"/>
    <w:next w:val="1"/>
    <w:qFormat/>
    <w:uiPriority w:val="0"/>
    <w:pPr>
      <w:numPr>
        <w:ilvl w:val="0"/>
        <w:numId w:val="3"/>
      </w:numPr>
      <w:adjustRightInd w:val="0"/>
      <w:textAlignment w:val="baseline"/>
    </w:pPr>
    <w:rPr>
      <w:rFonts w:ascii="宋体" w:hAnsi="Times New Roman"/>
      <w:w w:val="90"/>
      <w:kern w:val="0"/>
      <w:sz w:val="28"/>
    </w:rPr>
  </w:style>
  <w:style w:type="paragraph" w:customStyle="1" w:styleId="35">
    <w:name w:val="列表yjm1"/>
    <w:next w:val="1"/>
    <w:qFormat/>
    <w:uiPriority w:val="0"/>
    <w:pPr>
      <w:numPr>
        <w:ilvl w:val="0"/>
        <w:numId w:val="4"/>
      </w:numPr>
      <w:adjustRightInd w:val="0"/>
      <w:jc w:val="both"/>
      <w:outlineLvl w:val="4"/>
    </w:pPr>
    <w:rPr>
      <w:rFonts w:ascii="Times New Roman" w:hAnsi="Times New Roman" w:eastAsia="宋体" w:cs="Times New Roman"/>
      <w:w w:val="90"/>
      <w:sz w:val="28"/>
      <w:lang w:val="en-US" w:eastAsia="zh-CN" w:bidi="ar-SA"/>
    </w:rPr>
  </w:style>
  <w:style w:type="paragraph" w:customStyle="1" w:styleId="36">
    <w:name w:val="正文缩进0.75"/>
    <w:basedOn w:val="1"/>
    <w:qFormat/>
    <w:uiPriority w:val="0"/>
    <w:pPr>
      <w:adjustRightInd w:val="0"/>
      <w:ind w:left="425"/>
      <w:textAlignment w:val="baseline"/>
    </w:pPr>
    <w:rPr>
      <w:rFonts w:ascii="宋体" w:hAnsi="Times New Roman"/>
      <w:w w:val="90"/>
      <w:kern w:val="0"/>
      <w:sz w:val="24"/>
    </w:rPr>
  </w:style>
  <w:style w:type="paragraph" w:customStyle="1" w:styleId="37">
    <w:name w:val="Char Char Char Char"/>
    <w:basedOn w:val="1"/>
    <w:qFormat/>
    <w:uiPriority w:val="0"/>
    <w:rPr>
      <w:rFonts w:ascii="Times New Roman" w:hAnsi="Times New Roman"/>
      <w:szCs w:val="24"/>
    </w:rPr>
  </w:style>
  <w:style w:type="paragraph" w:customStyle="1" w:styleId="38">
    <w:name w:val="Char Char Char Char Char Char Char"/>
    <w:basedOn w:val="15"/>
    <w:qFormat/>
    <w:uiPriority w:val="0"/>
    <w:rPr>
      <w:rFonts w:ascii="Tahoma" w:hAnsi="Tahoma"/>
      <w:sz w:val="24"/>
      <w:szCs w:val="24"/>
    </w:rPr>
  </w:style>
  <w:style w:type="paragraph" w:customStyle="1" w:styleId="39">
    <w:name w:val="Char Char Char Char1"/>
    <w:basedOn w:val="1"/>
    <w:qFormat/>
    <w:uiPriority w:val="0"/>
    <w:rPr>
      <w:rFonts w:ascii="Times New Roman" w:hAnsi="Times New Roman"/>
      <w:szCs w:val="24"/>
    </w:rPr>
  </w:style>
  <w:style w:type="paragraph" w:customStyle="1" w:styleId="40">
    <w:name w:val="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4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2090</Words>
  <Characters>2248</Characters>
  <Lines>1</Lines>
  <Paragraphs>1</Paragraphs>
  <TotalTime>7</TotalTime>
  <ScaleCrop>false</ScaleCrop>
  <LinksUpToDate>false</LinksUpToDate>
  <CharactersWithSpaces>2269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2013-12-27T14:33:00Z</dcterms:created>
  <dc:creator>李弘宇</dc:creator>
  <cp:lastModifiedBy>Administrator</cp:lastModifiedBy>
  <cp:lastPrinted>2013-10-24T10:53:00Z</cp:lastPrinted>
  <dcterms:modified xsi:type="dcterms:W3CDTF">2026-06-22T07:45:11Z</dcterms:modified>
  <dc:title>技术规范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3796C6C4B45F44C3938CDEE6FDFB426F_13</vt:lpwstr>
  </property>
</Properties>
</file>