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3D5DC4">
      <w:pPr>
        <w:keepNext w:val="0"/>
        <w:keepLines w:val="0"/>
        <w:pageBreakBefore w:val="0"/>
        <w:widowControl w:val="0"/>
        <w:kinsoku/>
        <w:wordWrap/>
        <w:overflowPunct/>
        <w:topLinePunct w:val="0"/>
        <w:autoSpaceDE/>
        <w:autoSpaceDN/>
        <w:bidi w:val="0"/>
        <w:rPr>
          <w:rFonts w:hint="eastAsia" w:ascii="宋体" w:hAnsi="宋体" w:eastAsia="宋体" w:cs="宋体"/>
          <w:sz w:val="24"/>
          <w:szCs w:val="24"/>
          <w:lang w:val="en-US" w:eastAsia="zh-CN"/>
        </w:rPr>
      </w:pPr>
      <w:bookmarkStart w:id="0" w:name="_Toc113956325"/>
      <w:bookmarkStart w:id="1" w:name="_Toc113371371"/>
      <w:bookmarkStart w:id="2" w:name="_Toc47002594"/>
      <w:bookmarkStart w:id="3" w:name="_Toc30308"/>
      <w:bookmarkStart w:id="4" w:name="_Toc53088393"/>
      <w:bookmarkStart w:id="5" w:name="_Toc322815100"/>
      <w:bookmarkStart w:id="6" w:name="_Toc351846901"/>
      <w:bookmarkStart w:id="7" w:name="OLE_LINK1"/>
      <w:r>
        <w:rPr>
          <w:rFonts w:ascii="宋体" w:hAnsi="宋体"/>
          <w:highlight w:val="none"/>
        </w:rPr>
        <w:drawing>
          <wp:anchor distT="0" distB="0" distL="114300" distR="114300" simplePos="0" relativeHeight="251660288" behindDoc="1" locked="0" layoutInCell="1" allowOverlap="0">
            <wp:simplePos x="0" y="0"/>
            <wp:positionH relativeFrom="page">
              <wp:posOffset>3810</wp:posOffset>
            </wp:positionH>
            <wp:positionV relativeFrom="paragraph">
              <wp:posOffset>-880745</wp:posOffset>
            </wp:positionV>
            <wp:extent cx="7573645" cy="2861310"/>
            <wp:effectExtent l="0" t="0" r="8255" b="15240"/>
            <wp:wrapNone/>
            <wp:docPr id="15606" name="图片 6" descr="说明: 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 name="图片 6" descr="说明: bm"/>
                    <pic:cNvPicPr>
                      <a:picLocks noChangeAspect="1"/>
                    </pic:cNvPicPr>
                  </pic:nvPicPr>
                  <pic:blipFill>
                    <a:blip r:embed="rId7"/>
                    <a:srcRect b="67473"/>
                    <a:stretch>
                      <a:fillRect/>
                    </a:stretch>
                  </pic:blipFill>
                  <pic:spPr>
                    <a:xfrm>
                      <a:off x="0" y="0"/>
                      <a:ext cx="7573645" cy="2861310"/>
                    </a:xfrm>
                    <a:prstGeom prst="rect">
                      <a:avLst/>
                    </a:prstGeom>
                    <a:noFill/>
                    <a:ln>
                      <a:noFill/>
                    </a:ln>
                  </pic:spPr>
                </pic:pic>
              </a:graphicData>
            </a:graphic>
          </wp:anchor>
        </w:drawing>
      </w:r>
    </w:p>
    <w:p w14:paraId="7E143817">
      <w:pPr>
        <w:keepNext w:val="0"/>
        <w:keepLines w:val="0"/>
        <w:pageBreakBefore w:val="0"/>
        <w:widowControl w:val="0"/>
        <w:kinsoku/>
        <w:wordWrap/>
        <w:overflowPunct/>
        <w:topLinePunct w:val="0"/>
        <w:autoSpaceDE/>
        <w:autoSpaceDN/>
        <w:bidi w:val="0"/>
        <w:rPr>
          <w:rFonts w:hint="eastAsia" w:ascii="宋体" w:hAnsi="宋体" w:eastAsia="宋体" w:cs="宋体"/>
          <w:sz w:val="72"/>
          <w:szCs w:val="72"/>
          <w:lang w:val="en-US" w:eastAsia="zh-CN"/>
        </w:rPr>
      </w:pPr>
    </w:p>
    <w:p w14:paraId="49F20D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72"/>
          <w:szCs w:val="72"/>
          <w:lang w:val="en-US" w:eastAsia="zh-CN"/>
        </w:rPr>
      </w:pPr>
    </w:p>
    <w:p w14:paraId="421D55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72"/>
          <w:szCs w:val="72"/>
          <w:lang w:val="en-US" w:eastAsia="zh-CN"/>
        </w:rPr>
      </w:pPr>
    </w:p>
    <w:p w14:paraId="2EE9687B">
      <w:pPr>
        <w:keepNext w:val="0"/>
        <w:keepLines w:val="0"/>
        <w:pageBreakBefore w:val="0"/>
        <w:widowControl w:val="0"/>
        <w:kinsoku/>
        <w:wordWrap/>
        <w:overflowPunct/>
        <w:topLinePunct w:val="0"/>
        <w:autoSpaceDE/>
        <w:autoSpaceDN/>
        <w:bidi w:val="0"/>
        <w:jc w:val="center"/>
        <w:rPr>
          <w:rFonts w:hint="eastAsia" w:ascii="宋体" w:hAnsi="宋体" w:eastAsia="宋体" w:cs="宋体"/>
          <w:b/>
          <w:bCs/>
          <w:sz w:val="44"/>
          <w:szCs w:val="44"/>
          <w:lang w:val="en-US" w:eastAsia="zh-CN"/>
        </w:rPr>
      </w:pPr>
      <w:r>
        <w:rPr>
          <w:rFonts w:hint="eastAsia" w:ascii="宋体" w:hAnsi="宋体" w:eastAsia="宋体" w:cs="宋体"/>
          <w:b/>
          <w:sz w:val="44"/>
          <w:szCs w:val="44"/>
          <w:highlight w:val="none"/>
          <w:lang w:val="en-US" w:eastAsia="zh-CN"/>
        </w:rPr>
        <w:t>海南公司视频主站便携式终端零星采购</w:t>
      </w:r>
      <w:r>
        <w:rPr>
          <w:rFonts w:hint="eastAsia" w:ascii="宋体" w:hAnsi="宋体" w:eastAsia="宋体" w:cs="宋体"/>
          <w:b/>
          <w:bCs/>
          <w:sz w:val="44"/>
          <w:szCs w:val="44"/>
          <w:lang w:val="en-US" w:eastAsia="zh-CN"/>
        </w:rPr>
        <w:t>技术</w:t>
      </w:r>
      <w:r>
        <w:rPr>
          <w:rFonts w:hint="eastAsia" w:ascii="宋体" w:hAnsi="宋体" w:cs="宋体"/>
          <w:b/>
          <w:bCs/>
          <w:sz w:val="44"/>
          <w:szCs w:val="44"/>
          <w:lang w:val="en-US" w:eastAsia="zh-CN"/>
        </w:rPr>
        <w:t>规范书</w:t>
      </w:r>
    </w:p>
    <w:p w14:paraId="06BEFCD4">
      <w:pPr>
        <w:keepNext w:val="0"/>
        <w:keepLines w:val="0"/>
        <w:pageBreakBefore w:val="0"/>
        <w:widowControl w:val="0"/>
        <w:kinsoku/>
        <w:wordWrap/>
        <w:overflowPunct/>
        <w:topLinePunct w:val="0"/>
        <w:autoSpaceDE/>
        <w:autoSpaceDN/>
        <w:bidi w:val="0"/>
        <w:rPr>
          <w:rFonts w:hint="eastAsia" w:ascii="宋体" w:hAnsi="宋体" w:eastAsia="宋体" w:cs="宋体"/>
          <w:sz w:val="24"/>
          <w:szCs w:val="24"/>
        </w:rPr>
      </w:pPr>
    </w:p>
    <w:p w14:paraId="3217AC6C">
      <w:pPr>
        <w:keepNext w:val="0"/>
        <w:keepLines w:val="0"/>
        <w:pageBreakBefore w:val="0"/>
        <w:widowControl w:val="0"/>
        <w:kinsoku/>
        <w:wordWrap/>
        <w:overflowPunct/>
        <w:topLinePunct w:val="0"/>
        <w:autoSpaceDE/>
        <w:autoSpaceDN/>
        <w:bidi w:val="0"/>
        <w:rPr>
          <w:rFonts w:hint="eastAsia" w:ascii="宋体" w:hAnsi="宋体" w:eastAsia="宋体" w:cs="宋体"/>
          <w:sz w:val="24"/>
          <w:szCs w:val="24"/>
        </w:rPr>
      </w:pPr>
    </w:p>
    <w:p w14:paraId="38FBD7CE">
      <w:pPr>
        <w:keepNext w:val="0"/>
        <w:keepLines w:val="0"/>
        <w:pageBreakBefore w:val="0"/>
        <w:widowControl w:val="0"/>
        <w:kinsoku/>
        <w:wordWrap/>
        <w:overflowPunct/>
        <w:topLinePunct w:val="0"/>
        <w:autoSpaceDE/>
        <w:autoSpaceDN/>
        <w:bidi w:val="0"/>
        <w:jc w:val="center"/>
        <w:rPr>
          <w:rFonts w:hint="eastAsia" w:ascii="宋体" w:hAnsi="宋体" w:eastAsia="宋体" w:cs="宋体"/>
          <w:sz w:val="24"/>
          <w:szCs w:val="24"/>
          <w:highlight w:val="none"/>
        </w:rPr>
      </w:pPr>
    </w:p>
    <w:p w14:paraId="67715F50">
      <w:pPr>
        <w:keepNext w:val="0"/>
        <w:keepLines w:val="0"/>
        <w:pageBreakBefore w:val="0"/>
        <w:widowControl w:val="0"/>
        <w:kinsoku/>
        <w:wordWrap/>
        <w:overflowPunct/>
        <w:topLinePunct w:val="0"/>
        <w:autoSpaceDE/>
        <w:autoSpaceDN/>
        <w:bidi w:val="0"/>
        <w:jc w:val="center"/>
        <w:rPr>
          <w:rFonts w:hint="eastAsia" w:ascii="宋体" w:hAnsi="宋体" w:eastAsia="宋体" w:cs="宋体"/>
          <w:sz w:val="24"/>
          <w:szCs w:val="24"/>
          <w:highlight w:val="none"/>
        </w:rPr>
      </w:pPr>
    </w:p>
    <w:p w14:paraId="6F2A3A6A">
      <w:pPr>
        <w:pStyle w:val="11"/>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7238569B">
      <w:pPr>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7EE4E456">
      <w:pPr>
        <w:pStyle w:val="11"/>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21AC8EBF">
      <w:pPr>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1767034A">
      <w:pPr>
        <w:pStyle w:val="11"/>
        <w:keepNext w:val="0"/>
        <w:keepLines w:val="0"/>
        <w:pageBreakBefore w:val="0"/>
        <w:widowControl w:val="0"/>
        <w:kinsoku/>
        <w:wordWrap/>
        <w:overflowPunct/>
        <w:topLinePunct w:val="0"/>
        <w:autoSpaceDE/>
        <w:autoSpaceDN/>
        <w:bidi w:val="0"/>
        <w:rPr>
          <w:rFonts w:hint="eastAsia" w:ascii="宋体" w:hAnsi="宋体" w:eastAsia="宋体" w:cs="宋体"/>
          <w:sz w:val="24"/>
          <w:szCs w:val="24"/>
          <w:highlight w:val="none"/>
        </w:rPr>
      </w:pPr>
    </w:p>
    <w:p w14:paraId="5B45AF42">
      <w:pPr>
        <w:keepNext w:val="0"/>
        <w:keepLines w:val="0"/>
        <w:pageBreakBefore w:val="0"/>
        <w:widowControl w:val="0"/>
        <w:kinsoku/>
        <w:wordWrap/>
        <w:overflowPunct/>
        <w:topLinePunct w:val="0"/>
        <w:autoSpaceDE/>
        <w:autoSpaceDN/>
        <w:bidi w:val="0"/>
        <w:rPr>
          <w:rFonts w:hint="eastAsia"/>
        </w:rPr>
      </w:pPr>
    </w:p>
    <w:p w14:paraId="5E498D6B">
      <w:pPr>
        <w:keepNext w:val="0"/>
        <w:keepLines w:val="0"/>
        <w:pageBreakBefore w:val="0"/>
        <w:widowControl w:val="0"/>
        <w:kinsoku/>
        <w:wordWrap/>
        <w:overflowPunct/>
        <w:topLinePunct w:val="0"/>
        <w:autoSpaceDE/>
        <w:autoSpaceDN/>
        <w:bidi w:val="0"/>
        <w:jc w:val="both"/>
        <w:rPr>
          <w:rFonts w:hint="eastAsia" w:ascii="宋体" w:hAnsi="宋体" w:eastAsia="宋体" w:cs="宋体"/>
          <w:b/>
          <w:bCs/>
          <w:kern w:val="44"/>
          <w:sz w:val="24"/>
          <w:szCs w:val="24"/>
          <w:highlight w:val="none"/>
          <w:lang w:val="en-US" w:eastAsia="zh-CN" w:bidi="ar-SA"/>
        </w:rPr>
      </w:pPr>
    </w:p>
    <w:p w14:paraId="62DFDF93">
      <w:pPr>
        <w:keepNext w:val="0"/>
        <w:keepLines w:val="0"/>
        <w:pageBreakBefore w:val="0"/>
        <w:widowControl w:val="0"/>
        <w:kinsoku/>
        <w:wordWrap/>
        <w:overflowPunct/>
        <w:topLinePunct w:val="0"/>
        <w:autoSpaceDE/>
        <w:autoSpaceDN/>
        <w:bidi w:val="0"/>
        <w:jc w:val="center"/>
        <w:rPr>
          <w:rFonts w:hint="eastAsia" w:ascii="宋体" w:hAnsi="宋体" w:eastAsia="宋体" w:cs="宋体"/>
          <w:b/>
          <w:bCs/>
          <w:sz w:val="30"/>
          <w:szCs w:val="30"/>
          <w:u w:val="none"/>
          <w:lang w:val="en-US" w:eastAsia="zh-CN"/>
        </w:rPr>
      </w:pPr>
      <w:r>
        <w:rPr>
          <w:rFonts w:hint="eastAsia" w:ascii="宋体" w:hAnsi="宋体" w:eastAsia="宋体" w:cs="宋体"/>
          <w:b/>
          <w:bCs/>
          <w:sz w:val="30"/>
          <w:szCs w:val="30"/>
          <w:u w:val="none"/>
          <w:lang w:val="en-US" w:eastAsia="zh-CN"/>
        </w:rPr>
        <w:t>南方电网数字电网集团（海南）有限公司</w:t>
      </w:r>
    </w:p>
    <w:p w14:paraId="02CD615D">
      <w:pPr>
        <w:keepNext w:val="0"/>
        <w:keepLines w:val="0"/>
        <w:pageBreakBefore w:val="0"/>
        <w:widowControl w:val="0"/>
        <w:kinsoku/>
        <w:wordWrap/>
        <w:overflowPunct/>
        <w:topLinePunct w:val="0"/>
        <w:autoSpaceDE/>
        <w:autoSpaceDN/>
        <w:bidi w:val="0"/>
        <w:jc w:val="center"/>
        <w:rPr>
          <w:rFonts w:hint="default" w:ascii="宋体" w:hAnsi="宋体" w:eastAsia="宋体" w:cs="宋体"/>
          <w:b/>
          <w:bCs/>
          <w:kern w:val="44"/>
          <w:sz w:val="30"/>
          <w:szCs w:val="30"/>
          <w:highlight w:val="none"/>
          <w:lang w:val="en-US" w:eastAsia="zh-CN" w:bidi="ar-SA"/>
        </w:rPr>
      </w:pPr>
      <w:r>
        <w:rPr>
          <w:rFonts w:hint="eastAsia" w:ascii="宋体" w:hAnsi="宋体" w:cs="宋体"/>
          <w:b/>
          <w:bCs/>
          <w:kern w:val="44"/>
          <w:sz w:val="30"/>
          <w:szCs w:val="30"/>
          <w:highlight w:val="none"/>
          <w:lang w:val="en-US" w:eastAsia="zh-CN" w:bidi="ar-SA"/>
        </w:rPr>
        <w:t>2026年6月</w:t>
      </w:r>
    </w:p>
    <w:p w14:paraId="510A0587">
      <w:pPr>
        <w:keepNext w:val="0"/>
        <w:keepLines w:val="0"/>
        <w:pageBreakBefore w:val="0"/>
        <w:widowControl w:val="0"/>
        <w:kinsoku/>
        <w:wordWrap/>
        <w:overflowPunct/>
        <w:topLinePunct w:val="0"/>
        <w:autoSpaceDE/>
        <w:autoSpaceDN/>
        <w:bidi w:val="0"/>
        <w:jc w:val="both"/>
        <w:rPr>
          <w:rFonts w:hint="eastAsia" w:ascii="宋体" w:hAnsi="宋体" w:eastAsia="宋体" w:cs="宋体"/>
          <w:b/>
          <w:bCs/>
          <w:kern w:val="44"/>
          <w:sz w:val="24"/>
          <w:szCs w:val="24"/>
          <w:highlight w:val="none"/>
          <w:lang w:val="en-US" w:eastAsia="zh-CN" w:bidi="ar-SA"/>
        </w:rPr>
      </w:pPr>
    </w:p>
    <w:p w14:paraId="55604E56">
      <w:pPr>
        <w:pStyle w:val="11"/>
        <w:rPr>
          <w:rFonts w:hint="eastAsia"/>
          <w:lang w:val="en-US" w:eastAsia="zh-CN"/>
        </w:rPr>
      </w:pPr>
    </w:p>
    <w:p w14:paraId="01B0A894">
      <w:pPr>
        <w:keepNext w:val="0"/>
        <w:keepLines w:val="0"/>
        <w:pageBreakBefore w:val="0"/>
        <w:widowControl w:val="0"/>
        <w:numPr>
          <w:ilvl w:val="0"/>
          <w:numId w:val="1"/>
        </w:numPr>
        <w:kinsoku/>
        <w:wordWrap/>
        <w:overflowPunct/>
        <w:topLinePunct w:val="0"/>
        <w:autoSpaceDE/>
        <w:autoSpaceDN/>
        <w:bidi w:val="0"/>
        <w:spacing w:before="163" w:beforeLines="50" w:after="163" w:afterLines="50" w:line="360" w:lineRule="auto"/>
        <w:ind w:left="578" w:hanging="434" w:hangingChars="180"/>
        <w:jc w:val="both"/>
        <w:outlineLvl w:val="0"/>
        <w:rPr>
          <w:rFonts w:hint="eastAsia" w:ascii="宋体" w:hAnsi="宋体" w:eastAsia="宋体" w:cs="宋体"/>
          <w:b/>
          <w:bCs/>
          <w:kern w:val="44"/>
          <w:sz w:val="24"/>
          <w:szCs w:val="24"/>
          <w:highlight w:val="none"/>
          <w:lang w:val="en-US" w:eastAsia="zh-CN" w:bidi="ar-SA"/>
        </w:rPr>
        <w:sectPr>
          <w:pgSz w:w="11906" w:h="16838"/>
          <w:pgMar w:top="1440" w:right="1800" w:bottom="1440" w:left="1800" w:header="851" w:footer="992" w:gutter="0"/>
          <w:pgNumType w:fmt="decimal"/>
          <w:cols w:space="720" w:num="1"/>
          <w:docGrid w:type="lines" w:linePitch="312" w:charSpace="0"/>
        </w:sectPr>
      </w:pPr>
    </w:p>
    <w:p w14:paraId="4038A9F7">
      <w:pPr>
        <w:keepNext w:val="0"/>
        <w:keepLines w:val="0"/>
        <w:pageBreakBefore w:val="0"/>
        <w:widowControl w:val="0"/>
        <w:numPr>
          <w:ilvl w:val="0"/>
          <w:numId w:val="1"/>
        </w:numPr>
        <w:kinsoku/>
        <w:wordWrap/>
        <w:overflowPunct/>
        <w:topLinePunct w:val="0"/>
        <w:autoSpaceDE/>
        <w:autoSpaceDN/>
        <w:bidi w:val="0"/>
        <w:spacing w:before="163" w:beforeLines="50" w:after="163" w:afterLines="50" w:line="360" w:lineRule="auto"/>
        <w:ind w:left="578" w:hanging="434" w:hangingChars="180"/>
        <w:jc w:val="both"/>
        <w:outlineLvl w:val="0"/>
        <w:rPr>
          <w:rFonts w:hint="eastAsia" w:ascii="宋体" w:hAnsi="宋体" w:eastAsia="宋体" w:cs="宋体"/>
          <w:b/>
          <w:bCs/>
          <w:kern w:val="44"/>
          <w:sz w:val="24"/>
          <w:szCs w:val="24"/>
          <w:highlight w:val="none"/>
          <w:lang w:val="en-US" w:eastAsia="zh-CN" w:bidi="ar-SA"/>
        </w:rPr>
      </w:pPr>
      <w:r>
        <w:rPr>
          <w:rFonts w:hint="eastAsia" w:ascii="宋体" w:hAnsi="宋体" w:eastAsia="宋体" w:cs="宋体"/>
          <w:b/>
          <w:bCs/>
          <w:kern w:val="44"/>
          <w:sz w:val="24"/>
          <w:szCs w:val="24"/>
          <w:highlight w:val="none"/>
          <w:lang w:val="en-US" w:eastAsia="zh-CN" w:bidi="ar-SA"/>
        </w:rPr>
        <w:t>供货及技术服务范围</w:t>
      </w:r>
      <w:bookmarkEnd w:id="0"/>
      <w:bookmarkEnd w:id="1"/>
      <w:bookmarkEnd w:id="2"/>
      <w:bookmarkEnd w:id="3"/>
      <w:bookmarkEnd w:id="4"/>
    </w:p>
    <w:p w14:paraId="540EAC66">
      <w:pPr>
        <w:keepNext w:val="0"/>
        <w:keepLines w:val="0"/>
        <w:pageBreakBefore w:val="0"/>
        <w:widowControl w:val="0"/>
        <w:kinsoku/>
        <w:wordWrap/>
        <w:overflowPunct/>
        <w:topLinePunct w:val="0"/>
        <w:autoSpaceDE/>
        <w:autoSpaceDN/>
        <w:bidi w:val="0"/>
        <w:spacing w:before="163" w:after="163"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本项目供货清单如下所示：</w:t>
      </w:r>
    </w:p>
    <w:tbl>
      <w:tblPr>
        <w:tblStyle w:val="13"/>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2366"/>
        <w:gridCol w:w="2563"/>
        <w:gridCol w:w="1197"/>
        <w:gridCol w:w="1213"/>
        <w:gridCol w:w="711"/>
      </w:tblGrid>
      <w:tr w14:paraId="0E8C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445" w:type="pct"/>
            <w:noWrap w:val="0"/>
            <w:vAlign w:val="center"/>
          </w:tcPr>
          <w:p w14:paraId="40118230">
            <w:pPr>
              <w:keepNext w:val="0"/>
              <w:keepLines w:val="0"/>
              <w:pageBreakBefore w:val="0"/>
              <w:widowControl w:val="0"/>
              <w:kinsoku/>
              <w:wordWrap/>
              <w:overflowPunct/>
              <w:topLinePunct w:val="0"/>
              <w:autoSpaceDE/>
              <w:autoSpaceDN/>
              <w:bidi w:val="0"/>
              <w:spacing w:before="156" w:beforeLines="0" w:after="156"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1339" w:type="pct"/>
            <w:noWrap w:val="0"/>
            <w:vAlign w:val="center"/>
          </w:tcPr>
          <w:p w14:paraId="3609772F">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设备名称</w:t>
            </w:r>
          </w:p>
        </w:tc>
        <w:tc>
          <w:tcPr>
            <w:tcW w:w="1450" w:type="pct"/>
            <w:noWrap w:val="0"/>
            <w:vAlign w:val="center"/>
          </w:tcPr>
          <w:p w14:paraId="33AA503D">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规格型号</w:t>
            </w:r>
          </w:p>
        </w:tc>
        <w:tc>
          <w:tcPr>
            <w:tcW w:w="677" w:type="pct"/>
            <w:noWrap w:val="0"/>
            <w:vAlign w:val="center"/>
          </w:tcPr>
          <w:p w14:paraId="058D7387">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单位</w:t>
            </w:r>
          </w:p>
        </w:tc>
        <w:tc>
          <w:tcPr>
            <w:tcW w:w="686" w:type="pct"/>
            <w:noWrap w:val="0"/>
            <w:vAlign w:val="center"/>
          </w:tcPr>
          <w:p w14:paraId="06AA30DD">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数量</w:t>
            </w:r>
          </w:p>
        </w:tc>
        <w:tc>
          <w:tcPr>
            <w:tcW w:w="401" w:type="pct"/>
            <w:noWrap w:val="0"/>
            <w:vAlign w:val="center"/>
          </w:tcPr>
          <w:p w14:paraId="1B7FBADD">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备注</w:t>
            </w:r>
          </w:p>
        </w:tc>
      </w:tr>
      <w:tr w14:paraId="738D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445" w:type="pct"/>
            <w:noWrap w:val="0"/>
            <w:vAlign w:val="center"/>
          </w:tcPr>
          <w:p w14:paraId="0AF75FAB">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Cs/>
                <w:color w:val="000000"/>
                <w:kern w:val="0"/>
                <w:sz w:val="24"/>
                <w:szCs w:val="24"/>
                <w:highlight w:val="none"/>
                <w:lang w:val="en-US" w:eastAsia="zh-CN"/>
              </w:rPr>
            </w:pPr>
            <w:r>
              <w:rPr>
                <w:rFonts w:hint="eastAsia" w:ascii="宋体" w:hAnsi="宋体" w:eastAsia="宋体" w:cs="宋体"/>
                <w:bCs/>
                <w:color w:val="000000"/>
                <w:kern w:val="0"/>
                <w:sz w:val="24"/>
                <w:szCs w:val="24"/>
                <w:highlight w:val="none"/>
                <w:lang w:val="en-US" w:eastAsia="zh-CN"/>
              </w:rPr>
              <w:t>一</w:t>
            </w:r>
          </w:p>
        </w:tc>
        <w:tc>
          <w:tcPr>
            <w:tcW w:w="4554" w:type="pct"/>
            <w:gridSpan w:val="5"/>
            <w:noWrap w:val="0"/>
            <w:vAlign w:val="center"/>
          </w:tcPr>
          <w:p w14:paraId="51856A9B">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基础软件</w:t>
            </w:r>
          </w:p>
        </w:tc>
      </w:tr>
      <w:tr w14:paraId="48CA5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445" w:type="pct"/>
            <w:noWrap w:val="0"/>
            <w:vAlign w:val="center"/>
          </w:tcPr>
          <w:p w14:paraId="4CC5B47D">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bCs/>
                <w:color w:val="000000"/>
                <w:kern w:val="0"/>
                <w:sz w:val="24"/>
                <w:szCs w:val="24"/>
                <w:highlight w:val="none"/>
                <w:lang w:val="en-US" w:eastAsia="zh-CN"/>
              </w:rPr>
            </w:pPr>
            <w:r>
              <w:rPr>
                <w:rFonts w:hint="eastAsia" w:ascii="宋体" w:hAnsi="宋体" w:eastAsia="宋体" w:cs="宋体"/>
                <w:bCs/>
                <w:color w:val="000000"/>
                <w:kern w:val="0"/>
                <w:sz w:val="24"/>
                <w:szCs w:val="24"/>
                <w:highlight w:val="none"/>
                <w:lang w:val="en-US" w:eastAsia="zh-CN"/>
              </w:rPr>
              <w:t>1</w:t>
            </w:r>
          </w:p>
        </w:tc>
        <w:tc>
          <w:tcPr>
            <w:tcW w:w="1339" w:type="pct"/>
            <w:noWrap w:val="0"/>
            <w:vAlign w:val="center"/>
          </w:tcPr>
          <w:p w14:paraId="7123BB0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宋体" w:hAnsi="宋体" w:eastAsia="宋体" w:cs="宋体"/>
                <w:bCs/>
                <w:color w:val="000000"/>
                <w:kern w:val="0"/>
                <w:sz w:val="24"/>
                <w:szCs w:val="24"/>
                <w:highlight w:val="none"/>
                <w:lang w:val="en-US"/>
              </w:rPr>
            </w:pPr>
            <w:r>
              <w:rPr>
                <w:rFonts w:hint="eastAsia" w:ascii="宋体" w:hAnsi="宋体" w:cs="宋体"/>
                <w:i w:val="0"/>
                <w:iCs w:val="0"/>
                <w:color w:val="000000"/>
                <w:kern w:val="0"/>
                <w:sz w:val="24"/>
                <w:szCs w:val="24"/>
                <w:u w:val="none"/>
                <w:lang w:val="en-US" w:eastAsia="zh-CN" w:bidi="ar"/>
              </w:rPr>
              <w:t>便携式终端</w:t>
            </w:r>
          </w:p>
        </w:tc>
        <w:tc>
          <w:tcPr>
            <w:tcW w:w="1450" w:type="pct"/>
            <w:noWrap w:val="0"/>
            <w:vAlign w:val="center"/>
          </w:tcPr>
          <w:p w14:paraId="130C10C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宋体" w:hAnsi="宋体" w:eastAsia="宋体" w:cs="宋体"/>
                <w:bCs/>
                <w:color w:val="000000"/>
                <w:kern w:val="0"/>
                <w:sz w:val="24"/>
                <w:szCs w:val="24"/>
                <w:highlight w:val="none"/>
                <w:lang w:val="en-US" w:eastAsia="zh-CN"/>
              </w:rPr>
            </w:pPr>
            <w:r>
              <w:rPr>
                <w:rFonts w:hint="eastAsia" w:ascii="宋体" w:hAnsi="宋体" w:cs="宋体"/>
                <w:bCs/>
                <w:color w:val="000000"/>
                <w:kern w:val="0"/>
                <w:sz w:val="24"/>
                <w:szCs w:val="24"/>
                <w:highlight w:val="none"/>
                <w:lang w:val="en-US" w:eastAsia="zh-CN"/>
              </w:rPr>
              <w:t>详见配置要求</w:t>
            </w:r>
          </w:p>
        </w:tc>
        <w:tc>
          <w:tcPr>
            <w:tcW w:w="677" w:type="pct"/>
            <w:noWrap w:val="0"/>
            <w:vAlign w:val="center"/>
          </w:tcPr>
          <w:p w14:paraId="5B683BC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2"/>
                <w:sz w:val="24"/>
                <w:szCs w:val="24"/>
                <w:u w:val="none"/>
                <w:lang w:val="en-US" w:eastAsia="zh-CN" w:bidi="ar-SA"/>
              </w:rPr>
              <w:t>台</w:t>
            </w:r>
          </w:p>
        </w:tc>
        <w:tc>
          <w:tcPr>
            <w:tcW w:w="686" w:type="pct"/>
            <w:noWrap w:val="0"/>
            <w:vAlign w:val="center"/>
          </w:tcPr>
          <w:p w14:paraId="3DEC9DF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宋体" w:hAnsi="宋体" w:eastAsia="宋体" w:cs="宋体"/>
                <w:color w:val="000000"/>
                <w:kern w:val="0"/>
                <w:sz w:val="24"/>
                <w:szCs w:val="24"/>
                <w:highlight w:val="none"/>
                <w:lang w:val="en-US"/>
              </w:rPr>
            </w:pPr>
            <w:r>
              <w:rPr>
                <w:rFonts w:hint="eastAsia" w:ascii="宋体" w:hAnsi="宋体" w:cs="宋体"/>
                <w:i w:val="0"/>
                <w:iCs w:val="0"/>
                <w:color w:val="000000"/>
                <w:kern w:val="0"/>
                <w:sz w:val="24"/>
                <w:szCs w:val="24"/>
                <w:u w:val="none"/>
                <w:lang w:val="en-US" w:eastAsia="zh-CN" w:bidi="ar"/>
              </w:rPr>
              <w:t>2</w:t>
            </w:r>
          </w:p>
        </w:tc>
        <w:tc>
          <w:tcPr>
            <w:tcW w:w="401" w:type="pct"/>
            <w:noWrap w:val="0"/>
            <w:vAlign w:val="center"/>
          </w:tcPr>
          <w:p w14:paraId="61C97831">
            <w:pPr>
              <w:keepNext w:val="0"/>
              <w:keepLines w:val="0"/>
              <w:pageBreakBefore w:val="0"/>
              <w:widowControl w:val="0"/>
              <w:kinsoku/>
              <w:wordWrap/>
              <w:overflowPunct/>
              <w:topLinePunct w:val="0"/>
              <w:autoSpaceDE/>
              <w:autoSpaceDN/>
              <w:bidi w:val="0"/>
              <w:spacing w:beforeLines="0" w:afterLines="0" w:line="240" w:lineRule="auto"/>
              <w:jc w:val="center"/>
              <w:rPr>
                <w:rFonts w:hint="eastAsia" w:ascii="宋体" w:hAnsi="宋体" w:eastAsia="宋体" w:cs="宋体"/>
                <w:kern w:val="0"/>
                <w:sz w:val="24"/>
                <w:szCs w:val="24"/>
                <w:highlight w:val="none"/>
              </w:rPr>
            </w:pPr>
          </w:p>
        </w:tc>
      </w:tr>
    </w:tbl>
    <w:p w14:paraId="7A29C20C">
      <w:pPr>
        <w:keepNext w:val="0"/>
        <w:keepLines w:val="0"/>
        <w:pageBreakBefore w:val="0"/>
        <w:widowControl w:val="0"/>
        <w:numPr>
          <w:ilvl w:val="0"/>
          <w:numId w:val="1"/>
        </w:numPr>
        <w:kinsoku/>
        <w:wordWrap/>
        <w:overflowPunct/>
        <w:topLinePunct w:val="0"/>
        <w:autoSpaceDE/>
        <w:autoSpaceDN/>
        <w:bidi w:val="0"/>
        <w:spacing w:before="163" w:beforeLines="50" w:after="163" w:afterLines="50" w:line="360" w:lineRule="auto"/>
        <w:ind w:left="578" w:hanging="434" w:hangingChars="180"/>
        <w:jc w:val="both"/>
        <w:outlineLvl w:val="0"/>
        <w:rPr>
          <w:rFonts w:hint="eastAsia" w:ascii="宋体" w:hAnsi="宋体" w:eastAsia="宋体" w:cs="宋体"/>
          <w:b/>
          <w:bCs/>
          <w:kern w:val="44"/>
          <w:sz w:val="24"/>
          <w:szCs w:val="24"/>
          <w:highlight w:val="none"/>
          <w:lang w:val="en-US" w:eastAsia="zh-CN" w:bidi="ar-SA"/>
        </w:rPr>
      </w:pPr>
      <w:bookmarkStart w:id="8" w:name="_Toc15213"/>
      <w:bookmarkStart w:id="9" w:name="_Toc28447"/>
      <w:bookmarkStart w:id="10" w:name="_Toc165661807"/>
      <w:bookmarkStart w:id="11" w:name="_Toc133570123"/>
      <w:bookmarkStart w:id="12" w:name="_Toc188455103"/>
      <w:bookmarkStart w:id="13" w:name="_Toc180671417"/>
      <w:r>
        <w:rPr>
          <w:rFonts w:hint="eastAsia" w:ascii="宋体" w:hAnsi="宋体" w:eastAsia="宋体" w:cs="宋体"/>
          <w:b/>
          <w:bCs/>
          <w:kern w:val="44"/>
          <w:sz w:val="24"/>
          <w:szCs w:val="24"/>
          <w:highlight w:val="none"/>
          <w:lang w:val="en-US" w:eastAsia="zh-CN" w:bidi="ar-SA"/>
        </w:rPr>
        <w:t>工程要求</w:t>
      </w:r>
    </w:p>
    <w:p w14:paraId="12031534">
      <w:pPr>
        <w:keepNext w:val="0"/>
        <w:keepLines w:val="0"/>
        <w:pageBreakBefore w:val="0"/>
        <w:widowControl w:val="0"/>
        <w:numPr>
          <w:ilvl w:val="1"/>
          <w:numId w:val="1"/>
        </w:numPr>
        <w:kinsoku/>
        <w:wordWrap/>
        <w:overflowPunct/>
        <w:topLinePunct w:val="0"/>
        <w:autoSpaceDE/>
        <w:autoSpaceDN/>
        <w:bidi w:val="0"/>
        <w:snapToGrid w:val="0"/>
        <w:spacing w:before="163" w:beforeLines="50" w:after="163" w:afterLines="50" w:line="240" w:lineRule="auto"/>
        <w:jc w:val="both"/>
        <w:outlineLvl w:val="1"/>
        <w:rPr>
          <w:rFonts w:hint="eastAsia" w:ascii="宋体" w:hAnsi="宋体" w:eastAsia="宋体" w:cs="宋体"/>
          <w:b/>
          <w:bCs/>
          <w:kern w:val="2"/>
          <w:sz w:val="24"/>
          <w:szCs w:val="24"/>
          <w:highlight w:val="none"/>
          <w:lang w:val="en-US" w:eastAsia="zh-CN" w:bidi="ar-SA"/>
        </w:rPr>
      </w:pPr>
      <w:bookmarkStart w:id="14" w:name="_Toc18713"/>
      <w:bookmarkStart w:id="15" w:name="_Toc482199696"/>
      <w:bookmarkStart w:id="16" w:name="_Toc21828"/>
      <w:bookmarkStart w:id="17" w:name="_Toc113956327"/>
      <w:r>
        <w:rPr>
          <w:rFonts w:hint="eastAsia" w:ascii="宋体" w:hAnsi="宋体" w:eastAsia="宋体" w:cs="宋体"/>
          <w:b/>
          <w:bCs/>
          <w:kern w:val="2"/>
          <w:sz w:val="24"/>
          <w:szCs w:val="24"/>
          <w:highlight w:val="none"/>
          <w:lang w:val="en-US" w:eastAsia="zh-CN" w:bidi="ar-SA"/>
        </w:rPr>
        <w:t>质量保证</w:t>
      </w:r>
      <w:bookmarkEnd w:id="14"/>
      <w:bookmarkEnd w:id="15"/>
      <w:bookmarkEnd w:id="16"/>
      <w:bookmarkEnd w:id="17"/>
    </w:p>
    <w:p w14:paraId="1A855307">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所有设备应是新的、正版、无纠纷，且应按最佳方式进行设计和制造。所用材料应最大限度地适合于使用。设计和材料应尽可能地增加使用寿命和运行的可靠性，不易磨损，容易维护，检验和调整；</w:t>
      </w:r>
    </w:p>
    <w:p w14:paraId="61A31CD3">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乙方在设计、制造、交货的各个阶段，均应满足运行的高度可靠性这一要求；</w:t>
      </w:r>
    </w:p>
    <w:p w14:paraId="6D6BA0D7">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相同设计和规格的设备各部分，其偏差应在容许范围内，且能互换；</w:t>
      </w:r>
    </w:p>
    <w:p w14:paraId="67B0570C">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乙方提供的所有设备均应附有制造商发出的，有乙方签字的质量保证书、试验报告和检查记录；</w:t>
      </w:r>
    </w:p>
    <w:p w14:paraId="6CEB6176">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乙方应提供远方诊断的技术服务。在授权后通过拨号访问系统，诊断系统运行情况、处理故障并给予说明；</w:t>
      </w:r>
    </w:p>
    <w:p w14:paraId="2B72D7F2">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乙方提供的第三方软件质保期为现场安装调试合格后</w:t>
      </w:r>
      <w:r>
        <w:rPr>
          <w:rFonts w:hint="eastAsia" w:ascii="宋体" w:hAnsi="宋体" w:cs="宋体"/>
          <w:kern w:val="0"/>
          <w:sz w:val="24"/>
          <w:szCs w:val="24"/>
          <w:lang w:val="en-US" w:eastAsia="zh-CN" w:bidi="ar-SA"/>
        </w:rPr>
        <w:t>5</w:t>
      </w:r>
      <w:r>
        <w:rPr>
          <w:rFonts w:hint="eastAsia" w:ascii="宋体" w:hAnsi="宋体" w:eastAsia="宋体" w:cs="宋体"/>
          <w:kern w:val="0"/>
          <w:sz w:val="24"/>
          <w:szCs w:val="24"/>
          <w:lang w:val="en-US" w:eastAsia="zh-CN" w:bidi="ar-SA"/>
        </w:rPr>
        <w:t>年；所有乙方生产的软件质保期为SAT后</w:t>
      </w:r>
      <w:r>
        <w:rPr>
          <w:rFonts w:hint="eastAsia" w:ascii="宋体" w:hAnsi="宋体" w:cs="宋体"/>
          <w:kern w:val="0"/>
          <w:sz w:val="24"/>
          <w:szCs w:val="24"/>
          <w:lang w:val="en-US" w:eastAsia="zh-CN" w:bidi="ar-SA"/>
        </w:rPr>
        <w:t>5</w:t>
      </w:r>
      <w:r>
        <w:rPr>
          <w:rFonts w:hint="eastAsia" w:ascii="宋体" w:hAnsi="宋体" w:eastAsia="宋体" w:cs="宋体"/>
          <w:kern w:val="0"/>
          <w:sz w:val="24"/>
          <w:szCs w:val="24"/>
          <w:lang w:val="en-US" w:eastAsia="zh-CN" w:bidi="ar-SA"/>
        </w:rPr>
        <w:t>年；</w:t>
      </w:r>
    </w:p>
    <w:p w14:paraId="569AAD17">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所有第三方的软、硬件设备应由中国境内的公司直接提供完善的售后服务和技术支持；</w:t>
      </w:r>
    </w:p>
    <w:p w14:paraId="417AF165">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本技术规范书所列功能及要求均指本期实现功能；</w:t>
      </w:r>
    </w:p>
    <w:p w14:paraId="25D14EC0">
      <w:pPr>
        <w:keepNext w:val="0"/>
        <w:keepLines w:val="0"/>
        <w:pageBreakBefore w:val="0"/>
        <w:widowControl w:val="0"/>
        <w:numPr>
          <w:ilvl w:val="0"/>
          <w:numId w:val="3"/>
        </w:numPr>
        <w:kinsoku/>
        <w:wordWrap/>
        <w:overflowPunct/>
        <w:topLinePunct w:val="0"/>
        <w:autoSpaceDE/>
        <w:autoSpaceDN/>
        <w:bidi w:val="0"/>
        <w:adjustRightInd w:val="0"/>
        <w:snapToGrid w:val="0"/>
        <w:spacing w:before="156" w:beforeLines="0" w:after="156" w:afterLines="0" w:line="360" w:lineRule="auto"/>
        <w:ind w:left="840" w:hanging="420" w:firstLineChars="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乙方的本项目组要求配备至少</w:t>
      </w:r>
      <w:r>
        <w:rPr>
          <w:rFonts w:hint="eastAsia" w:ascii="宋体" w:hAnsi="宋体" w:cs="宋体"/>
          <w:kern w:val="0"/>
          <w:sz w:val="24"/>
          <w:szCs w:val="24"/>
          <w:lang w:val="en-US" w:eastAsia="zh-CN" w:bidi="ar-SA"/>
        </w:rPr>
        <w:t>2</w:t>
      </w:r>
      <w:r>
        <w:rPr>
          <w:rFonts w:hint="eastAsia" w:ascii="宋体" w:hAnsi="宋体" w:eastAsia="宋体" w:cs="宋体"/>
          <w:kern w:val="0"/>
          <w:sz w:val="24"/>
          <w:szCs w:val="24"/>
          <w:lang w:val="en-US" w:eastAsia="zh-CN" w:bidi="ar-SA"/>
        </w:rPr>
        <w:t>人。</w:t>
      </w:r>
    </w:p>
    <w:p w14:paraId="065299D9">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18" w:name="_Toc26510"/>
      <w:bookmarkStart w:id="19" w:name="_Toc113956328"/>
      <w:bookmarkStart w:id="20" w:name="_Toc482199697"/>
      <w:bookmarkStart w:id="21" w:name="_Toc229"/>
      <w:r>
        <w:rPr>
          <w:rFonts w:hint="eastAsia" w:ascii="宋体" w:hAnsi="宋体" w:eastAsia="宋体" w:cs="宋体"/>
          <w:b/>
          <w:bCs/>
          <w:kern w:val="2"/>
          <w:sz w:val="24"/>
          <w:szCs w:val="24"/>
          <w:highlight w:val="none"/>
          <w:lang w:val="en-US" w:eastAsia="zh-CN" w:bidi="ar-SA"/>
        </w:rPr>
        <w:t>质量期内的技术服务</w:t>
      </w:r>
      <w:bookmarkEnd w:id="18"/>
      <w:bookmarkEnd w:id="19"/>
      <w:bookmarkEnd w:id="20"/>
      <w:bookmarkEnd w:id="21"/>
    </w:p>
    <w:p w14:paraId="7CE73057">
      <w:pPr>
        <w:pStyle w:val="16"/>
        <w:keepNext w:val="0"/>
        <w:keepLines w:val="0"/>
        <w:pageBreakBefore w:val="0"/>
        <w:widowControl w:val="0"/>
        <w:numPr>
          <w:ilvl w:val="0"/>
          <w:numId w:val="4"/>
        </w:numPr>
        <w:kinsoku/>
        <w:wordWrap/>
        <w:overflowPunct/>
        <w:topLinePunct w:val="0"/>
        <w:autoSpaceDE/>
        <w:autoSpaceDN/>
        <w:bidi w:val="0"/>
        <w:spacing w:before="156" w:beforeLines="0" w:after="156" w:afterLines="0"/>
        <w:ind w:firstLineChars="0"/>
        <w:contextualSpacing/>
        <w:jc w:val="left"/>
      </w:pPr>
      <w:bookmarkStart w:id="22" w:name="_Toc32074"/>
      <w:bookmarkStart w:id="23" w:name="_Toc482199698"/>
      <w:bookmarkStart w:id="24" w:name="_Toc113956329"/>
      <w:bookmarkStart w:id="25" w:name="_Toc27667"/>
      <w:r>
        <w:rPr>
          <w:rFonts w:hint="eastAsia"/>
          <w:lang w:eastAsia="zh-CN"/>
        </w:rPr>
        <w:t>乙方</w:t>
      </w:r>
      <w:r>
        <w:rPr>
          <w:rFonts w:hint="eastAsia"/>
        </w:rPr>
        <w:t>应提出在正常条件下保证系统正常稳定运行的维护计划，包括系统维护、故障诊断、模件更换、故障处理等；</w:t>
      </w:r>
    </w:p>
    <w:p w14:paraId="6A7B2C78">
      <w:pPr>
        <w:pStyle w:val="16"/>
        <w:keepNext w:val="0"/>
        <w:keepLines w:val="0"/>
        <w:pageBreakBefore w:val="0"/>
        <w:widowControl w:val="0"/>
        <w:numPr>
          <w:ilvl w:val="0"/>
          <w:numId w:val="4"/>
        </w:numPr>
        <w:kinsoku/>
        <w:wordWrap/>
        <w:overflowPunct/>
        <w:topLinePunct w:val="0"/>
        <w:autoSpaceDE/>
        <w:autoSpaceDN/>
        <w:bidi w:val="0"/>
        <w:spacing w:before="156" w:beforeLines="0" w:after="156" w:afterLines="0"/>
        <w:ind w:firstLineChars="0"/>
        <w:contextualSpacing/>
        <w:jc w:val="left"/>
      </w:pPr>
      <w:r>
        <w:rPr>
          <w:rFonts w:hint="eastAsia"/>
        </w:rPr>
        <w:t>在质保期内，如果系统出现故障，</w:t>
      </w:r>
      <w:r>
        <w:rPr>
          <w:rFonts w:hint="eastAsia"/>
          <w:lang w:eastAsia="zh-CN"/>
        </w:rPr>
        <w:t>乙方</w:t>
      </w:r>
      <w:r>
        <w:rPr>
          <w:rFonts w:hint="eastAsia"/>
        </w:rPr>
        <w:t>应提供服务，负责查找故障原因并将系统恢复到正常运行。在系统或设备本身发生故障的情况下，一切费用由</w:t>
      </w:r>
      <w:r>
        <w:rPr>
          <w:rFonts w:hint="eastAsia"/>
          <w:lang w:eastAsia="zh-CN"/>
        </w:rPr>
        <w:t>乙方</w:t>
      </w:r>
      <w:r>
        <w:rPr>
          <w:rFonts w:hint="eastAsia"/>
        </w:rPr>
        <w:t>负担。系统维护的方式、费用、联系方法、响应时间、人员要求如下：</w:t>
      </w:r>
    </w:p>
    <w:p w14:paraId="32A7156E">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对于所供产品，从竣工验收完成开始，硬件设备提供5年免费原厂质保，软件提供包括3年免费（原厂）质保，提供7*24小时产品维护服务（售后服务热线，随时回答甲方在产品使用过程中的问题；30分钟内响应用户维修和维护要求，需要现场支持的4小时内到达现场）。</w:t>
      </w:r>
    </w:p>
    <w:p w14:paraId="3E13A619">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如系统出现的异常情况经用户方认为可能会影响系统将来的稳定运行的，系统或设备的质保期将延长，延长时间为系统或设备重新投运后的6个月。</w:t>
      </w:r>
    </w:p>
    <w:p w14:paraId="3EE0F3FC">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如果系统在一个特定部分发生重复性故障时，乙方应同意对这个部分重新计算质保期（软件模块和硬件同样适用）。如果重复故障使整个系统不能正常运行，整个系统的质保期应重新开始计算。</w:t>
      </w:r>
    </w:p>
    <w:p w14:paraId="637E48DF">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质保期内所有维护费用均为免费。</w:t>
      </w:r>
    </w:p>
    <w:p w14:paraId="7BC63450">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为设备软件免费提供不少于3年的软件版本升级服务。</w:t>
      </w:r>
    </w:p>
    <w:p w14:paraId="38E48478">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rPr>
          <w:rFonts w:hint="eastAsia"/>
        </w:rPr>
      </w:pPr>
      <w:r>
        <w:rPr>
          <w:rFonts w:hint="eastAsia"/>
        </w:rPr>
        <w:t>质保期内为产品提供免费的损坏或缺陷部件，并提供免费的更换服务。</w:t>
      </w:r>
    </w:p>
    <w:p w14:paraId="27D171BE">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rPr>
        <w:t>为最终用户提供紧急的支援服务等。</w:t>
      </w:r>
    </w:p>
    <w:p w14:paraId="6D43AD49">
      <w:pPr>
        <w:pStyle w:val="16"/>
        <w:keepNext w:val="0"/>
        <w:keepLines w:val="0"/>
        <w:pageBreakBefore w:val="0"/>
        <w:widowControl w:val="0"/>
        <w:numPr>
          <w:ilvl w:val="0"/>
          <w:numId w:val="4"/>
        </w:numPr>
        <w:kinsoku/>
        <w:wordWrap/>
        <w:overflowPunct/>
        <w:topLinePunct w:val="0"/>
        <w:autoSpaceDE/>
        <w:autoSpaceDN/>
        <w:bidi w:val="0"/>
        <w:spacing w:before="156" w:beforeLines="0" w:after="156" w:afterLines="0"/>
        <w:ind w:firstLineChars="0"/>
        <w:contextualSpacing/>
        <w:jc w:val="left"/>
      </w:pPr>
      <w:r>
        <w:rPr>
          <w:rFonts w:hint="eastAsia"/>
          <w:lang w:eastAsia="zh-CN"/>
        </w:rPr>
        <w:t>乙方</w:t>
      </w:r>
      <w:r>
        <w:rPr>
          <w:rFonts w:hint="eastAsia"/>
        </w:rPr>
        <w:t>提供的售后服务应包括：</w:t>
      </w:r>
    </w:p>
    <w:p w14:paraId="2859EAB8">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rPr>
        <w:t>紧急故障响应，由于环境的变化或其他各种原因出现系统的故障，</w:t>
      </w:r>
      <w:r>
        <w:rPr>
          <w:rFonts w:hint="eastAsia"/>
          <w:lang w:eastAsia="zh-CN"/>
        </w:rPr>
        <w:t>乙方</w:t>
      </w:r>
      <w:r>
        <w:rPr>
          <w:rFonts w:hint="eastAsia"/>
        </w:rPr>
        <w:t>技术人员能够做到快速响应，及时处理；</w:t>
      </w:r>
    </w:p>
    <w:p w14:paraId="34BAE3BB">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rPr>
        <w:t>技术咨询、交流，根据</w:t>
      </w:r>
      <w:r>
        <w:rPr>
          <w:rFonts w:hint="eastAsia"/>
          <w:lang w:eastAsia="zh-CN"/>
        </w:rPr>
        <w:t>甲方</w:t>
      </w:r>
      <w:r>
        <w:rPr>
          <w:rFonts w:hint="eastAsia"/>
        </w:rPr>
        <w:t>的需求，通过各种形式（如电子邮件、电话、座谈会、研讨会等）就备份与恢复问题和解决方法进行技术交流；</w:t>
      </w:r>
    </w:p>
    <w:p w14:paraId="644D5440">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rPr>
        <w:t>在质保期内，如</w:t>
      </w:r>
      <w:r>
        <w:rPr>
          <w:rFonts w:hint="eastAsia"/>
          <w:lang w:eastAsia="zh-CN"/>
        </w:rPr>
        <w:t>乙方</w:t>
      </w:r>
      <w:r>
        <w:rPr>
          <w:rFonts w:hint="eastAsia"/>
        </w:rPr>
        <w:t>对应用软件有所改进，应及时免费提供</w:t>
      </w:r>
      <w:r>
        <w:rPr>
          <w:rFonts w:hint="eastAsia"/>
          <w:lang w:eastAsia="zh-CN"/>
        </w:rPr>
        <w:t>甲方</w:t>
      </w:r>
      <w:r>
        <w:rPr>
          <w:rFonts w:hint="eastAsia"/>
        </w:rPr>
        <w:t>使用。如</w:t>
      </w:r>
      <w:r>
        <w:rPr>
          <w:rFonts w:hint="eastAsia"/>
          <w:lang w:eastAsia="zh-CN"/>
        </w:rPr>
        <w:t>甲方</w:t>
      </w:r>
      <w:r>
        <w:rPr>
          <w:rFonts w:hint="eastAsia"/>
        </w:rPr>
        <w:t>有新的功能要求，应标单位应积极配合，免费进行软件升级或改造；</w:t>
      </w:r>
    </w:p>
    <w:p w14:paraId="62C95134">
      <w:pPr>
        <w:pStyle w:val="16"/>
        <w:keepNext w:val="0"/>
        <w:keepLines w:val="0"/>
        <w:pageBreakBefore w:val="0"/>
        <w:widowControl w:val="0"/>
        <w:numPr>
          <w:ilvl w:val="1"/>
          <w:numId w:val="4"/>
        </w:numPr>
        <w:kinsoku/>
        <w:wordWrap/>
        <w:overflowPunct/>
        <w:topLinePunct w:val="0"/>
        <w:autoSpaceDE/>
        <w:autoSpaceDN/>
        <w:bidi w:val="0"/>
        <w:spacing w:before="156" w:beforeLines="0" w:after="156" w:afterLines="0"/>
        <w:ind w:firstLineChars="0"/>
        <w:contextualSpacing/>
        <w:jc w:val="left"/>
      </w:pPr>
      <w:r>
        <w:rPr>
          <w:rFonts w:hint="eastAsia"/>
          <w:lang w:eastAsia="zh-CN"/>
        </w:rPr>
        <w:t>乙方</w:t>
      </w:r>
      <w:r>
        <w:rPr>
          <w:rFonts w:hint="eastAsia"/>
        </w:rPr>
        <w:t>应最大限度地提供技术指导及技术支持范围和程度，包括可提供的系统支援设备的详情。在系统设备运行期间根据需要，</w:t>
      </w:r>
      <w:r>
        <w:rPr>
          <w:rFonts w:hint="eastAsia"/>
          <w:lang w:eastAsia="zh-CN"/>
        </w:rPr>
        <w:t>乙方</w:t>
      </w:r>
      <w:r>
        <w:rPr>
          <w:rFonts w:hint="eastAsia"/>
        </w:rPr>
        <w:t>有责任派专业技术人员到现场指导维护工作。</w:t>
      </w:r>
    </w:p>
    <w:p w14:paraId="3BB9EFEB">
      <w:pPr>
        <w:pStyle w:val="16"/>
        <w:keepNext w:val="0"/>
        <w:keepLines w:val="0"/>
        <w:pageBreakBefore w:val="0"/>
        <w:widowControl w:val="0"/>
        <w:numPr>
          <w:ilvl w:val="0"/>
          <w:numId w:val="4"/>
        </w:numPr>
        <w:kinsoku/>
        <w:wordWrap/>
        <w:overflowPunct/>
        <w:topLinePunct w:val="0"/>
        <w:autoSpaceDE/>
        <w:autoSpaceDN/>
        <w:bidi w:val="0"/>
        <w:spacing w:before="156" w:beforeLines="0" w:after="156" w:afterLines="0"/>
        <w:ind w:firstLineChars="0"/>
        <w:contextualSpacing/>
        <w:jc w:val="left"/>
      </w:pPr>
      <w:r>
        <w:rPr>
          <w:rFonts w:hint="eastAsia"/>
        </w:rPr>
        <w:t>如果系统在一个特定部分发生重复性故障时，</w:t>
      </w:r>
      <w:r>
        <w:rPr>
          <w:rFonts w:hint="eastAsia"/>
          <w:lang w:eastAsia="zh-CN"/>
        </w:rPr>
        <w:t>乙方</w:t>
      </w:r>
      <w:r>
        <w:rPr>
          <w:rFonts w:hint="eastAsia"/>
        </w:rPr>
        <w:t>应同意对这个部分重新计算质保期（软件模块和硬件同样适用）。如果重复故障使整个系统不能正常运行，整个系统的质保期应重新开始计算。</w:t>
      </w:r>
    </w:p>
    <w:p w14:paraId="08DC94CD">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质保期后的技术服务</w:t>
      </w:r>
      <w:bookmarkEnd w:id="22"/>
      <w:bookmarkEnd w:id="23"/>
      <w:bookmarkEnd w:id="24"/>
      <w:bookmarkEnd w:id="25"/>
    </w:p>
    <w:p w14:paraId="0DF2287B">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bookmarkStart w:id="26" w:name="_Toc5241"/>
      <w:bookmarkStart w:id="27" w:name="_Toc113956330"/>
      <w:bookmarkStart w:id="28" w:name="_Toc482199699"/>
      <w:r>
        <w:rPr>
          <w:rFonts w:hint="eastAsia"/>
        </w:rPr>
        <w:t>质保期后，</w:t>
      </w:r>
      <w:r>
        <w:rPr>
          <w:rFonts w:hint="eastAsia"/>
          <w:lang w:eastAsia="zh-CN"/>
        </w:rPr>
        <w:t>乙方</w:t>
      </w:r>
      <w:r>
        <w:rPr>
          <w:rFonts w:hint="eastAsia"/>
        </w:rPr>
        <w:t>仍应根据合同要求向</w:t>
      </w:r>
      <w:r>
        <w:rPr>
          <w:rFonts w:hint="eastAsia"/>
          <w:lang w:eastAsia="zh-CN"/>
        </w:rPr>
        <w:t>甲方</w:t>
      </w:r>
      <w:r>
        <w:rPr>
          <w:rFonts w:hint="eastAsia"/>
        </w:rPr>
        <w:t>提供技术服务，以合理价格提供</w:t>
      </w:r>
      <w:r>
        <w:rPr>
          <w:rFonts w:hint="eastAsia"/>
          <w:lang w:eastAsia="zh-CN"/>
        </w:rPr>
        <w:t>甲方</w:t>
      </w:r>
      <w:r>
        <w:rPr>
          <w:rFonts w:hint="eastAsia"/>
        </w:rPr>
        <w:t>需要的备品备件；由于原理性故障而导致的系统改进应提供免费升级；</w:t>
      </w:r>
    </w:p>
    <w:p w14:paraId="70E9BA94">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r>
        <w:rPr>
          <w:rFonts w:hint="eastAsia"/>
        </w:rPr>
        <w:t>在系统达到最终规模时，</w:t>
      </w:r>
      <w:r>
        <w:rPr>
          <w:rFonts w:hint="eastAsia"/>
          <w:lang w:eastAsia="zh-CN"/>
        </w:rPr>
        <w:t>乙方</w:t>
      </w:r>
      <w:r>
        <w:rPr>
          <w:rFonts w:hint="eastAsia"/>
        </w:rPr>
        <w:t>应保证系统的功能和指标满足本</w:t>
      </w:r>
      <w:r>
        <w:rPr>
          <w:rFonts w:hint="eastAsia"/>
          <w:lang w:eastAsia="zh-CN"/>
        </w:rPr>
        <w:t>技术协议书</w:t>
      </w:r>
      <w:r>
        <w:rPr>
          <w:rFonts w:hint="eastAsia"/>
        </w:rPr>
        <w:t>的要求，如不能满足要求，</w:t>
      </w:r>
      <w:r>
        <w:rPr>
          <w:rFonts w:hint="eastAsia"/>
          <w:lang w:eastAsia="zh-CN"/>
        </w:rPr>
        <w:t>乙方</w:t>
      </w:r>
      <w:r>
        <w:rPr>
          <w:rFonts w:hint="eastAsia"/>
        </w:rPr>
        <w:t>应承担系统能力扩展带来的费用；</w:t>
      </w:r>
    </w:p>
    <w:p w14:paraId="2F52A752">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r>
        <w:rPr>
          <w:rFonts w:hint="eastAsia"/>
        </w:rPr>
        <w:t>质保期后至此系统生命终结，如</w:t>
      </w:r>
      <w:r>
        <w:rPr>
          <w:rFonts w:hint="eastAsia"/>
          <w:lang w:eastAsia="zh-CN"/>
        </w:rPr>
        <w:t>甲方</w:t>
      </w:r>
      <w:r>
        <w:rPr>
          <w:rFonts w:hint="eastAsia"/>
        </w:rPr>
        <w:t>有新的功能要求，应标单位应积极配合，以合理价格进行软件升级或改造。对于</w:t>
      </w:r>
      <w:r>
        <w:rPr>
          <w:rFonts w:hint="eastAsia"/>
          <w:lang w:eastAsia="zh-CN"/>
        </w:rPr>
        <w:t>甲方</w:t>
      </w:r>
      <w:r>
        <w:rPr>
          <w:rFonts w:hint="eastAsia"/>
        </w:rPr>
        <w:t>提出的软件缺陷和错误，</w:t>
      </w:r>
      <w:r>
        <w:rPr>
          <w:rFonts w:hint="eastAsia"/>
          <w:lang w:eastAsia="zh-CN"/>
        </w:rPr>
        <w:t>乙方</w:t>
      </w:r>
      <w:r>
        <w:rPr>
          <w:rFonts w:hint="eastAsia"/>
        </w:rPr>
        <w:t>不应以推出新版本解决为由，而推迟解决时间，应针对</w:t>
      </w:r>
      <w:r>
        <w:rPr>
          <w:rFonts w:hint="eastAsia"/>
          <w:lang w:eastAsia="zh-CN"/>
        </w:rPr>
        <w:t>甲方</w:t>
      </w:r>
      <w:r>
        <w:rPr>
          <w:rFonts w:hint="eastAsia"/>
        </w:rPr>
        <w:t>的提出的问题及时免费予以修正。如不能在原版本上解决问题，应免费提供软件版本的更新；</w:t>
      </w:r>
    </w:p>
    <w:p w14:paraId="7696B17E">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r>
        <w:rPr>
          <w:rFonts w:hint="eastAsia"/>
        </w:rPr>
        <w:t>质保期结束后，</w:t>
      </w:r>
      <w:r>
        <w:rPr>
          <w:rFonts w:hint="eastAsia"/>
          <w:lang w:eastAsia="zh-CN"/>
        </w:rPr>
        <w:t>乙方</w:t>
      </w:r>
      <w:r>
        <w:rPr>
          <w:rFonts w:hint="eastAsia"/>
        </w:rPr>
        <w:t>有责任进行定期维护和修理。</w:t>
      </w:r>
      <w:r>
        <w:rPr>
          <w:rFonts w:hint="eastAsia"/>
          <w:lang w:eastAsia="zh-CN"/>
        </w:rPr>
        <w:t>乙方</w:t>
      </w:r>
      <w:r>
        <w:rPr>
          <w:rFonts w:hint="eastAsia"/>
        </w:rPr>
        <w:t>应提出质保期后的收费维修、维护内容（包括日常维护和预防性维护），费用和服务方式、范围（产品、技术、模块、可拆分部件）；</w:t>
      </w:r>
    </w:p>
    <w:p w14:paraId="51533CA6">
      <w:pPr>
        <w:pStyle w:val="16"/>
        <w:keepNext w:val="0"/>
        <w:keepLines w:val="0"/>
        <w:pageBreakBefore w:val="0"/>
        <w:widowControl w:val="0"/>
        <w:numPr>
          <w:ilvl w:val="0"/>
          <w:numId w:val="5"/>
        </w:numPr>
        <w:kinsoku/>
        <w:wordWrap/>
        <w:overflowPunct/>
        <w:topLinePunct w:val="0"/>
        <w:autoSpaceDE/>
        <w:autoSpaceDN/>
        <w:bidi w:val="0"/>
        <w:spacing w:before="156" w:beforeLines="0" w:after="156" w:afterLines="0"/>
        <w:ind w:firstLineChars="0"/>
        <w:contextualSpacing/>
        <w:jc w:val="left"/>
      </w:pPr>
      <w:r>
        <w:rPr>
          <w:rFonts w:hint="eastAsia"/>
        </w:rPr>
        <w:t>质保期后</w:t>
      </w:r>
      <w:r>
        <w:t>5</w:t>
      </w:r>
      <w:r>
        <w:rPr>
          <w:rFonts w:hint="eastAsia"/>
        </w:rPr>
        <w:t>年备品备件价格不得高于本次中标价格。</w:t>
      </w:r>
    </w:p>
    <w:p w14:paraId="1D7287A7">
      <w:pPr>
        <w:keepNext w:val="0"/>
        <w:keepLines w:val="0"/>
        <w:pageBreakBefore w:val="0"/>
        <w:widowControl w:val="0"/>
        <w:numPr>
          <w:ilvl w:val="1"/>
          <w:numId w:val="1"/>
        </w:numPr>
        <w:kinsoku/>
        <w:wordWrap/>
        <w:overflowPunct/>
        <w:topLinePunct w:val="0"/>
        <w:autoSpaceDE/>
        <w:autoSpaceDN/>
        <w:bidi w:val="0"/>
        <w:snapToGrid w:val="0"/>
        <w:spacing w:before="163" w:beforeLines="50" w:after="163" w:afterLines="50" w:line="240" w:lineRule="auto"/>
        <w:jc w:val="both"/>
        <w:outlineLvl w:val="1"/>
        <w:rPr>
          <w:rFonts w:hint="eastAsia" w:ascii="宋体" w:hAnsi="宋体" w:eastAsia="宋体" w:cs="宋体"/>
          <w:b/>
          <w:bCs/>
          <w:kern w:val="2"/>
          <w:sz w:val="24"/>
          <w:szCs w:val="24"/>
          <w:highlight w:val="none"/>
          <w:lang w:val="en-US" w:eastAsia="zh-CN" w:bidi="ar-SA"/>
        </w:rPr>
      </w:pPr>
      <w:bookmarkStart w:id="29" w:name="_Toc3015"/>
      <w:r>
        <w:rPr>
          <w:rFonts w:hint="eastAsia" w:ascii="宋体" w:hAnsi="宋体" w:eastAsia="宋体" w:cs="宋体"/>
          <w:b/>
          <w:bCs/>
          <w:kern w:val="2"/>
          <w:sz w:val="24"/>
          <w:szCs w:val="24"/>
          <w:highlight w:val="none"/>
          <w:lang w:val="en-US" w:eastAsia="zh-CN" w:bidi="ar-SA"/>
        </w:rPr>
        <w:t>包装、标志、运输及保管</w:t>
      </w:r>
      <w:bookmarkEnd w:id="26"/>
      <w:bookmarkEnd w:id="27"/>
      <w:bookmarkEnd w:id="28"/>
      <w:bookmarkEnd w:id="29"/>
    </w:p>
    <w:p w14:paraId="50FBF13F">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30" w:name="_Toc113956331"/>
      <w:bookmarkStart w:id="31" w:name="_Toc32296"/>
      <w:bookmarkStart w:id="32" w:name="_Toc482199700"/>
      <w:bookmarkStart w:id="33" w:name="_Toc19254"/>
      <w:r>
        <w:rPr>
          <w:rFonts w:hint="eastAsia" w:ascii="宋体" w:hAnsi="宋体" w:eastAsia="宋体" w:cs="宋体"/>
          <w:b/>
          <w:bCs/>
          <w:kern w:val="2"/>
          <w:sz w:val="24"/>
          <w:szCs w:val="24"/>
          <w:highlight w:val="none"/>
          <w:lang w:val="en-US" w:eastAsia="zh-CN" w:bidi="ar-SA"/>
        </w:rPr>
        <w:t>包装</w:t>
      </w:r>
      <w:bookmarkEnd w:id="30"/>
      <w:bookmarkEnd w:id="31"/>
      <w:bookmarkEnd w:id="32"/>
      <w:bookmarkEnd w:id="33"/>
    </w:p>
    <w:p w14:paraId="6056B758">
      <w:pPr>
        <w:keepNext w:val="0"/>
        <w:keepLines w:val="0"/>
        <w:pageBreakBefore w:val="0"/>
        <w:widowControl w:val="0"/>
        <w:kinsoku/>
        <w:wordWrap/>
        <w:overflowPunct/>
        <w:topLinePunct w:val="0"/>
        <w:autoSpaceDE/>
        <w:autoSpaceDN/>
        <w:bidi w:val="0"/>
        <w:spacing w:before="120" w:after="120" w:line="360" w:lineRule="auto"/>
        <w:rPr>
          <w:rFonts w:ascii="宋体" w:hAnsi="宋体"/>
        </w:rPr>
      </w:pPr>
      <w:r>
        <w:rPr>
          <w:rFonts w:hint="eastAsia" w:ascii="宋体" w:hAnsi="宋体" w:eastAsia="宋体" w:cs="宋体"/>
          <w:sz w:val="24"/>
          <w:szCs w:val="24"/>
          <w:highlight w:val="none"/>
        </w:rPr>
        <w:t xml:space="preserve">  </w:t>
      </w:r>
      <w:r>
        <w:rPr>
          <w:rFonts w:hint="eastAsia" w:ascii="宋体" w:hAnsi="宋体"/>
        </w:rPr>
        <w:t xml:space="preserve">  </w:t>
      </w:r>
      <w:r>
        <w:rPr>
          <w:rFonts w:hint="eastAsia" w:ascii="宋体" w:hAnsi="宋体"/>
          <w:lang w:eastAsia="zh-CN"/>
        </w:rPr>
        <w:t>乙方</w:t>
      </w:r>
      <w:r>
        <w:rPr>
          <w:rFonts w:hint="eastAsia" w:ascii="宋体" w:hAnsi="宋体"/>
        </w:rPr>
        <w:t>提供的所用合同设备应包装牢固，保证设备免受腐蚀雨淋和振动。包装应能承受大批量搬运、装卸以及长距离空运、陆运运输。保证设备安全抵达用户现场而无损坏。设备包装应符合下述条件：</w:t>
      </w:r>
    </w:p>
    <w:p w14:paraId="33CF0E29">
      <w:pPr>
        <w:keepNext w:val="0"/>
        <w:keepLines w:val="0"/>
        <w:pageBreakBefore w:val="0"/>
        <w:widowControl w:val="0"/>
        <w:numPr>
          <w:ilvl w:val="0"/>
          <w:numId w:val="6"/>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所有设备包装应便于装卸、转运和现场安装。</w:t>
      </w:r>
    </w:p>
    <w:p w14:paraId="0E2FBB98">
      <w:pPr>
        <w:keepNext w:val="0"/>
        <w:keepLines w:val="0"/>
        <w:pageBreakBefore w:val="0"/>
        <w:widowControl w:val="0"/>
        <w:numPr>
          <w:ilvl w:val="0"/>
          <w:numId w:val="6"/>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在运输和存储期间，设备的电气绝缘应防止受潮和灰尘进入。</w:t>
      </w:r>
    </w:p>
    <w:p w14:paraId="370ACB70">
      <w:pPr>
        <w:keepNext w:val="0"/>
        <w:keepLines w:val="0"/>
        <w:pageBreakBefore w:val="0"/>
        <w:widowControl w:val="0"/>
        <w:numPr>
          <w:ilvl w:val="0"/>
          <w:numId w:val="6"/>
        </w:numPr>
        <w:kinsoku/>
        <w:wordWrap/>
        <w:overflowPunct/>
        <w:topLinePunct w:val="0"/>
        <w:autoSpaceDE/>
        <w:autoSpaceDN/>
        <w:bidi w:val="0"/>
        <w:spacing w:before="156" w:beforeLines="0" w:after="156" w:afterLines="0" w:line="360" w:lineRule="auto"/>
        <w:rPr>
          <w:rFonts w:hint="eastAsia" w:ascii="宋体" w:hAnsi="宋体" w:eastAsia="宋体" w:cs="宋体"/>
          <w:sz w:val="24"/>
          <w:szCs w:val="24"/>
          <w:highlight w:val="none"/>
        </w:rPr>
      </w:pPr>
      <w:r>
        <w:rPr>
          <w:rFonts w:hint="eastAsia" w:ascii="宋体" w:hAnsi="宋体"/>
        </w:rPr>
        <w:t>对于那些受冲击和振动易于损坏的设备，应按要求以适用于运输的方法包装。</w:t>
      </w:r>
    </w:p>
    <w:p w14:paraId="3C8ECFE8">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34" w:name="_Toc4861"/>
      <w:bookmarkStart w:id="35" w:name="_Toc482199701"/>
      <w:bookmarkStart w:id="36" w:name="_Toc113956332"/>
      <w:bookmarkStart w:id="37" w:name="_Toc25045"/>
      <w:r>
        <w:rPr>
          <w:rFonts w:hint="eastAsia" w:ascii="宋体" w:hAnsi="宋体" w:eastAsia="宋体" w:cs="宋体"/>
          <w:b/>
          <w:bCs/>
          <w:kern w:val="2"/>
          <w:sz w:val="24"/>
          <w:szCs w:val="24"/>
          <w:highlight w:val="none"/>
          <w:lang w:val="en-US" w:eastAsia="zh-CN" w:bidi="ar-SA"/>
        </w:rPr>
        <w:t>标志</w:t>
      </w:r>
      <w:bookmarkEnd w:id="34"/>
      <w:bookmarkEnd w:id="35"/>
      <w:bookmarkEnd w:id="36"/>
      <w:bookmarkEnd w:id="37"/>
    </w:p>
    <w:p w14:paraId="33505FDD">
      <w:pPr>
        <w:keepNext w:val="0"/>
        <w:keepLines w:val="0"/>
        <w:pageBreakBefore w:val="0"/>
        <w:widowControl w:val="0"/>
        <w:kinsoku/>
        <w:wordWrap/>
        <w:overflowPunct/>
        <w:topLinePunct w:val="0"/>
        <w:autoSpaceDE/>
        <w:autoSpaceDN/>
        <w:bidi w:val="0"/>
        <w:spacing w:before="120" w:after="120" w:line="360" w:lineRule="auto"/>
        <w:rPr>
          <w:rFonts w:ascii="宋体" w:hAnsi="宋体"/>
        </w:rPr>
      </w:pPr>
      <w:bookmarkStart w:id="38" w:name="_Toc113956333"/>
      <w:bookmarkStart w:id="39" w:name="_Toc12101"/>
      <w:bookmarkStart w:id="40" w:name="_Toc482199702"/>
      <w:bookmarkStart w:id="41" w:name="_Toc7777"/>
      <w:r>
        <w:rPr>
          <w:rFonts w:hint="eastAsia" w:ascii="宋体" w:hAnsi="宋体"/>
        </w:rPr>
        <w:t>设备上应有下列标志：</w:t>
      </w:r>
    </w:p>
    <w:p w14:paraId="11731CE1">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产品名称及型号</w:t>
      </w:r>
    </w:p>
    <w:p w14:paraId="1DA006ED">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制造厂名或商标</w:t>
      </w:r>
    </w:p>
    <w:p w14:paraId="5711C2A9">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制造日期及厂内编号</w:t>
      </w:r>
    </w:p>
    <w:p w14:paraId="0751CB2F">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用户资产编号</w:t>
      </w:r>
    </w:p>
    <w:p w14:paraId="3911B814">
      <w:pPr>
        <w:keepNext w:val="0"/>
        <w:keepLines w:val="0"/>
        <w:pageBreakBefore w:val="0"/>
        <w:widowControl w:val="0"/>
        <w:numPr>
          <w:ilvl w:val="0"/>
          <w:numId w:val="7"/>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设备上应有接线原理图</w:t>
      </w:r>
    </w:p>
    <w:p w14:paraId="61F39CE0">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运输</w:t>
      </w:r>
      <w:bookmarkEnd w:id="38"/>
      <w:bookmarkEnd w:id="39"/>
      <w:bookmarkEnd w:id="40"/>
      <w:bookmarkEnd w:id="41"/>
    </w:p>
    <w:p w14:paraId="2AB2CD1D">
      <w:pPr>
        <w:keepNext w:val="0"/>
        <w:keepLines w:val="0"/>
        <w:pageBreakBefore w:val="0"/>
        <w:widowControl w:val="0"/>
        <w:kinsoku/>
        <w:wordWrap/>
        <w:overflowPunct/>
        <w:topLinePunct w:val="0"/>
        <w:autoSpaceDE/>
        <w:autoSpaceDN/>
        <w:bidi w:val="0"/>
        <w:spacing w:before="120" w:after="120" w:line="360" w:lineRule="auto"/>
        <w:ind w:firstLine="480" w:firstLineChars="200"/>
        <w:rPr>
          <w:rFonts w:ascii="宋体" w:hAnsi="宋体"/>
        </w:rPr>
      </w:pPr>
      <w:bookmarkStart w:id="42" w:name="_Toc482199703"/>
      <w:bookmarkStart w:id="43" w:name="_Toc113956334"/>
      <w:bookmarkStart w:id="44" w:name="_Toc11779"/>
      <w:bookmarkStart w:id="45" w:name="_Toc5296"/>
      <w:r>
        <w:rPr>
          <w:rFonts w:hint="eastAsia" w:ascii="宋体" w:hAnsi="宋体"/>
          <w:lang w:eastAsia="zh-CN"/>
        </w:rPr>
        <w:t>乙方</w:t>
      </w:r>
      <w:r>
        <w:rPr>
          <w:rFonts w:hint="eastAsia" w:ascii="宋体" w:hAnsi="宋体"/>
        </w:rPr>
        <w:t>负责自身设备的运输，包括设备到</w:t>
      </w:r>
      <w:r>
        <w:rPr>
          <w:rFonts w:hint="eastAsia" w:ascii="宋体" w:hAnsi="宋体"/>
        </w:rPr>
        <w:t>施工安装现场的运输，在设备抵达目的地后，</w:t>
      </w:r>
      <w:r>
        <w:rPr>
          <w:rFonts w:hint="eastAsia" w:ascii="宋体" w:hAnsi="宋体"/>
          <w:lang w:eastAsia="zh-CN"/>
        </w:rPr>
        <w:t>甲方</w:t>
      </w:r>
      <w:r>
        <w:rPr>
          <w:rFonts w:hint="eastAsia" w:ascii="宋体" w:hAnsi="宋体"/>
        </w:rPr>
        <w:t>组织</w:t>
      </w:r>
      <w:r>
        <w:rPr>
          <w:rFonts w:hint="eastAsia" w:ascii="宋体" w:hAnsi="宋体"/>
          <w:lang w:eastAsia="zh-CN"/>
        </w:rPr>
        <w:t>乙方</w:t>
      </w:r>
      <w:r>
        <w:rPr>
          <w:rFonts w:hint="eastAsia" w:ascii="宋体" w:hAnsi="宋体"/>
        </w:rPr>
        <w:t>及相关单位参加开箱验收。如果发现任一设备有偏差、损坏、损失、遗漏或数量、质量、技术规范因</w:t>
      </w:r>
      <w:r>
        <w:rPr>
          <w:rFonts w:hint="eastAsia" w:ascii="宋体" w:hAnsi="宋体"/>
          <w:lang w:eastAsia="zh-CN"/>
        </w:rPr>
        <w:t>乙方</w:t>
      </w:r>
      <w:r>
        <w:rPr>
          <w:rFonts w:hint="eastAsia" w:ascii="宋体" w:hAnsi="宋体"/>
        </w:rPr>
        <w:t>的责任与合同不符，</w:t>
      </w:r>
      <w:r>
        <w:rPr>
          <w:rFonts w:hint="eastAsia" w:ascii="宋体" w:hAnsi="宋体"/>
          <w:lang w:eastAsia="zh-CN"/>
        </w:rPr>
        <w:t>甲方</w:t>
      </w:r>
      <w:r>
        <w:rPr>
          <w:rFonts w:hint="eastAsia" w:ascii="宋体" w:hAnsi="宋体"/>
        </w:rPr>
        <w:t>有权向</w:t>
      </w:r>
      <w:r>
        <w:rPr>
          <w:rFonts w:hint="eastAsia" w:ascii="宋体" w:hAnsi="宋体"/>
          <w:lang w:eastAsia="zh-CN"/>
        </w:rPr>
        <w:t>乙方</w:t>
      </w:r>
      <w:r>
        <w:rPr>
          <w:rFonts w:hint="eastAsia" w:ascii="宋体" w:hAnsi="宋体"/>
        </w:rPr>
        <w:t>提出索赔。</w:t>
      </w:r>
    </w:p>
    <w:p w14:paraId="1C69D7A6">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保管</w:t>
      </w:r>
      <w:bookmarkEnd w:id="42"/>
      <w:bookmarkEnd w:id="43"/>
      <w:bookmarkEnd w:id="44"/>
      <w:bookmarkEnd w:id="45"/>
    </w:p>
    <w:p w14:paraId="065BE910">
      <w:pPr>
        <w:keepNext w:val="0"/>
        <w:keepLines w:val="0"/>
        <w:pageBreakBefore w:val="0"/>
        <w:widowControl w:val="0"/>
        <w:kinsoku/>
        <w:wordWrap/>
        <w:overflowPunct/>
        <w:topLinePunct w:val="0"/>
        <w:autoSpaceDE/>
        <w:autoSpaceDN/>
        <w:bidi w:val="0"/>
        <w:spacing w:before="120" w:after="120" w:line="360" w:lineRule="auto"/>
        <w:ind w:firstLine="480" w:firstLineChars="200"/>
        <w:rPr>
          <w:rFonts w:hint="eastAsia" w:ascii="宋体" w:hAnsi="宋体"/>
          <w:lang w:eastAsia="zh-CN"/>
        </w:rPr>
      </w:pPr>
      <w:bookmarkStart w:id="46" w:name="_Toc28815"/>
      <w:bookmarkStart w:id="47" w:name="_Toc482199712"/>
      <w:bookmarkStart w:id="48" w:name="_Toc19252"/>
      <w:bookmarkStart w:id="49" w:name="_Toc113956343"/>
      <w:r>
        <w:rPr>
          <w:rFonts w:hint="eastAsia" w:ascii="宋体" w:hAnsi="宋体"/>
        </w:rPr>
        <w:t>对于</w:t>
      </w:r>
      <w:r>
        <w:rPr>
          <w:rFonts w:hint="eastAsia" w:ascii="宋体" w:hAnsi="宋体"/>
          <w:lang w:eastAsia="zh-CN"/>
        </w:rPr>
        <w:t>乙方</w:t>
      </w:r>
      <w:r>
        <w:rPr>
          <w:rFonts w:hint="eastAsia" w:ascii="宋体" w:hAnsi="宋体"/>
        </w:rPr>
        <w:t>所</w:t>
      </w:r>
      <w:r>
        <w:rPr>
          <w:rFonts w:hint="eastAsia" w:ascii="宋体" w:hAnsi="宋体"/>
          <w:lang w:eastAsia="zh-CN"/>
        </w:rPr>
        <w:t>提供的所有设备，从乙方地起到设备最终投运验收过程中的保管由</w:t>
      </w:r>
      <w:r>
        <w:rPr>
          <w:rFonts w:hint="eastAsia" w:ascii="宋体" w:hAnsi="宋体"/>
          <w:lang w:eastAsia="zh-CN"/>
        </w:rPr>
        <w:t>乙方负责。</w:t>
      </w:r>
    </w:p>
    <w:p w14:paraId="5EEABCBD">
      <w:pPr>
        <w:keepNext w:val="0"/>
        <w:keepLines w:val="0"/>
        <w:pageBreakBefore w:val="0"/>
        <w:widowControl w:val="0"/>
        <w:numPr>
          <w:ilvl w:val="1"/>
          <w:numId w:val="1"/>
        </w:numPr>
        <w:kinsoku/>
        <w:wordWrap/>
        <w:overflowPunct/>
        <w:topLinePunct w:val="0"/>
        <w:autoSpaceDE/>
        <w:autoSpaceDN/>
        <w:bidi w:val="0"/>
        <w:snapToGrid w:val="0"/>
        <w:spacing w:before="163" w:beforeLines="50" w:after="163" w:afterLines="50" w:line="240" w:lineRule="auto"/>
        <w:jc w:val="both"/>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培训和运行</w:t>
      </w:r>
      <w:bookmarkEnd w:id="46"/>
      <w:bookmarkEnd w:id="47"/>
      <w:bookmarkEnd w:id="48"/>
      <w:bookmarkEnd w:id="49"/>
    </w:p>
    <w:p w14:paraId="7AE512B7">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50" w:name="_Toc322089934"/>
      <w:bookmarkStart w:id="51" w:name="_Toc480798070"/>
      <w:bookmarkStart w:id="52" w:name="_Toc10963"/>
      <w:bookmarkStart w:id="53" w:name="_Toc113956342"/>
      <w:bookmarkStart w:id="54" w:name="_Toc17109"/>
      <w:bookmarkStart w:id="55" w:name="_Toc292958439"/>
      <w:bookmarkStart w:id="56" w:name="_Toc413140969"/>
      <w:bookmarkStart w:id="57" w:name="_Toc430788809"/>
      <w:bookmarkStart w:id="58" w:name="_Toc399706088"/>
      <w:bookmarkStart w:id="59" w:name="_Toc451775701"/>
      <w:bookmarkStart w:id="60" w:name="_Toc12793"/>
      <w:bookmarkStart w:id="61" w:name="_Toc482199711"/>
      <w:r>
        <w:rPr>
          <w:rFonts w:hint="eastAsia" w:ascii="宋体" w:hAnsi="宋体" w:eastAsia="宋体" w:cs="宋体"/>
          <w:b/>
          <w:bCs/>
          <w:kern w:val="2"/>
          <w:sz w:val="24"/>
          <w:szCs w:val="24"/>
          <w:highlight w:val="none"/>
          <w:lang w:val="en-US" w:eastAsia="zh-CN" w:bidi="ar-SA"/>
        </w:rPr>
        <w:t>培训</w:t>
      </w:r>
      <w:bookmarkEnd w:id="50"/>
      <w:bookmarkEnd w:id="51"/>
      <w:bookmarkEnd w:id="52"/>
      <w:bookmarkEnd w:id="53"/>
      <w:bookmarkEnd w:id="54"/>
      <w:bookmarkEnd w:id="55"/>
      <w:bookmarkEnd w:id="56"/>
      <w:bookmarkEnd w:id="57"/>
      <w:bookmarkEnd w:id="58"/>
      <w:bookmarkEnd w:id="59"/>
      <w:bookmarkEnd w:id="60"/>
      <w:bookmarkEnd w:id="61"/>
    </w:p>
    <w:p w14:paraId="61D55FB9">
      <w:pPr>
        <w:pStyle w:val="4"/>
        <w:tabs>
          <w:tab w:val="left" w:pos="-105"/>
        </w:tabs>
        <w:rPr>
          <w:rFonts w:hint="eastAsia"/>
        </w:rPr>
      </w:pPr>
      <w:bookmarkStart w:id="62" w:name="_Toc3343674"/>
      <w:bookmarkStart w:id="63" w:name="_Toc18803"/>
      <w:bookmarkStart w:id="64" w:name="_Toc16454"/>
      <w:bookmarkStart w:id="65" w:name="_Toc461400024"/>
      <w:bookmarkStart w:id="66" w:name="_Toc447875682"/>
      <w:r>
        <w:t>培训的目的及要求</w:t>
      </w:r>
      <w:bookmarkEnd w:id="62"/>
      <w:bookmarkEnd w:id="63"/>
      <w:bookmarkEnd w:id="64"/>
      <w:bookmarkEnd w:id="65"/>
      <w:bookmarkEnd w:id="66"/>
    </w:p>
    <w:p w14:paraId="2CF74EE2">
      <w:pPr>
        <w:pStyle w:val="19"/>
        <w:spacing w:line="360" w:lineRule="auto"/>
        <w:rPr>
          <w:rFonts w:ascii="宋体" w:hAnsi="宋体"/>
        </w:rPr>
      </w:pPr>
      <w:r>
        <w:rPr>
          <w:rFonts w:hint="eastAsia" w:ascii="宋体" w:hAnsi="宋体"/>
        </w:rPr>
        <w:t>为了保证投标方所提供的设备能在运行中良好工作，必须培训质量合格的技术人员。</w:t>
      </w:r>
    </w:p>
    <w:p w14:paraId="0AC0AF1A">
      <w:pPr>
        <w:pStyle w:val="19"/>
        <w:numPr>
          <w:ilvl w:val="0"/>
          <w:numId w:val="8"/>
        </w:numPr>
        <w:spacing w:line="360" w:lineRule="auto"/>
        <w:ind w:firstLineChars="0"/>
      </w:pPr>
      <w:r>
        <w:rPr>
          <w:rFonts w:hint="eastAsia"/>
        </w:rPr>
        <w:t>维护工作人员经培训后能熟练使用仪器仪表。</w:t>
      </w:r>
    </w:p>
    <w:p w14:paraId="57E93AA2">
      <w:pPr>
        <w:pStyle w:val="19"/>
        <w:numPr>
          <w:ilvl w:val="0"/>
          <w:numId w:val="8"/>
        </w:numPr>
        <w:spacing w:line="360" w:lineRule="auto"/>
        <w:ind w:left="0" w:firstLine="431" w:firstLineChars="0"/>
        <w:rPr>
          <w:rFonts w:ascii="宋体" w:hAnsi="宋体"/>
        </w:rPr>
      </w:pPr>
      <w:r>
        <w:rPr>
          <w:rFonts w:hint="eastAsia"/>
        </w:rPr>
        <w:t>工作技术人员经培训后，除能熟练地排除设备一般故障，具备阅读设备</w:t>
      </w:r>
      <w:r>
        <w:rPr>
          <w:rFonts w:hint="eastAsia" w:ascii="宋体" w:hAnsi="宋体"/>
        </w:rPr>
        <w:t>配置和软件说明、熟练掌握软件操作、分析软件故障的能力。</w:t>
      </w:r>
    </w:p>
    <w:p w14:paraId="618AD637">
      <w:pPr>
        <w:pStyle w:val="4"/>
        <w:tabs>
          <w:tab w:val="left" w:pos="-105"/>
        </w:tabs>
      </w:pPr>
      <w:bookmarkStart w:id="67" w:name="_Toc25127"/>
      <w:r>
        <w:t>培训方式</w:t>
      </w:r>
      <w:bookmarkEnd w:id="67"/>
    </w:p>
    <w:p w14:paraId="07676FE3">
      <w:pPr>
        <w:pStyle w:val="19"/>
        <w:numPr>
          <w:ilvl w:val="0"/>
          <w:numId w:val="9"/>
        </w:numPr>
        <w:spacing w:line="360" w:lineRule="auto"/>
        <w:ind w:firstLineChars="0"/>
      </w:pPr>
      <w:r>
        <w:rPr>
          <w:rFonts w:hint="eastAsia"/>
        </w:rPr>
        <w:t>现场培训</w:t>
      </w:r>
    </w:p>
    <w:p w14:paraId="4C06E79F">
      <w:pPr>
        <w:pStyle w:val="19"/>
        <w:spacing w:line="360" w:lineRule="auto"/>
        <w:ind w:firstLine="424" w:firstLineChars="177"/>
        <w:rPr>
          <w:rFonts w:ascii="宋体" w:hAnsi="宋体"/>
        </w:rPr>
      </w:pPr>
      <w:r>
        <w:rPr>
          <w:rFonts w:hint="eastAsia" w:ascii="宋体" w:hAnsi="宋体"/>
        </w:rPr>
        <w:t>为了使维护人员能独立进行设备的安装、测试、维护、要求投标方负责对维护人员进行培训。</w:t>
      </w:r>
    </w:p>
    <w:p w14:paraId="082B08D5">
      <w:pPr>
        <w:pStyle w:val="19"/>
        <w:numPr>
          <w:ilvl w:val="0"/>
          <w:numId w:val="9"/>
        </w:numPr>
        <w:spacing w:line="360" w:lineRule="auto"/>
        <w:ind w:firstLineChars="0"/>
        <w:rPr>
          <w:rFonts w:hint="eastAsia"/>
        </w:rPr>
      </w:pPr>
      <w:r>
        <w:rPr>
          <w:rFonts w:hint="eastAsia"/>
        </w:rPr>
        <w:t>培训计划及时间</w:t>
      </w:r>
    </w:p>
    <w:p w14:paraId="355B63C3">
      <w:pPr>
        <w:pStyle w:val="19"/>
        <w:spacing w:line="360" w:lineRule="auto"/>
        <w:ind w:firstLine="420" w:firstLineChars="0"/>
        <w:rPr>
          <w:rFonts w:ascii="宋体" w:hAnsi="宋体"/>
        </w:rPr>
      </w:pPr>
      <w:r>
        <w:rPr>
          <w:rFonts w:hint="eastAsia" w:ascii="宋体" w:hAnsi="宋体"/>
        </w:rPr>
        <w:t>培训详细计划、时间等由双方协商确定。</w:t>
      </w:r>
    </w:p>
    <w:p w14:paraId="2B82DA56">
      <w:pPr>
        <w:pStyle w:val="4"/>
        <w:tabs>
          <w:tab w:val="left" w:pos="-105"/>
        </w:tabs>
        <w:rPr>
          <w:rFonts w:hint="eastAsia"/>
        </w:rPr>
      </w:pPr>
      <w:bookmarkStart w:id="68" w:name="_Toc30486"/>
      <w:bookmarkStart w:id="69" w:name="_Toc3343675"/>
      <w:bookmarkStart w:id="70" w:name="_Toc461400025"/>
      <w:bookmarkStart w:id="71" w:name="_Toc22911"/>
      <w:bookmarkStart w:id="72" w:name="_Toc447875683"/>
      <w:r>
        <w:t>培训教材</w:t>
      </w:r>
      <w:bookmarkEnd w:id="68"/>
      <w:bookmarkEnd w:id="69"/>
      <w:bookmarkEnd w:id="70"/>
      <w:bookmarkEnd w:id="71"/>
      <w:bookmarkEnd w:id="72"/>
    </w:p>
    <w:p w14:paraId="391B1510">
      <w:pPr>
        <w:pStyle w:val="19"/>
        <w:spacing w:line="600" w:lineRule="atLeast"/>
        <w:rPr>
          <w:rFonts w:ascii="宋体" w:hAnsi="宋体"/>
        </w:rPr>
      </w:pPr>
      <w:r>
        <w:rPr>
          <w:rFonts w:hint="eastAsia" w:ascii="宋体" w:hAnsi="宋体"/>
        </w:rPr>
        <w:t>培训用教材应包括相应设备的安装和维护技术。需根据所提供的设备提供最新的培训用教材，保证每学员一整套，要求用中文编写。投标方应提供培训人员实习所需的设备、工具、测试仪表及器材等。</w:t>
      </w:r>
    </w:p>
    <w:p w14:paraId="64CEE47A">
      <w:pPr>
        <w:pStyle w:val="4"/>
        <w:tabs>
          <w:tab w:val="left" w:pos="-105"/>
        </w:tabs>
        <w:rPr>
          <w:rFonts w:hint="eastAsia"/>
        </w:rPr>
      </w:pPr>
      <w:bookmarkStart w:id="73" w:name="_Toc30780"/>
      <w:bookmarkStart w:id="74" w:name="_Toc26508"/>
      <w:bookmarkStart w:id="75" w:name="_Toc3343676"/>
      <w:bookmarkStart w:id="76" w:name="_Toc447875684"/>
      <w:bookmarkStart w:id="77" w:name="_Toc461400026"/>
      <w:r>
        <w:t>培训内容</w:t>
      </w:r>
      <w:bookmarkEnd w:id="73"/>
      <w:bookmarkEnd w:id="74"/>
      <w:bookmarkEnd w:id="75"/>
      <w:bookmarkEnd w:id="76"/>
      <w:bookmarkEnd w:id="77"/>
    </w:p>
    <w:p w14:paraId="431B012B">
      <w:pPr>
        <w:pStyle w:val="19"/>
        <w:spacing w:line="360" w:lineRule="auto"/>
        <w:ind w:firstLine="424" w:firstLineChars="177"/>
        <w:rPr>
          <w:rFonts w:ascii="宋体" w:hAnsi="宋体"/>
        </w:rPr>
      </w:pPr>
      <w:r>
        <w:rPr>
          <w:rFonts w:hint="eastAsia" w:ascii="宋体" w:hAnsi="宋体"/>
        </w:rPr>
        <w:t>至少应包含以下内容：</w:t>
      </w:r>
    </w:p>
    <w:p w14:paraId="6F7DA493">
      <w:pPr>
        <w:pStyle w:val="19"/>
        <w:numPr>
          <w:ilvl w:val="0"/>
          <w:numId w:val="10"/>
        </w:numPr>
        <w:spacing w:line="360" w:lineRule="auto"/>
        <w:ind w:firstLineChars="0"/>
        <w:rPr>
          <w:rFonts w:hint="eastAsia"/>
        </w:rPr>
      </w:pPr>
      <w:r>
        <w:rPr>
          <w:rFonts w:hint="eastAsia"/>
        </w:rPr>
        <w:t>为维护及安装工作所必须的全部工作文件的讲解。</w:t>
      </w:r>
    </w:p>
    <w:p w14:paraId="0DDE0B2F">
      <w:pPr>
        <w:pStyle w:val="19"/>
        <w:numPr>
          <w:ilvl w:val="0"/>
          <w:numId w:val="10"/>
        </w:numPr>
        <w:spacing w:line="360" w:lineRule="auto"/>
        <w:ind w:firstLineChars="0"/>
        <w:rPr>
          <w:rFonts w:hint="eastAsia"/>
        </w:rPr>
      </w:pPr>
      <w:r>
        <w:rPr>
          <w:rFonts w:hint="eastAsia"/>
        </w:rPr>
        <w:t>设备的安装和测试。</w:t>
      </w:r>
    </w:p>
    <w:p w14:paraId="5FDCEC09">
      <w:pPr>
        <w:pStyle w:val="19"/>
        <w:numPr>
          <w:ilvl w:val="0"/>
          <w:numId w:val="10"/>
        </w:numPr>
        <w:spacing w:line="360" w:lineRule="auto"/>
        <w:ind w:firstLineChars="0"/>
        <w:rPr>
          <w:rFonts w:hint="eastAsia"/>
        </w:rPr>
      </w:pPr>
      <w:r>
        <w:rPr>
          <w:rFonts w:hint="eastAsia"/>
        </w:rPr>
        <w:t>设备的操作和维护。</w:t>
      </w:r>
    </w:p>
    <w:p w14:paraId="2B09D8AC">
      <w:pPr>
        <w:pStyle w:val="19"/>
        <w:numPr>
          <w:ilvl w:val="0"/>
          <w:numId w:val="10"/>
        </w:numPr>
        <w:spacing w:line="360" w:lineRule="auto"/>
        <w:ind w:firstLineChars="0"/>
        <w:rPr>
          <w:rFonts w:hint="eastAsia"/>
        </w:rPr>
      </w:pPr>
      <w:r>
        <w:rPr>
          <w:rFonts w:hint="eastAsia"/>
        </w:rPr>
        <w:t>设备的修理。</w:t>
      </w:r>
    </w:p>
    <w:p w14:paraId="1589C953">
      <w:pPr>
        <w:pStyle w:val="19"/>
        <w:numPr>
          <w:ilvl w:val="0"/>
          <w:numId w:val="10"/>
        </w:numPr>
        <w:spacing w:line="360" w:lineRule="auto"/>
        <w:ind w:firstLineChars="0"/>
        <w:rPr>
          <w:rFonts w:hint="eastAsia"/>
        </w:rPr>
      </w:pPr>
      <w:r>
        <w:rPr>
          <w:rFonts w:hint="eastAsia"/>
        </w:rPr>
        <w:t>相关软件的配置。</w:t>
      </w:r>
    </w:p>
    <w:p w14:paraId="6F51FCDF">
      <w:pPr>
        <w:pStyle w:val="19"/>
        <w:numPr>
          <w:ilvl w:val="0"/>
          <w:numId w:val="10"/>
        </w:numPr>
        <w:spacing w:line="360" w:lineRule="auto"/>
        <w:ind w:firstLineChars="0"/>
        <w:rPr>
          <w:rFonts w:hint="eastAsia"/>
        </w:rPr>
      </w:pPr>
      <w:r>
        <w:rPr>
          <w:rFonts w:hint="eastAsia"/>
        </w:rPr>
        <w:t>相关软件的使用。</w:t>
      </w:r>
    </w:p>
    <w:p w14:paraId="1273C83D">
      <w:pPr>
        <w:pStyle w:val="4"/>
        <w:tabs>
          <w:tab w:val="left" w:pos="-105"/>
        </w:tabs>
        <w:rPr>
          <w:rFonts w:hint="eastAsia"/>
        </w:rPr>
      </w:pPr>
      <w:r>
        <w:t>培训及服务要求</w:t>
      </w:r>
    </w:p>
    <w:tbl>
      <w:tblPr>
        <w:tblStyle w:val="1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571"/>
        <w:gridCol w:w="3046"/>
        <w:gridCol w:w="682"/>
        <w:gridCol w:w="800"/>
        <w:gridCol w:w="1635"/>
      </w:tblGrid>
      <w:tr w14:paraId="1672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0"/>
            <w:vAlign w:val="center"/>
          </w:tcPr>
          <w:p w14:paraId="6994D5D5">
            <w:pPr>
              <w:spacing w:line="240" w:lineRule="auto"/>
              <w:ind w:firstLine="0" w:firstLineChars="0"/>
              <w:jc w:val="center"/>
              <w:rPr>
                <w:sz w:val="21"/>
                <w:szCs w:val="21"/>
              </w:rPr>
            </w:pPr>
            <w:r>
              <w:rPr>
                <w:rFonts w:hint="eastAsia"/>
                <w:sz w:val="21"/>
                <w:szCs w:val="21"/>
              </w:rPr>
              <w:t>序号</w:t>
            </w:r>
          </w:p>
        </w:tc>
        <w:tc>
          <w:tcPr>
            <w:tcW w:w="1571" w:type="dxa"/>
            <w:noWrap w:val="0"/>
            <w:vAlign w:val="center"/>
          </w:tcPr>
          <w:p w14:paraId="799EABE2">
            <w:pPr>
              <w:spacing w:line="240" w:lineRule="auto"/>
              <w:ind w:firstLine="0" w:firstLineChars="0"/>
              <w:jc w:val="center"/>
              <w:rPr>
                <w:sz w:val="21"/>
                <w:szCs w:val="21"/>
              </w:rPr>
            </w:pPr>
            <w:r>
              <w:rPr>
                <w:rFonts w:hint="eastAsia"/>
                <w:sz w:val="21"/>
                <w:szCs w:val="21"/>
              </w:rPr>
              <w:t>项目</w:t>
            </w:r>
          </w:p>
        </w:tc>
        <w:tc>
          <w:tcPr>
            <w:tcW w:w="3046" w:type="dxa"/>
            <w:noWrap w:val="0"/>
            <w:vAlign w:val="center"/>
          </w:tcPr>
          <w:p w14:paraId="08565D9C">
            <w:pPr>
              <w:spacing w:line="240" w:lineRule="auto"/>
              <w:ind w:firstLine="0" w:firstLineChars="0"/>
              <w:jc w:val="center"/>
              <w:rPr>
                <w:sz w:val="21"/>
                <w:szCs w:val="21"/>
              </w:rPr>
            </w:pPr>
            <w:r>
              <w:rPr>
                <w:rFonts w:hint="eastAsia"/>
                <w:sz w:val="21"/>
                <w:szCs w:val="21"/>
              </w:rPr>
              <w:t>项目要求</w:t>
            </w:r>
          </w:p>
        </w:tc>
        <w:tc>
          <w:tcPr>
            <w:tcW w:w="682" w:type="dxa"/>
            <w:noWrap w:val="0"/>
            <w:vAlign w:val="center"/>
          </w:tcPr>
          <w:p w14:paraId="2D8C073F">
            <w:pPr>
              <w:spacing w:line="240" w:lineRule="auto"/>
              <w:ind w:firstLine="0" w:firstLineChars="0"/>
              <w:jc w:val="center"/>
              <w:rPr>
                <w:sz w:val="21"/>
                <w:szCs w:val="21"/>
              </w:rPr>
            </w:pPr>
            <w:r>
              <w:rPr>
                <w:rFonts w:hint="eastAsia"/>
                <w:sz w:val="21"/>
                <w:szCs w:val="21"/>
              </w:rPr>
              <w:t>单位</w:t>
            </w:r>
          </w:p>
        </w:tc>
        <w:tc>
          <w:tcPr>
            <w:tcW w:w="800" w:type="dxa"/>
            <w:noWrap w:val="0"/>
            <w:vAlign w:val="center"/>
          </w:tcPr>
          <w:p w14:paraId="56000785">
            <w:pPr>
              <w:spacing w:line="240" w:lineRule="auto"/>
              <w:ind w:firstLine="0" w:firstLineChars="0"/>
              <w:jc w:val="center"/>
              <w:rPr>
                <w:sz w:val="21"/>
                <w:szCs w:val="21"/>
              </w:rPr>
            </w:pPr>
            <w:r>
              <w:rPr>
                <w:rFonts w:hint="eastAsia"/>
                <w:sz w:val="21"/>
                <w:szCs w:val="21"/>
              </w:rPr>
              <w:t>数量</w:t>
            </w:r>
          </w:p>
        </w:tc>
        <w:tc>
          <w:tcPr>
            <w:tcW w:w="1635" w:type="dxa"/>
            <w:noWrap w:val="0"/>
            <w:vAlign w:val="center"/>
          </w:tcPr>
          <w:p w14:paraId="027D82AE">
            <w:pPr>
              <w:spacing w:line="240" w:lineRule="auto"/>
              <w:ind w:firstLine="0" w:firstLineChars="0"/>
              <w:jc w:val="center"/>
              <w:rPr>
                <w:sz w:val="21"/>
                <w:szCs w:val="21"/>
              </w:rPr>
            </w:pPr>
            <w:r>
              <w:rPr>
                <w:rFonts w:hint="eastAsia"/>
                <w:sz w:val="21"/>
                <w:szCs w:val="21"/>
              </w:rPr>
              <w:t>投标人响应</w:t>
            </w:r>
          </w:p>
        </w:tc>
      </w:tr>
      <w:tr w14:paraId="076B1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0"/>
            <w:vAlign w:val="center"/>
          </w:tcPr>
          <w:p w14:paraId="138DEF3E">
            <w:pPr>
              <w:spacing w:line="240" w:lineRule="auto"/>
              <w:ind w:firstLine="0" w:firstLineChars="0"/>
              <w:jc w:val="center"/>
              <w:rPr>
                <w:rFonts w:hint="eastAsia" w:eastAsia="宋体"/>
                <w:sz w:val="21"/>
                <w:szCs w:val="21"/>
                <w:lang w:val="en-US" w:eastAsia="zh-CN"/>
              </w:rPr>
            </w:pPr>
            <w:r>
              <w:rPr>
                <w:rFonts w:hint="eastAsia"/>
                <w:sz w:val="21"/>
                <w:szCs w:val="21"/>
                <w:lang w:val="en-US" w:eastAsia="zh-CN"/>
              </w:rPr>
              <w:t>1</w:t>
            </w:r>
          </w:p>
        </w:tc>
        <w:tc>
          <w:tcPr>
            <w:tcW w:w="1571" w:type="dxa"/>
            <w:noWrap w:val="0"/>
            <w:vAlign w:val="center"/>
          </w:tcPr>
          <w:p w14:paraId="331BED81">
            <w:pPr>
              <w:spacing w:line="240" w:lineRule="auto"/>
              <w:ind w:firstLine="0" w:firstLineChars="0"/>
              <w:jc w:val="center"/>
              <w:rPr>
                <w:sz w:val="21"/>
                <w:szCs w:val="21"/>
              </w:rPr>
            </w:pPr>
            <w:r>
              <w:rPr>
                <w:rFonts w:hint="eastAsia"/>
                <w:sz w:val="21"/>
                <w:szCs w:val="21"/>
              </w:rPr>
              <w:t>现场培训</w:t>
            </w:r>
          </w:p>
        </w:tc>
        <w:tc>
          <w:tcPr>
            <w:tcW w:w="3046" w:type="dxa"/>
            <w:noWrap w:val="0"/>
            <w:vAlign w:val="center"/>
          </w:tcPr>
          <w:p w14:paraId="5C4F2164">
            <w:pPr>
              <w:spacing w:line="240" w:lineRule="auto"/>
              <w:ind w:firstLine="0" w:firstLineChars="0"/>
              <w:rPr>
                <w:sz w:val="21"/>
                <w:szCs w:val="21"/>
              </w:rPr>
            </w:pPr>
            <w:r>
              <w:rPr>
                <w:rFonts w:hint="eastAsia"/>
                <w:sz w:val="21"/>
                <w:szCs w:val="21"/>
              </w:rPr>
              <w:t>工程实施现场培训，根据工程需求不定时不定期举行。</w:t>
            </w:r>
          </w:p>
        </w:tc>
        <w:tc>
          <w:tcPr>
            <w:tcW w:w="682" w:type="dxa"/>
            <w:noWrap w:val="0"/>
            <w:vAlign w:val="center"/>
          </w:tcPr>
          <w:p w14:paraId="1C5E58EB">
            <w:pPr>
              <w:spacing w:line="240" w:lineRule="auto"/>
              <w:ind w:firstLine="0" w:firstLineChars="0"/>
              <w:jc w:val="center"/>
              <w:rPr>
                <w:sz w:val="21"/>
                <w:szCs w:val="21"/>
              </w:rPr>
            </w:pPr>
            <w:r>
              <w:rPr>
                <w:rFonts w:hint="eastAsia"/>
                <w:sz w:val="21"/>
                <w:szCs w:val="21"/>
              </w:rPr>
              <w:t>项</w:t>
            </w:r>
          </w:p>
        </w:tc>
        <w:tc>
          <w:tcPr>
            <w:tcW w:w="800" w:type="dxa"/>
            <w:noWrap w:val="0"/>
            <w:vAlign w:val="center"/>
          </w:tcPr>
          <w:p w14:paraId="1AEB89D9">
            <w:pPr>
              <w:spacing w:line="240" w:lineRule="auto"/>
              <w:ind w:firstLine="0" w:firstLineChars="0"/>
              <w:jc w:val="center"/>
              <w:rPr>
                <w:sz w:val="21"/>
                <w:szCs w:val="21"/>
              </w:rPr>
            </w:pPr>
            <w:r>
              <w:rPr>
                <w:rFonts w:hint="eastAsia"/>
                <w:sz w:val="21"/>
                <w:szCs w:val="21"/>
              </w:rPr>
              <w:t>1</w:t>
            </w:r>
          </w:p>
        </w:tc>
        <w:tc>
          <w:tcPr>
            <w:tcW w:w="1635" w:type="dxa"/>
            <w:noWrap w:val="0"/>
            <w:vAlign w:val="top"/>
          </w:tcPr>
          <w:p w14:paraId="5AAEDA27">
            <w:pPr>
              <w:spacing w:line="240" w:lineRule="auto"/>
              <w:ind w:firstLine="0" w:firstLineChars="0"/>
              <w:jc w:val="center"/>
              <w:rPr>
                <w:sz w:val="21"/>
                <w:szCs w:val="21"/>
              </w:rPr>
            </w:pPr>
          </w:p>
        </w:tc>
      </w:tr>
    </w:tbl>
    <w:p w14:paraId="2BA0A8D0">
      <w:pPr>
        <w:spacing w:line="600" w:lineRule="exact"/>
        <w:ind w:firstLine="480"/>
        <w:rPr>
          <w:rFonts w:hint="eastAsia"/>
        </w:rPr>
      </w:pPr>
      <w:r>
        <w:rPr>
          <w:rFonts w:hint="eastAsia"/>
        </w:rPr>
        <w:t>注</w:t>
      </w:r>
      <w:r>
        <w:rPr>
          <w:rFonts w:hint="eastAsia"/>
          <w:lang w:val="en-US" w:eastAsia="zh-CN"/>
        </w:rPr>
        <w:t>1</w:t>
      </w:r>
      <w:r>
        <w:rPr>
          <w:rFonts w:hint="eastAsia"/>
        </w:rPr>
        <w:t>：投标方负责现场培训、调试、所有费用，并作为总投标价的一部分。</w:t>
      </w:r>
    </w:p>
    <w:p w14:paraId="7682EA57">
      <w:pPr>
        <w:keepNext w:val="0"/>
        <w:keepLines w:val="0"/>
        <w:pageBreakBefore w:val="0"/>
        <w:widowControl w:val="0"/>
        <w:numPr>
          <w:ilvl w:val="0"/>
          <w:numId w:val="1"/>
        </w:numPr>
        <w:kinsoku/>
        <w:wordWrap/>
        <w:overflowPunct/>
        <w:topLinePunct w:val="0"/>
        <w:autoSpaceDE/>
        <w:autoSpaceDN/>
        <w:bidi w:val="0"/>
        <w:spacing w:before="156" w:beforeLines="50" w:after="156" w:afterLines="50" w:line="416" w:lineRule="auto"/>
        <w:jc w:val="both"/>
        <w:outlineLvl w:val="0"/>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配置要求</w:t>
      </w:r>
      <w:bookmarkEnd w:id="5"/>
      <w:bookmarkEnd w:id="6"/>
      <w:bookmarkEnd w:id="8"/>
      <w:bookmarkEnd w:id="9"/>
      <w:bookmarkEnd w:id="10"/>
      <w:bookmarkEnd w:id="11"/>
      <w:bookmarkEnd w:id="12"/>
      <w:bookmarkEnd w:id="13"/>
    </w:p>
    <w:p w14:paraId="0F701BD0">
      <w:pPr>
        <w:keepNext w:val="0"/>
        <w:keepLines w:val="0"/>
        <w:pageBreakBefore w:val="0"/>
        <w:widowControl w:val="0"/>
        <w:kinsoku/>
        <w:wordWrap/>
        <w:overflowPunct/>
        <w:topLinePunct w:val="0"/>
        <w:autoSpaceDE/>
        <w:autoSpaceDN/>
        <w:bidi w:val="0"/>
        <w:spacing w:before="163" w:after="163" w:line="360" w:lineRule="auto"/>
        <w:ind w:firstLine="420"/>
        <w:rPr>
          <w:rFonts w:hint="eastAsia" w:ascii="宋体" w:hAnsi="宋体" w:eastAsia="宋体" w:cs="宋体"/>
          <w:sz w:val="24"/>
          <w:szCs w:val="24"/>
          <w:highlight w:val="none"/>
          <w:lang w:eastAsia="zh-CN"/>
        </w:rPr>
      </w:pPr>
      <w:bookmarkStart w:id="78" w:name="_Toc186699143"/>
      <w:bookmarkStart w:id="79" w:name="_Toc14070"/>
      <w:r>
        <w:rPr>
          <w:rFonts w:hint="eastAsia" w:ascii="宋体" w:hAnsi="宋体" w:eastAsia="宋体" w:cs="宋体"/>
          <w:sz w:val="24"/>
          <w:szCs w:val="24"/>
          <w:highlight w:val="none"/>
          <w:lang w:val="en-US" w:eastAsia="zh-CN"/>
        </w:rPr>
        <w:t>该设备涉及的主要芯片产品（CPU、SSD、DRAM、显卡）需要满足自主可控要求。CPU和操作系统需要通过国家安全可靠测评。</w:t>
      </w:r>
    </w:p>
    <w:p w14:paraId="0AC94E9F">
      <w:pPr>
        <w:numPr>
          <w:ilvl w:val="0"/>
          <w:numId w:val="11"/>
        </w:numPr>
        <w:tabs>
          <w:tab w:val="left" w:pos="420"/>
        </w:tabs>
        <w:spacing w:line="360" w:lineRule="auto"/>
        <w:ind w:left="845" w:hanging="425" w:firstLineChars="0"/>
        <w:rPr>
          <w:rFonts w:ascii="宋体" w:hAnsi="宋体" w:cs="宋体"/>
        </w:rPr>
      </w:pPr>
      <w:r>
        <w:rPr>
          <w:rFonts w:hint="eastAsia" w:ascii="宋体" w:hAnsi="宋体" w:cs="宋体"/>
        </w:rPr>
        <w:t>操作系统：</w:t>
      </w:r>
      <w:r>
        <w:rPr>
          <w:rFonts w:hint="eastAsia" w:ascii="宋体" w:hAnsi="宋体"/>
          <w:szCs w:val="22"/>
        </w:rPr>
        <w:t>主流安全可控Li</w:t>
      </w:r>
      <w:r>
        <w:rPr>
          <w:rFonts w:hint="eastAsia" w:ascii="宋体" w:hAnsi="宋体" w:eastAsia="宋体" w:cs="Times New Roman"/>
          <w:szCs w:val="22"/>
        </w:rPr>
        <w:t>nux操作系统</w:t>
      </w:r>
      <w:r>
        <w:rPr>
          <w:rFonts w:hint="eastAsia" w:ascii="宋体" w:hAnsi="宋体" w:eastAsia="宋体" w:cs="Times New Roman"/>
          <w:szCs w:val="22"/>
          <w:lang w:val="en-US" w:eastAsia="zh-CN"/>
        </w:rPr>
        <w:t>,</w:t>
      </w:r>
      <w:r>
        <w:rPr>
          <w:rFonts w:hint="eastAsia" w:ascii="宋体" w:hAnsi="宋体" w:eastAsia="宋体" w:cs="Times New Roman"/>
          <w:szCs w:val="22"/>
        </w:rPr>
        <w:t>操作系统应当符合安全可靠测评要求，</w:t>
      </w:r>
      <w:r>
        <w:rPr>
          <w:rFonts w:hint="eastAsia"/>
          <w:lang w:eastAsia="zh-CN"/>
        </w:rPr>
        <w:t>满足国家自主可控要求，</w:t>
      </w:r>
      <w:r>
        <w:rPr>
          <w:rFonts w:hint="eastAsia" w:ascii="宋体" w:hAnsi="宋体" w:eastAsia="宋体" w:cs="Times New Roman"/>
          <w:szCs w:val="22"/>
        </w:rPr>
        <w:t>具体参见中国信息安全测评中心/国家保密科技测评中心网站公告结果</w:t>
      </w:r>
      <w:r>
        <w:rPr>
          <w:rFonts w:hint="eastAsia" w:ascii="宋体" w:hAnsi="宋体" w:cs="宋体"/>
        </w:rPr>
        <w:t>；</w:t>
      </w:r>
    </w:p>
    <w:p w14:paraId="1B2F606A">
      <w:pPr>
        <w:numPr>
          <w:ilvl w:val="0"/>
          <w:numId w:val="11"/>
        </w:numPr>
        <w:tabs>
          <w:tab w:val="left" w:pos="420"/>
        </w:tabs>
        <w:spacing w:line="360" w:lineRule="auto"/>
        <w:ind w:left="845" w:hanging="425" w:firstLineChars="0"/>
        <w:rPr>
          <w:rFonts w:hint="eastAsia" w:ascii="宋体" w:hAnsi="宋体" w:eastAsia="宋体" w:cs="Times New Roman"/>
          <w:szCs w:val="22"/>
        </w:rPr>
      </w:pPr>
      <w:r>
        <w:rPr>
          <w:rFonts w:hint="eastAsia" w:ascii="宋体" w:hAnsi="宋体" w:eastAsia="宋体" w:cs="Times New Roman"/>
          <w:szCs w:val="22"/>
          <w:lang w:val="en-US" w:eastAsia="zh-CN"/>
        </w:rPr>
        <w:t>CPU：采用自主可控芯片</w:t>
      </w:r>
      <w:r>
        <w:rPr>
          <w:rFonts w:hint="eastAsia" w:ascii="宋体" w:hAnsi="宋体" w:cs="宋体"/>
        </w:rPr>
        <w:t>；</w:t>
      </w:r>
    </w:p>
    <w:p w14:paraId="0D762370">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屏幕比例3:2；</w:t>
      </w:r>
    </w:p>
    <w:p w14:paraId="6BDA6A9C">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内存容量：32GB;</w:t>
      </w:r>
    </w:p>
    <w:p w14:paraId="66901581">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硬盘容量：≥512GB；</w:t>
      </w:r>
    </w:p>
    <w:p w14:paraId="11EC3B9C">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内存频率：6400MHz；</w:t>
      </w:r>
    </w:p>
    <w:p w14:paraId="48827797">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屏幕尺寸：14.2英寸；</w:t>
      </w:r>
    </w:p>
    <w:p w14:paraId="23B09AA9">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屏幕刷新率：12</w:t>
      </w:r>
      <w:r>
        <w:rPr>
          <w:rFonts w:hint="eastAsia" w:ascii="宋体" w:hAnsi="宋体" w:cs="宋体"/>
          <w:lang w:val="en-US" w:eastAsia="zh-CN"/>
        </w:rPr>
        <w:t>0</w:t>
      </w:r>
      <w:r>
        <w:rPr>
          <w:rFonts w:hint="eastAsia" w:ascii="宋体" w:hAnsi="宋体" w:cs="宋体"/>
        </w:rPr>
        <w:t>Hz；</w:t>
      </w:r>
    </w:p>
    <w:p w14:paraId="3F89DBB7">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接口支持：全功能Type-C；</w:t>
      </w:r>
    </w:p>
    <w:p w14:paraId="67F6678C">
      <w:pPr>
        <w:numPr>
          <w:ilvl w:val="0"/>
          <w:numId w:val="11"/>
        </w:numPr>
        <w:tabs>
          <w:tab w:val="left" w:pos="420"/>
        </w:tabs>
        <w:spacing w:line="360" w:lineRule="auto"/>
        <w:ind w:left="845" w:hanging="425" w:firstLineChars="0"/>
        <w:rPr>
          <w:rFonts w:ascii="宋体" w:hAnsi="宋体" w:cs="宋体"/>
        </w:rPr>
      </w:pPr>
      <w:r>
        <w:rPr>
          <w:rFonts w:hint="eastAsia" w:ascii="宋体" w:hAnsi="宋体" w:cs="宋体"/>
        </w:rPr>
        <w:t>显示端口：USB-C;</w:t>
      </w:r>
    </w:p>
    <w:p w14:paraId="50D3A61C">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cs="宋体"/>
        </w:rPr>
        <w:t>蓝牙连接：支持蓝牙;</w:t>
      </w:r>
    </w:p>
    <w:p w14:paraId="4E2401DB">
      <w:pPr>
        <w:numPr>
          <w:ilvl w:val="0"/>
          <w:numId w:val="11"/>
        </w:numPr>
        <w:tabs>
          <w:tab w:val="left" w:pos="420"/>
        </w:tabs>
        <w:spacing w:line="360" w:lineRule="auto"/>
        <w:ind w:left="845" w:hanging="425" w:firstLineChars="0"/>
        <w:rPr>
          <w:rFonts w:hint="eastAsia" w:ascii="宋体" w:hAnsi="宋体" w:cs="宋体"/>
        </w:rPr>
      </w:pPr>
      <w:r>
        <w:rPr>
          <w:rFonts w:hint="eastAsia" w:ascii="宋体" w:hAnsi="宋体"/>
          <w:szCs w:val="22"/>
        </w:rPr>
        <w:t>售后服务：项目竣工验收合格起，提供5年免费质保。</w:t>
      </w:r>
    </w:p>
    <w:p w14:paraId="3696E768">
      <w:pPr>
        <w:keepNext w:val="0"/>
        <w:keepLines w:val="0"/>
        <w:pageBreakBefore w:val="0"/>
        <w:widowControl w:val="0"/>
        <w:numPr>
          <w:ilvl w:val="0"/>
          <w:numId w:val="1"/>
        </w:numPr>
        <w:kinsoku/>
        <w:wordWrap/>
        <w:overflowPunct/>
        <w:topLinePunct w:val="0"/>
        <w:autoSpaceDE/>
        <w:autoSpaceDN/>
        <w:bidi w:val="0"/>
        <w:spacing w:before="156" w:beforeLines="50" w:after="156" w:afterLines="50" w:line="578" w:lineRule="auto"/>
        <w:jc w:val="both"/>
        <w:outlineLvl w:val="0"/>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进度要求</w:t>
      </w:r>
      <w:bookmarkEnd w:id="78"/>
      <w:bookmarkEnd w:id="79"/>
    </w:p>
    <w:p w14:paraId="4B76B227">
      <w:pPr>
        <w:keepNext w:val="0"/>
        <w:keepLines w:val="0"/>
        <w:pageBreakBefore w:val="0"/>
        <w:widowControl w:val="0"/>
        <w:kinsoku/>
        <w:wordWrap/>
        <w:overflowPunct/>
        <w:topLinePunct w:val="0"/>
        <w:autoSpaceDE/>
        <w:autoSpaceDN/>
        <w:bidi w:val="0"/>
        <w:spacing w:beforeLines="0" w:afterLines="0" w:line="24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合同签订后</w:t>
      </w:r>
      <w:r>
        <w:rPr>
          <w:rFonts w:hint="eastAsia" w:ascii="宋体" w:hAnsi="宋体" w:cs="宋体"/>
          <w:kern w:val="2"/>
          <w:sz w:val="24"/>
          <w:szCs w:val="24"/>
          <w:lang w:val="en-US" w:eastAsia="zh-CN" w:bidi="ar-SA"/>
        </w:rPr>
        <w:t>5个自然日内</w:t>
      </w:r>
      <w:r>
        <w:rPr>
          <w:rFonts w:hint="eastAsia" w:ascii="宋体" w:hAnsi="宋体" w:eastAsia="宋体" w:cs="宋体"/>
          <w:kern w:val="2"/>
          <w:sz w:val="24"/>
          <w:szCs w:val="24"/>
          <w:lang w:val="en-US" w:eastAsia="zh-CN" w:bidi="ar-SA"/>
        </w:rPr>
        <w:t>完成</w:t>
      </w:r>
      <w:r>
        <w:rPr>
          <w:rFonts w:hint="eastAsia" w:ascii="宋体" w:hAnsi="宋体" w:cs="宋体"/>
          <w:kern w:val="2"/>
          <w:sz w:val="24"/>
          <w:szCs w:val="24"/>
          <w:lang w:val="en-US" w:eastAsia="zh-CN" w:bidi="ar-SA"/>
        </w:rPr>
        <w:t>供货</w:t>
      </w:r>
      <w:r>
        <w:rPr>
          <w:rFonts w:hint="eastAsia" w:ascii="宋体" w:hAnsi="宋体" w:eastAsia="宋体" w:cs="宋体"/>
          <w:kern w:val="2"/>
          <w:sz w:val="24"/>
          <w:szCs w:val="24"/>
          <w:lang w:val="en-US" w:eastAsia="zh-CN" w:bidi="ar-SA"/>
        </w:rPr>
        <w:t>到达甲方指定地点。</w:t>
      </w:r>
    </w:p>
    <w:p w14:paraId="2C9A3538">
      <w:pPr>
        <w:keepNext w:val="0"/>
        <w:keepLines w:val="0"/>
        <w:pageBreakBefore w:val="0"/>
        <w:widowControl w:val="0"/>
        <w:numPr>
          <w:ilvl w:val="1"/>
          <w:numId w:val="1"/>
        </w:numPr>
        <w:tabs>
          <w:tab w:val="left" w:pos="756"/>
        </w:tabs>
        <w:kinsoku/>
        <w:wordWrap/>
        <w:overflowPunct/>
        <w:topLinePunct w:val="0"/>
        <w:autoSpaceDE/>
        <w:autoSpaceDN/>
        <w:bidi w:val="0"/>
        <w:adjustRightInd w:val="0"/>
        <w:snapToGrid w:val="0"/>
        <w:spacing w:before="156" w:beforeLines="50" w:after="156" w:afterLines="50" w:line="600" w:lineRule="exact"/>
        <w:ind w:left="578" w:right="0" w:rightChars="0" w:hanging="578"/>
        <w:jc w:val="both"/>
        <w:outlineLvl w:val="1"/>
        <w:rPr>
          <w:rFonts w:hint="eastAsia" w:ascii="宋体" w:hAnsi="宋体" w:eastAsia="宋体" w:cs="宋体"/>
          <w:b/>
          <w:bCs/>
          <w:color w:val="auto"/>
          <w:kern w:val="2"/>
          <w:sz w:val="24"/>
          <w:szCs w:val="24"/>
          <w:highlight w:val="none"/>
          <w:lang w:val="en-US" w:eastAsia="zh-CN" w:bidi="ar-SA"/>
        </w:rPr>
      </w:pPr>
      <w:bookmarkStart w:id="80" w:name="_Toc32155"/>
      <w:bookmarkStart w:id="81" w:name="_Toc24119"/>
      <w:r>
        <w:rPr>
          <w:rFonts w:hint="eastAsia" w:ascii="宋体" w:hAnsi="宋体" w:eastAsia="宋体" w:cs="宋体"/>
          <w:b/>
          <w:bCs/>
          <w:color w:val="auto"/>
          <w:kern w:val="2"/>
          <w:sz w:val="24"/>
          <w:szCs w:val="24"/>
          <w:highlight w:val="none"/>
          <w:lang w:val="en-US" w:eastAsia="zh-CN" w:bidi="ar-SA"/>
        </w:rPr>
        <w:t>到货验收</w:t>
      </w:r>
      <w:bookmarkEnd w:id="80"/>
      <w:bookmarkEnd w:id="81"/>
    </w:p>
    <w:p w14:paraId="53F9A8D3">
      <w:pPr>
        <w:keepNext w:val="0"/>
        <w:keepLines w:val="0"/>
        <w:pageBreakBefore w:val="0"/>
        <w:widowControl w:val="0"/>
        <w:kinsoku/>
        <w:wordWrap/>
        <w:overflowPunct/>
        <w:topLinePunct w:val="0"/>
        <w:autoSpaceDE/>
        <w:autoSpaceDN/>
        <w:bidi w:val="0"/>
        <w:spacing w:before="163" w:after="163" w:line="360" w:lineRule="auto"/>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w:t>
      </w:r>
      <w:r>
        <w:rPr>
          <w:rFonts w:hint="eastAsia" w:ascii="宋体" w:hAnsi="宋体" w:eastAsia="宋体" w:cs="宋体"/>
          <w:sz w:val="24"/>
          <w:szCs w:val="24"/>
          <w:highlight w:val="none"/>
          <w:lang w:val="en-US" w:eastAsia="zh-CN"/>
        </w:rPr>
        <w:t>供货</w:t>
      </w:r>
      <w:r>
        <w:rPr>
          <w:rFonts w:hint="eastAsia" w:ascii="宋体" w:hAnsi="宋体" w:eastAsia="宋体" w:cs="宋体"/>
          <w:sz w:val="24"/>
          <w:szCs w:val="24"/>
          <w:highlight w:val="none"/>
          <w:lang w:eastAsia="zh-CN"/>
        </w:rPr>
        <w:t>产品的技术规范要求和质量标准，对产品进行检查验收，对产品有异议，甲方有权当场拒收。如发现数量不足或有质量等问题，中标方负责按照甲方的要求采取补足、更换或退货等处理措施，并承担由此发生的一切损失和费用。</w:t>
      </w:r>
    </w:p>
    <w:p w14:paraId="20CDD3EA">
      <w:pPr>
        <w:keepNext w:val="0"/>
        <w:keepLines w:val="0"/>
        <w:pageBreakBefore w:val="0"/>
        <w:widowControl w:val="0"/>
        <w:kinsoku/>
        <w:wordWrap/>
        <w:overflowPunct/>
        <w:topLinePunct w:val="0"/>
        <w:autoSpaceDE/>
        <w:autoSpaceDN/>
        <w:bidi w:val="0"/>
        <w:spacing w:before="163" w:after="163"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产品设备齐全，包装完整，经开箱检查后型号及规格与合同设备清单一致，设备加电检测工作正常后，视为到货验收合</w:t>
      </w:r>
      <w:bookmarkStart w:id="100" w:name="_GoBack"/>
      <w:bookmarkEnd w:id="100"/>
      <w:r>
        <w:rPr>
          <w:rFonts w:hint="eastAsia" w:ascii="宋体" w:hAnsi="宋体" w:eastAsia="宋体" w:cs="宋体"/>
          <w:sz w:val="24"/>
          <w:szCs w:val="24"/>
          <w:highlight w:val="none"/>
          <w:lang w:eastAsia="zh-CN"/>
        </w:rPr>
        <w:t>格</w:t>
      </w:r>
      <w:r>
        <w:rPr>
          <w:rFonts w:hint="eastAsia" w:ascii="宋体" w:hAnsi="宋体" w:eastAsia="宋体" w:cs="宋体"/>
          <w:sz w:val="24"/>
          <w:szCs w:val="24"/>
          <w:highlight w:val="none"/>
        </w:rPr>
        <w:t>。</w:t>
      </w:r>
    </w:p>
    <w:p w14:paraId="185739E2">
      <w:pPr>
        <w:keepNext w:val="0"/>
        <w:keepLines w:val="0"/>
        <w:pageBreakBefore w:val="0"/>
        <w:widowControl w:val="0"/>
        <w:numPr>
          <w:ilvl w:val="1"/>
          <w:numId w:val="1"/>
        </w:numPr>
        <w:tabs>
          <w:tab w:val="left" w:pos="756"/>
        </w:tabs>
        <w:kinsoku/>
        <w:wordWrap/>
        <w:overflowPunct/>
        <w:topLinePunct w:val="0"/>
        <w:autoSpaceDE/>
        <w:autoSpaceDN/>
        <w:bidi w:val="0"/>
        <w:adjustRightInd w:val="0"/>
        <w:snapToGrid w:val="0"/>
        <w:spacing w:before="156" w:beforeLines="50" w:after="156" w:afterLines="50" w:line="600" w:lineRule="exact"/>
        <w:ind w:left="578" w:right="0" w:rightChars="0" w:hanging="578"/>
        <w:jc w:val="both"/>
        <w:outlineLvl w:val="1"/>
        <w:rPr>
          <w:rFonts w:hint="eastAsia" w:ascii="宋体" w:hAnsi="宋体" w:eastAsia="宋体" w:cs="宋体"/>
          <w:b/>
          <w:bCs/>
          <w:color w:val="auto"/>
          <w:kern w:val="2"/>
          <w:sz w:val="24"/>
          <w:szCs w:val="24"/>
          <w:highlight w:val="none"/>
          <w:lang w:val="en-US" w:eastAsia="zh-CN" w:bidi="ar-SA"/>
        </w:rPr>
      </w:pPr>
      <w:bookmarkStart w:id="82" w:name="_Toc31267"/>
      <w:bookmarkStart w:id="83" w:name="_Toc113956353"/>
      <w:bookmarkStart w:id="84" w:name="_Toc482199723"/>
      <w:bookmarkStart w:id="85" w:name="_Toc14420"/>
      <w:r>
        <w:rPr>
          <w:rFonts w:hint="eastAsia" w:ascii="宋体" w:hAnsi="宋体" w:eastAsia="宋体" w:cs="宋体"/>
          <w:b/>
          <w:bCs/>
          <w:color w:val="auto"/>
          <w:kern w:val="2"/>
          <w:sz w:val="24"/>
          <w:szCs w:val="24"/>
          <w:highlight w:val="none"/>
          <w:lang w:val="en-US" w:eastAsia="zh-CN" w:bidi="ar-SA"/>
        </w:rPr>
        <w:t>竣工验收测试</w:t>
      </w:r>
      <w:bookmarkEnd w:id="82"/>
      <w:bookmarkEnd w:id="83"/>
      <w:bookmarkEnd w:id="84"/>
      <w:bookmarkEnd w:id="85"/>
    </w:p>
    <w:p w14:paraId="1AED6995">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bookmarkStart w:id="86" w:name="_Toc482199724"/>
      <w:bookmarkStart w:id="87" w:name="_Toc113956354"/>
      <w:bookmarkStart w:id="88" w:name="_Toc4052"/>
      <w:bookmarkStart w:id="89" w:name="_Toc22377"/>
      <w:r>
        <w:rPr>
          <w:rFonts w:hint="eastAsia"/>
          <w:color w:val="000000"/>
          <w:szCs w:val="24"/>
        </w:rPr>
        <w:t>当下列项目同时令</w:t>
      </w:r>
      <w:r>
        <w:rPr>
          <w:rFonts w:hint="eastAsia"/>
          <w:color w:val="000000"/>
          <w:szCs w:val="24"/>
          <w:lang w:eastAsia="zh-CN"/>
        </w:rPr>
        <w:t>甲方</w:t>
      </w:r>
      <w:r>
        <w:rPr>
          <w:rFonts w:hint="eastAsia"/>
          <w:color w:val="000000"/>
          <w:szCs w:val="24"/>
        </w:rPr>
        <w:t>满意时，将进行竣工验收：</w:t>
      </w:r>
    </w:p>
    <w:p w14:paraId="25D22914">
      <w:pPr>
        <w:keepNext w:val="0"/>
        <w:keepLines w:val="0"/>
        <w:pageBreakBefore w:val="0"/>
        <w:widowControl w:val="0"/>
        <w:numPr>
          <w:ilvl w:val="0"/>
          <w:numId w:val="13"/>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工程全部完成且所有功能均完整实现。</w:t>
      </w:r>
    </w:p>
    <w:p w14:paraId="17BC95EA">
      <w:pPr>
        <w:keepNext w:val="0"/>
        <w:keepLines w:val="0"/>
        <w:pageBreakBefore w:val="0"/>
        <w:widowControl w:val="0"/>
        <w:numPr>
          <w:ilvl w:val="0"/>
          <w:numId w:val="13"/>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工程移交给</w:t>
      </w:r>
      <w:r>
        <w:rPr>
          <w:rFonts w:hint="eastAsia" w:ascii="宋体" w:hAnsi="宋体"/>
          <w:lang w:eastAsia="zh-CN"/>
        </w:rPr>
        <w:t>甲方</w:t>
      </w:r>
      <w:r>
        <w:rPr>
          <w:rFonts w:hint="eastAsia" w:ascii="宋体" w:hAnsi="宋体"/>
        </w:rPr>
        <w:t>前已通过合同规定的所有检验。</w:t>
      </w:r>
    </w:p>
    <w:p w14:paraId="397EA88A">
      <w:pPr>
        <w:keepNext w:val="0"/>
        <w:keepLines w:val="0"/>
        <w:pageBreakBefore w:val="0"/>
        <w:widowControl w:val="0"/>
        <w:numPr>
          <w:ilvl w:val="0"/>
          <w:numId w:val="13"/>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试运行期</w:t>
      </w:r>
      <w:r>
        <w:rPr>
          <w:rFonts w:hint="eastAsia" w:ascii="宋体" w:hAnsi="宋体"/>
          <w:lang w:val="en-US" w:eastAsia="zh-CN"/>
        </w:rPr>
        <w:t>1</w:t>
      </w:r>
      <w:r>
        <w:rPr>
          <w:rFonts w:hint="eastAsia" w:ascii="宋体" w:hAnsi="宋体"/>
        </w:rPr>
        <w:t>个月圆满结束。</w:t>
      </w:r>
    </w:p>
    <w:p w14:paraId="2308396E">
      <w:pPr>
        <w:keepNext w:val="0"/>
        <w:keepLines w:val="0"/>
        <w:pageBreakBefore w:val="0"/>
        <w:widowControl w:val="0"/>
        <w:numPr>
          <w:ilvl w:val="0"/>
          <w:numId w:val="13"/>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lang w:eastAsia="zh-CN"/>
        </w:rPr>
        <w:t>甲方</w:t>
      </w:r>
      <w:r>
        <w:rPr>
          <w:rFonts w:hint="eastAsia" w:ascii="宋体" w:hAnsi="宋体"/>
        </w:rPr>
        <w:t>已得到所有工程文件。</w:t>
      </w:r>
    </w:p>
    <w:p w14:paraId="4E408B5D">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r>
        <w:rPr>
          <w:rFonts w:hint="eastAsia"/>
          <w:color w:val="000000"/>
          <w:szCs w:val="24"/>
        </w:rPr>
        <w:t>竣工验收测试大纲由</w:t>
      </w:r>
      <w:r>
        <w:rPr>
          <w:rFonts w:hint="eastAsia"/>
          <w:color w:val="000000"/>
          <w:szCs w:val="24"/>
          <w:lang w:eastAsia="zh-CN"/>
        </w:rPr>
        <w:t>乙方</w:t>
      </w:r>
      <w:r>
        <w:rPr>
          <w:rFonts w:hint="eastAsia"/>
          <w:color w:val="000000"/>
          <w:szCs w:val="24"/>
        </w:rPr>
        <w:t>提出，经</w:t>
      </w:r>
      <w:r>
        <w:rPr>
          <w:rFonts w:hint="eastAsia"/>
          <w:color w:val="000000"/>
          <w:szCs w:val="24"/>
          <w:lang w:eastAsia="zh-CN"/>
        </w:rPr>
        <w:t>甲方</w:t>
      </w:r>
      <w:r>
        <w:rPr>
          <w:rFonts w:hint="eastAsia"/>
          <w:color w:val="000000"/>
          <w:szCs w:val="24"/>
        </w:rPr>
        <w:t>确认后方可执行；</w:t>
      </w:r>
    </w:p>
    <w:p w14:paraId="1FD56998">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r>
        <w:rPr>
          <w:rFonts w:hint="eastAsia"/>
          <w:color w:val="000000"/>
          <w:szCs w:val="24"/>
        </w:rPr>
        <w:t>和系统有关的运行参数测试也包含在验收测试中。</w:t>
      </w:r>
    </w:p>
    <w:p w14:paraId="3170499B">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r>
        <w:rPr>
          <w:rFonts w:hint="eastAsia"/>
          <w:color w:val="000000"/>
          <w:szCs w:val="24"/>
        </w:rPr>
        <w:t>当竣工验收测试圆满完成时，</w:t>
      </w:r>
      <w:r>
        <w:rPr>
          <w:rFonts w:hint="eastAsia"/>
          <w:color w:val="000000"/>
          <w:szCs w:val="24"/>
          <w:lang w:eastAsia="zh-CN"/>
        </w:rPr>
        <w:t>甲方</w:t>
      </w:r>
      <w:r>
        <w:rPr>
          <w:rFonts w:hint="eastAsia"/>
          <w:color w:val="000000"/>
          <w:szCs w:val="24"/>
        </w:rPr>
        <w:t>将出具竣工验收证明一式</w:t>
      </w:r>
      <w:r>
        <w:rPr>
          <w:color w:val="000000"/>
          <w:szCs w:val="24"/>
        </w:rPr>
        <w:t>2</w:t>
      </w:r>
      <w:r>
        <w:rPr>
          <w:rFonts w:hint="eastAsia"/>
          <w:color w:val="000000"/>
          <w:szCs w:val="24"/>
        </w:rPr>
        <w:t>份，双方各持两份。</w:t>
      </w:r>
    </w:p>
    <w:p w14:paraId="2518FA2B">
      <w:pPr>
        <w:pStyle w:val="6"/>
        <w:keepNext w:val="0"/>
        <w:keepLines w:val="0"/>
        <w:pageBreakBefore w:val="0"/>
        <w:widowControl w:val="0"/>
        <w:numPr>
          <w:ilvl w:val="0"/>
          <w:numId w:val="12"/>
        </w:numPr>
        <w:kinsoku/>
        <w:wordWrap/>
        <w:overflowPunct/>
        <w:topLinePunct w:val="0"/>
        <w:autoSpaceDE/>
        <w:autoSpaceDN/>
        <w:bidi w:val="0"/>
        <w:spacing w:before="156" w:beforeLines="0" w:after="156" w:afterLines="0"/>
        <w:ind w:firstLineChars="0"/>
        <w:jc w:val="left"/>
        <w:rPr>
          <w:color w:val="000000"/>
          <w:szCs w:val="24"/>
        </w:rPr>
      </w:pPr>
      <w:r>
        <w:rPr>
          <w:rFonts w:hint="eastAsia"/>
          <w:color w:val="000000"/>
          <w:szCs w:val="24"/>
        </w:rPr>
        <w:t>竣工验收证明包含以下内容：</w:t>
      </w:r>
    </w:p>
    <w:p w14:paraId="5DE4B432">
      <w:pPr>
        <w:keepNext w:val="0"/>
        <w:keepLines w:val="0"/>
        <w:pageBreakBefore w:val="0"/>
        <w:widowControl w:val="0"/>
        <w:numPr>
          <w:ilvl w:val="0"/>
          <w:numId w:val="14"/>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工程验收的范围及测试方法</w:t>
      </w:r>
    </w:p>
    <w:p w14:paraId="5D6B5083">
      <w:pPr>
        <w:keepNext w:val="0"/>
        <w:keepLines w:val="0"/>
        <w:pageBreakBefore w:val="0"/>
        <w:widowControl w:val="0"/>
        <w:numPr>
          <w:ilvl w:val="0"/>
          <w:numId w:val="14"/>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工程验收测试的日期</w:t>
      </w:r>
    </w:p>
    <w:p w14:paraId="693DD446">
      <w:pPr>
        <w:keepNext w:val="0"/>
        <w:keepLines w:val="0"/>
        <w:pageBreakBefore w:val="0"/>
        <w:widowControl w:val="0"/>
        <w:numPr>
          <w:ilvl w:val="0"/>
          <w:numId w:val="14"/>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工程质量的评价</w:t>
      </w:r>
    </w:p>
    <w:p w14:paraId="2CDED801">
      <w:pPr>
        <w:keepNext w:val="0"/>
        <w:keepLines w:val="0"/>
        <w:pageBreakBefore w:val="0"/>
        <w:widowControl w:val="0"/>
        <w:numPr>
          <w:ilvl w:val="0"/>
          <w:numId w:val="14"/>
        </w:numPr>
        <w:kinsoku/>
        <w:wordWrap/>
        <w:overflowPunct/>
        <w:topLinePunct w:val="0"/>
        <w:autoSpaceDE/>
        <w:autoSpaceDN/>
        <w:bidi w:val="0"/>
        <w:spacing w:before="156" w:beforeLines="0" w:after="156" w:afterLines="0" w:line="360" w:lineRule="auto"/>
        <w:rPr>
          <w:rFonts w:ascii="宋体" w:hAnsi="宋体"/>
        </w:rPr>
      </w:pPr>
      <w:r>
        <w:rPr>
          <w:rFonts w:hint="eastAsia" w:ascii="宋体" w:hAnsi="宋体"/>
        </w:rPr>
        <w:t>在证明签署前遗留问题的解答</w:t>
      </w:r>
    </w:p>
    <w:p w14:paraId="5D1280C4">
      <w:pPr>
        <w:keepNext w:val="0"/>
        <w:keepLines w:val="0"/>
        <w:pageBreakBefore w:val="0"/>
        <w:widowControl w:val="0"/>
        <w:numPr>
          <w:ilvl w:val="1"/>
          <w:numId w:val="1"/>
        </w:numPr>
        <w:kinsoku/>
        <w:wordWrap/>
        <w:overflowPunct/>
        <w:topLinePunct w:val="0"/>
        <w:autoSpaceDE/>
        <w:autoSpaceDN/>
        <w:bidi w:val="0"/>
        <w:snapToGrid w:val="0"/>
        <w:spacing w:before="163" w:beforeLines="50" w:after="163" w:afterLines="50" w:line="240" w:lineRule="auto"/>
        <w:jc w:val="both"/>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现场服务及售后服务</w:t>
      </w:r>
      <w:bookmarkEnd w:id="86"/>
      <w:bookmarkEnd w:id="87"/>
      <w:bookmarkEnd w:id="88"/>
      <w:bookmarkEnd w:id="89"/>
    </w:p>
    <w:p w14:paraId="572FFD7B">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bookmarkStart w:id="90" w:name="_Toc113956355"/>
      <w:bookmarkStart w:id="91" w:name="_Toc6073"/>
      <w:bookmarkStart w:id="92" w:name="_Toc482199725"/>
      <w:bookmarkStart w:id="93" w:name="_Toc30421"/>
      <w:r>
        <w:rPr>
          <w:rFonts w:hint="eastAsia" w:ascii="宋体" w:hAnsi="宋体" w:eastAsia="宋体" w:cs="宋体"/>
          <w:b/>
          <w:bCs/>
          <w:kern w:val="2"/>
          <w:sz w:val="24"/>
          <w:szCs w:val="24"/>
          <w:highlight w:val="none"/>
          <w:lang w:val="en-US" w:eastAsia="zh-CN" w:bidi="ar-SA"/>
        </w:rPr>
        <w:t>总体要求</w:t>
      </w:r>
      <w:bookmarkEnd w:id="90"/>
      <w:bookmarkEnd w:id="91"/>
      <w:bookmarkEnd w:id="92"/>
      <w:bookmarkEnd w:id="93"/>
    </w:p>
    <w:p w14:paraId="785912F8">
      <w:pPr>
        <w:pStyle w:val="18"/>
        <w:numPr>
          <w:ilvl w:val="0"/>
          <w:numId w:val="15"/>
        </w:numPr>
        <w:adjustRightInd w:val="0"/>
        <w:snapToGrid w:val="0"/>
        <w:spacing w:before="120" w:beforeLines="0" w:after="120" w:afterLines="0" w:line="360" w:lineRule="auto"/>
        <w:ind w:firstLine="357"/>
        <w:rPr>
          <w:szCs w:val="24"/>
        </w:rPr>
      </w:pPr>
      <w:bookmarkStart w:id="94" w:name="_Toc11208"/>
      <w:bookmarkStart w:id="95" w:name="_Toc482199726"/>
      <w:bookmarkStart w:id="96" w:name="_Toc113956356"/>
      <w:bookmarkStart w:id="97" w:name="_Toc26573"/>
      <w:r>
        <w:rPr>
          <w:rFonts w:hint="eastAsia"/>
          <w:szCs w:val="24"/>
          <w:lang w:eastAsia="zh-CN"/>
        </w:rPr>
        <w:t>乙方</w:t>
      </w:r>
      <w:r>
        <w:rPr>
          <w:szCs w:val="24"/>
        </w:rPr>
        <w:t>在</w:t>
      </w:r>
      <w:r>
        <w:rPr>
          <w:rFonts w:hint="eastAsia"/>
          <w:szCs w:val="24"/>
          <w:lang w:eastAsia="zh-CN"/>
        </w:rPr>
        <w:t>甲方</w:t>
      </w:r>
      <w:r>
        <w:rPr>
          <w:szCs w:val="24"/>
        </w:rPr>
        <w:t>邻近区域内设有用户服务中心或维修点，配有专职维修人员，备有充足备品备件，并有完善的用户档案，能根据需要通过计算机网络查询用户及产品使用情况，能及时准确解决所提供设备的故障</w:t>
      </w:r>
      <w:r>
        <w:rPr>
          <w:rFonts w:hint="eastAsia"/>
          <w:szCs w:val="24"/>
        </w:rPr>
        <w:t>。</w:t>
      </w:r>
    </w:p>
    <w:p w14:paraId="19D5AF2B">
      <w:pPr>
        <w:pStyle w:val="18"/>
        <w:numPr>
          <w:ilvl w:val="0"/>
          <w:numId w:val="15"/>
        </w:numPr>
        <w:adjustRightInd w:val="0"/>
        <w:snapToGrid w:val="0"/>
        <w:spacing w:before="120" w:beforeLines="0" w:after="120" w:afterLines="0" w:line="360" w:lineRule="auto"/>
        <w:ind w:firstLine="357"/>
        <w:rPr>
          <w:szCs w:val="24"/>
        </w:rPr>
      </w:pPr>
      <w:r>
        <w:rPr>
          <w:szCs w:val="24"/>
        </w:rPr>
        <w:t>在设备质保期满后，</w:t>
      </w:r>
      <w:r>
        <w:rPr>
          <w:rFonts w:hint="eastAsia"/>
          <w:szCs w:val="24"/>
          <w:lang w:eastAsia="zh-CN"/>
        </w:rPr>
        <w:t>乙方</w:t>
      </w:r>
      <w:r>
        <w:rPr>
          <w:szCs w:val="24"/>
        </w:rPr>
        <w:t>仍</w:t>
      </w:r>
      <w:r>
        <w:rPr>
          <w:rFonts w:hint="eastAsia"/>
          <w:szCs w:val="24"/>
        </w:rPr>
        <w:t>应</w:t>
      </w:r>
      <w:r>
        <w:rPr>
          <w:szCs w:val="24"/>
        </w:rPr>
        <w:t>满足</w:t>
      </w:r>
      <w:r>
        <w:rPr>
          <w:rFonts w:hint="eastAsia"/>
          <w:szCs w:val="24"/>
          <w:lang w:eastAsia="zh-CN"/>
        </w:rPr>
        <w:t>甲方</w:t>
      </w:r>
      <w:r>
        <w:rPr>
          <w:szCs w:val="24"/>
        </w:rPr>
        <w:t>对所出现故障的设备进行维修的要求</w:t>
      </w:r>
      <w:r>
        <w:rPr>
          <w:rFonts w:hint="eastAsia"/>
          <w:szCs w:val="24"/>
        </w:rPr>
        <w:t>。</w:t>
      </w:r>
    </w:p>
    <w:p w14:paraId="032A952C">
      <w:pPr>
        <w:pStyle w:val="18"/>
        <w:numPr>
          <w:ilvl w:val="0"/>
          <w:numId w:val="15"/>
        </w:numPr>
        <w:adjustRightInd w:val="0"/>
        <w:snapToGrid w:val="0"/>
        <w:spacing w:before="120" w:beforeLines="0" w:after="120" w:afterLines="0" w:line="360" w:lineRule="auto"/>
        <w:ind w:firstLine="357"/>
        <w:rPr>
          <w:szCs w:val="24"/>
        </w:rPr>
      </w:pPr>
      <w:r>
        <w:rPr>
          <w:rFonts w:hint="eastAsia"/>
          <w:szCs w:val="24"/>
          <w:lang w:eastAsia="zh-CN"/>
        </w:rPr>
        <w:t>乙方</w:t>
      </w:r>
      <w:r>
        <w:rPr>
          <w:szCs w:val="24"/>
        </w:rPr>
        <w:t>提供售后服务及售后服务的组织情况</w:t>
      </w:r>
      <w:r>
        <w:rPr>
          <w:rFonts w:hint="eastAsia"/>
          <w:szCs w:val="24"/>
        </w:rPr>
        <w:t>。</w:t>
      </w:r>
    </w:p>
    <w:p w14:paraId="1F82E1D3">
      <w:pPr>
        <w:pStyle w:val="18"/>
        <w:numPr>
          <w:ilvl w:val="0"/>
          <w:numId w:val="15"/>
        </w:numPr>
        <w:adjustRightInd w:val="0"/>
        <w:snapToGrid w:val="0"/>
        <w:spacing w:before="120" w:beforeLines="0" w:after="120" w:afterLines="0" w:line="360" w:lineRule="auto"/>
        <w:ind w:firstLine="357"/>
        <w:rPr>
          <w:szCs w:val="24"/>
        </w:rPr>
      </w:pPr>
      <w:r>
        <w:rPr>
          <w:szCs w:val="24"/>
        </w:rPr>
        <w:t>在系统生命周期内，如果</w:t>
      </w:r>
      <w:r>
        <w:rPr>
          <w:rFonts w:hint="eastAsia"/>
          <w:szCs w:val="24"/>
          <w:lang w:eastAsia="zh-CN"/>
        </w:rPr>
        <w:t>甲方</w:t>
      </w:r>
      <w:r>
        <w:rPr>
          <w:szCs w:val="24"/>
        </w:rPr>
        <w:t>需要对</w:t>
      </w:r>
      <w:r>
        <w:rPr>
          <w:rFonts w:hint="eastAsia"/>
          <w:szCs w:val="24"/>
          <w:lang w:eastAsia="zh-CN"/>
        </w:rPr>
        <w:t>乙方</w:t>
      </w:r>
      <w:r>
        <w:rPr>
          <w:szCs w:val="24"/>
        </w:rPr>
        <w:t>所供系统进行升级扩容、购买备品备件和质保期后的技术服务等，</w:t>
      </w:r>
      <w:r>
        <w:rPr>
          <w:rFonts w:hint="eastAsia"/>
          <w:szCs w:val="24"/>
          <w:lang w:eastAsia="zh-CN"/>
        </w:rPr>
        <w:t>乙方</w:t>
      </w:r>
      <w:r>
        <w:rPr>
          <w:szCs w:val="24"/>
        </w:rPr>
        <w:t>负责协助完成。</w:t>
      </w:r>
    </w:p>
    <w:p w14:paraId="4C4C426B">
      <w:pPr>
        <w:pStyle w:val="18"/>
        <w:numPr>
          <w:ilvl w:val="0"/>
          <w:numId w:val="15"/>
        </w:numPr>
        <w:adjustRightInd w:val="0"/>
        <w:snapToGrid w:val="0"/>
        <w:spacing w:before="120" w:beforeLines="0" w:after="120" w:afterLines="0" w:line="360" w:lineRule="auto"/>
        <w:ind w:firstLine="357"/>
        <w:rPr>
          <w:szCs w:val="24"/>
        </w:rPr>
      </w:pPr>
      <w:r>
        <w:rPr>
          <w:rFonts w:hint="eastAsia"/>
          <w:szCs w:val="24"/>
          <w:lang w:eastAsia="zh-CN"/>
        </w:rPr>
        <w:t>乙方</w:t>
      </w:r>
      <w:r>
        <w:rPr>
          <w:szCs w:val="24"/>
        </w:rPr>
        <w:t>承诺系统升级扩容、备品备件和质保期后的技术服务的价格不高于本次投标价格（计及物价指数变动因素后的价格），并参考当时市场合理价格。</w:t>
      </w:r>
    </w:p>
    <w:p w14:paraId="03EF9427">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技术维护支持</w:t>
      </w:r>
      <w:bookmarkEnd w:id="94"/>
      <w:bookmarkEnd w:id="95"/>
      <w:bookmarkEnd w:id="96"/>
      <w:bookmarkEnd w:id="97"/>
    </w:p>
    <w:p w14:paraId="07BFEF56">
      <w:pPr>
        <w:pStyle w:val="18"/>
        <w:spacing w:before="120" w:after="120" w:line="400" w:lineRule="atLeast"/>
        <w:ind w:firstLine="480" w:firstLineChars="200"/>
        <w:rPr>
          <w:szCs w:val="24"/>
        </w:rPr>
      </w:pPr>
      <w:r>
        <w:rPr>
          <w:szCs w:val="24"/>
        </w:rPr>
        <w:t>系统通过</w:t>
      </w:r>
      <w:r>
        <w:rPr>
          <w:rFonts w:hint="eastAsia"/>
          <w:szCs w:val="24"/>
        </w:rPr>
        <w:t>竣工</w:t>
      </w:r>
      <w:r>
        <w:rPr>
          <w:szCs w:val="24"/>
        </w:rPr>
        <w:t>验收后，进入系统质保期。</w:t>
      </w:r>
      <w:r>
        <w:rPr>
          <w:rFonts w:hint="eastAsia"/>
          <w:szCs w:val="24"/>
          <w:lang w:eastAsia="zh-CN"/>
        </w:rPr>
        <w:t>乙方</w:t>
      </w:r>
      <w:r>
        <w:rPr>
          <w:szCs w:val="24"/>
        </w:rPr>
        <w:t>提供系统在质保期内所有的技术维护支持，并协助</w:t>
      </w:r>
      <w:r>
        <w:rPr>
          <w:rFonts w:hint="eastAsia"/>
          <w:szCs w:val="24"/>
          <w:lang w:eastAsia="zh-CN"/>
        </w:rPr>
        <w:t>甲方</w:t>
      </w:r>
      <w:r>
        <w:rPr>
          <w:szCs w:val="24"/>
        </w:rPr>
        <w:t>与为系统提供设备和软件的第三方达成长期技术维护支持协议。</w:t>
      </w:r>
    </w:p>
    <w:p w14:paraId="523D7A06">
      <w:pPr>
        <w:keepNext w:val="0"/>
        <w:keepLines w:val="0"/>
        <w:pageBreakBefore w:val="0"/>
        <w:widowControl w:val="0"/>
        <w:numPr>
          <w:ilvl w:val="3"/>
          <w:numId w:val="1"/>
        </w:numPr>
        <w:kinsoku/>
        <w:wordWrap/>
        <w:overflowPunct/>
        <w:topLinePunct w:val="0"/>
        <w:autoSpaceDE/>
        <w:autoSpaceDN/>
        <w:bidi w:val="0"/>
        <w:snapToGrid w:val="0"/>
        <w:spacing w:before="163" w:beforeLines="50" w:after="163" w:afterLines="50" w:line="240" w:lineRule="auto"/>
        <w:jc w:val="both"/>
        <w:outlineLvl w:val="3"/>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产品供货、部署调试要求</w:t>
      </w:r>
    </w:p>
    <w:p w14:paraId="54B30AC4">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乙方提供产品均为合同限定的公司和国家所制造。</w:t>
      </w:r>
    </w:p>
    <w:p w14:paraId="29B38A69">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乙方应提出产品的开发、供货、部署调试、测试相对时间表。</w:t>
      </w:r>
    </w:p>
    <w:p w14:paraId="7E3E0597">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安装调试在乙方提供经甲方认可的设计、实施方案进行，乙方应编排计划进度表，定期向甲方用书面形式报告进展情况及遇到的问题及解决的措施。</w:t>
      </w:r>
    </w:p>
    <w:p w14:paraId="5E6C053F">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乙方必须明确承诺将为本项目投入足够的具有相关经验和资质的开发实施人员，组成工程项目组，其负责人人选应得到甲方的认可。应提供各阶段实施内容及实施人员名单、资质及参与时间等。</w:t>
      </w:r>
    </w:p>
    <w:p w14:paraId="2521D9BC">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乙方必须明确承诺本项目按期完成，并承诺在项目实施阶段投入本项目研发工作的人力资源全力投入本项目的开发工作，除非得到甲方的许可，不得中途替换或另行参与其他与本项目建设无关的工作。</w:t>
      </w:r>
    </w:p>
    <w:p w14:paraId="435832CD">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除甲方另作规定，乙方必须负责一切与安装调试有关的实地工作和服务。</w:t>
      </w:r>
    </w:p>
    <w:p w14:paraId="5EAFC304">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如果因为乙方产品或软件存在技术问题而延误供货期，乙方应负责由此产生的一切后果，并进行经济赔偿。</w:t>
      </w:r>
    </w:p>
    <w:p w14:paraId="7180066B">
      <w:pPr>
        <w:keepNext w:val="0"/>
        <w:keepLines w:val="0"/>
        <w:pageBreakBefore w:val="0"/>
        <w:widowControl w:val="0"/>
        <w:numPr>
          <w:ilvl w:val="3"/>
          <w:numId w:val="1"/>
        </w:numPr>
        <w:kinsoku/>
        <w:wordWrap/>
        <w:overflowPunct/>
        <w:topLinePunct w:val="0"/>
        <w:autoSpaceDE/>
        <w:autoSpaceDN/>
        <w:bidi w:val="0"/>
        <w:snapToGrid w:val="0"/>
        <w:spacing w:before="163" w:beforeLines="50" w:after="163" w:afterLines="50" w:line="240" w:lineRule="auto"/>
        <w:jc w:val="both"/>
        <w:outlineLvl w:val="3"/>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产品维护要求</w:t>
      </w:r>
    </w:p>
    <w:p w14:paraId="23C0F555">
      <w:pPr>
        <w:pStyle w:val="18"/>
        <w:spacing w:before="120" w:after="120" w:line="400" w:lineRule="atLeast"/>
        <w:ind w:firstLine="480" w:firstLineChars="200"/>
        <w:rPr>
          <w:rFonts w:hint="eastAsia"/>
          <w:szCs w:val="24"/>
        </w:rPr>
      </w:pPr>
      <w:r>
        <w:rPr>
          <w:rFonts w:hint="eastAsia"/>
          <w:szCs w:val="24"/>
        </w:rPr>
        <w:t>自甲方向乙方订购产品安装部署之日起，乙方应向甲方提供包括热线技术指导、现场故障排除、故障产品维修等各种用户技术服务。依照产品所发生问题的严重性，由乙方提供如下维护工作：</w:t>
      </w:r>
    </w:p>
    <w:p w14:paraId="493F733E">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保证为甲方提供 “常年保修、维护、保养”服务。</w:t>
      </w:r>
    </w:p>
    <w:p w14:paraId="4A8B24EB">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提供7*24小时热线技术支持、远程诊断和现场维护。</w:t>
      </w:r>
    </w:p>
    <w:p w14:paraId="56B2015F">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保证开通7*24小时的热线服务电话随时解答用户的问题，保持和乙方有关技术人员定期和不定期的密切联络。</w:t>
      </w:r>
    </w:p>
    <w:p w14:paraId="1EC3956A">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在出现问题并初步判断为乙方产品故障时，乙方接到甲方通知后，乙方应能通过远程诊断、电话技术咨询或现场服务，尽快排除故障。</w:t>
      </w:r>
    </w:p>
    <w:p w14:paraId="53983D0A">
      <w:pPr>
        <w:pStyle w:val="18"/>
        <w:numPr>
          <w:ilvl w:val="0"/>
          <w:numId w:val="16"/>
        </w:numPr>
        <w:adjustRightInd w:val="0"/>
        <w:snapToGrid w:val="0"/>
        <w:spacing w:before="120" w:beforeLines="0" w:after="120" w:afterLines="0" w:line="360" w:lineRule="auto"/>
        <w:ind w:firstLine="357"/>
        <w:rPr>
          <w:rFonts w:hint="eastAsia"/>
          <w:szCs w:val="24"/>
        </w:rPr>
      </w:pPr>
      <w:r>
        <w:rPr>
          <w:rFonts w:hint="eastAsia"/>
          <w:szCs w:val="24"/>
        </w:rPr>
        <w:t>因乙方产品及实施问题或服务响应不及时给最终用户造成的损失，应由乙方按双方制定的标准对最终用户进行赔偿。</w:t>
      </w:r>
    </w:p>
    <w:p w14:paraId="470F171E">
      <w:pPr>
        <w:keepNext w:val="0"/>
        <w:keepLines w:val="0"/>
        <w:pageBreakBefore w:val="0"/>
        <w:widowControl w:val="0"/>
        <w:numPr>
          <w:ilvl w:val="3"/>
          <w:numId w:val="1"/>
        </w:numPr>
        <w:kinsoku/>
        <w:wordWrap/>
        <w:overflowPunct/>
        <w:topLinePunct w:val="0"/>
        <w:autoSpaceDE/>
        <w:autoSpaceDN/>
        <w:bidi w:val="0"/>
        <w:snapToGrid w:val="0"/>
        <w:spacing w:before="163" w:beforeLines="50" w:after="163" w:afterLines="50" w:line="240" w:lineRule="auto"/>
        <w:jc w:val="both"/>
        <w:outlineLvl w:val="3"/>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维护工具</w:t>
      </w:r>
    </w:p>
    <w:p w14:paraId="35CED5F6">
      <w:pPr>
        <w:pStyle w:val="18"/>
        <w:spacing w:before="120" w:after="120" w:line="360" w:lineRule="auto"/>
        <w:ind w:firstLine="480" w:firstLineChars="200"/>
        <w:rPr>
          <w:szCs w:val="24"/>
        </w:rPr>
      </w:pPr>
      <w:r>
        <w:rPr>
          <w:rFonts w:hint="eastAsia"/>
          <w:szCs w:val="24"/>
          <w:lang w:eastAsia="zh-CN"/>
        </w:rPr>
        <w:t>乙方</w:t>
      </w:r>
      <w:r>
        <w:rPr>
          <w:szCs w:val="24"/>
        </w:rPr>
        <w:t>推荐适用于系统的测试设备与专用工具，</w:t>
      </w:r>
      <w:r>
        <w:rPr>
          <w:rFonts w:hint="eastAsia"/>
          <w:szCs w:val="24"/>
          <w:lang w:eastAsia="zh-CN"/>
        </w:rPr>
        <w:t>甲方</w:t>
      </w:r>
      <w:r>
        <w:rPr>
          <w:szCs w:val="24"/>
        </w:rPr>
        <w:t>购买后用以维护内部使用的硬件。</w:t>
      </w:r>
      <w:r>
        <w:rPr>
          <w:rFonts w:hint="eastAsia"/>
          <w:szCs w:val="24"/>
          <w:lang w:eastAsia="zh-CN"/>
        </w:rPr>
        <w:t>乙方</w:t>
      </w:r>
      <w:r>
        <w:rPr>
          <w:szCs w:val="24"/>
        </w:rPr>
        <w:t>或其它供货商推荐的测试设备与工具的列表提交给</w:t>
      </w:r>
      <w:r>
        <w:rPr>
          <w:rFonts w:hint="eastAsia"/>
          <w:szCs w:val="24"/>
          <w:lang w:eastAsia="zh-CN"/>
        </w:rPr>
        <w:t>甲方</w:t>
      </w:r>
      <w:r>
        <w:rPr>
          <w:szCs w:val="24"/>
        </w:rPr>
        <w:t>，并附目录和采购信息。</w:t>
      </w:r>
    </w:p>
    <w:p w14:paraId="25856C91">
      <w:pPr>
        <w:keepNext w:val="0"/>
        <w:keepLines w:val="0"/>
        <w:pageBreakBefore w:val="0"/>
        <w:widowControl w:val="0"/>
        <w:numPr>
          <w:ilvl w:val="3"/>
          <w:numId w:val="1"/>
        </w:numPr>
        <w:kinsoku/>
        <w:wordWrap/>
        <w:overflowPunct/>
        <w:topLinePunct w:val="0"/>
        <w:autoSpaceDE/>
        <w:autoSpaceDN/>
        <w:bidi w:val="0"/>
        <w:snapToGrid w:val="0"/>
        <w:spacing w:before="163" w:beforeLines="50" w:after="163" w:afterLines="50" w:line="240" w:lineRule="auto"/>
        <w:jc w:val="both"/>
        <w:outlineLvl w:val="3"/>
        <w:rPr>
          <w:rFonts w:hint="eastAsia" w:ascii="宋体" w:hAnsi="宋体" w:eastAsia="宋体" w:cs="宋体"/>
          <w:b/>
          <w:bCs/>
          <w:kern w:val="2"/>
          <w:sz w:val="24"/>
          <w:szCs w:val="24"/>
          <w:highlight w:val="none"/>
          <w:lang w:val="en-US" w:eastAsia="zh-CN" w:bidi="ar-SA"/>
        </w:rPr>
      </w:pPr>
      <w:bookmarkStart w:id="98" w:name="_Toc26744"/>
      <w:bookmarkStart w:id="99" w:name="_Toc330"/>
      <w:r>
        <w:rPr>
          <w:rFonts w:hint="eastAsia" w:ascii="宋体" w:hAnsi="宋体" w:eastAsia="宋体" w:cs="宋体"/>
          <w:b/>
          <w:bCs/>
          <w:kern w:val="2"/>
          <w:sz w:val="24"/>
          <w:szCs w:val="24"/>
          <w:highlight w:val="none"/>
          <w:lang w:val="en-US" w:eastAsia="zh-CN" w:bidi="ar-SA"/>
        </w:rPr>
        <w:t>备件</w:t>
      </w:r>
    </w:p>
    <w:p w14:paraId="25EF8853">
      <w:pPr>
        <w:pStyle w:val="18"/>
        <w:numPr>
          <w:ilvl w:val="0"/>
          <w:numId w:val="17"/>
        </w:numPr>
        <w:adjustRightInd w:val="0"/>
        <w:snapToGrid w:val="0"/>
        <w:spacing w:before="120" w:beforeLines="0" w:after="120" w:afterLines="0" w:line="360" w:lineRule="auto"/>
        <w:ind w:firstLine="357"/>
        <w:rPr>
          <w:szCs w:val="24"/>
        </w:rPr>
      </w:pPr>
      <w:r>
        <w:rPr>
          <w:szCs w:val="24"/>
        </w:rPr>
        <w:t>为保证系统可用性，</w:t>
      </w:r>
      <w:r>
        <w:rPr>
          <w:rFonts w:hint="eastAsia"/>
          <w:szCs w:val="24"/>
          <w:lang w:eastAsia="zh-CN"/>
        </w:rPr>
        <w:t>乙方</w:t>
      </w:r>
      <w:r>
        <w:rPr>
          <w:szCs w:val="24"/>
        </w:rPr>
        <w:t>提供充足的备件。备件将包括：推荐的维修部件和初始提供的运行耗材</w:t>
      </w:r>
      <w:r>
        <w:rPr>
          <w:rFonts w:hint="eastAsia"/>
          <w:szCs w:val="24"/>
        </w:rPr>
        <w:t>等。</w:t>
      </w:r>
    </w:p>
    <w:p w14:paraId="6F01068D">
      <w:pPr>
        <w:pStyle w:val="18"/>
        <w:numPr>
          <w:ilvl w:val="0"/>
          <w:numId w:val="17"/>
        </w:numPr>
        <w:adjustRightInd w:val="0"/>
        <w:snapToGrid w:val="0"/>
        <w:spacing w:before="120" w:beforeLines="0" w:after="120" w:afterLines="0" w:line="360" w:lineRule="auto"/>
        <w:ind w:firstLine="357"/>
        <w:rPr>
          <w:szCs w:val="24"/>
        </w:rPr>
      </w:pPr>
      <w:r>
        <w:rPr>
          <w:szCs w:val="24"/>
        </w:rPr>
        <w:t>所有保修的部</w:t>
      </w:r>
      <w:r>
        <w:rPr>
          <w:rFonts w:hint="eastAsia"/>
          <w:szCs w:val="24"/>
        </w:rPr>
        <w:t>/配</w:t>
      </w:r>
      <w:r>
        <w:rPr>
          <w:szCs w:val="24"/>
        </w:rPr>
        <w:t>件将由</w:t>
      </w:r>
      <w:r>
        <w:rPr>
          <w:rFonts w:hint="eastAsia"/>
          <w:szCs w:val="24"/>
          <w:lang w:eastAsia="zh-CN"/>
        </w:rPr>
        <w:t>乙方</w:t>
      </w:r>
      <w:r>
        <w:rPr>
          <w:szCs w:val="24"/>
        </w:rPr>
        <w:t>在30天内进行更换，</w:t>
      </w:r>
      <w:r>
        <w:rPr>
          <w:rFonts w:hint="eastAsia"/>
          <w:szCs w:val="24"/>
        </w:rPr>
        <w:t>所提供部件必须按原厂型号配置，不得购买除原厂外的第三方部/配件，</w:t>
      </w:r>
      <w:r>
        <w:rPr>
          <w:szCs w:val="24"/>
        </w:rPr>
        <w:t>更换部</w:t>
      </w:r>
      <w:r>
        <w:rPr>
          <w:rFonts w:hint="eastAsia"/>
          <w:szCs w:val="24"/>
        </w:rPr>
        <w:t>/配</w:t>
      </w:r>
      <w:r>
        <w:rPr>
          <w:szCs w:val="24"/>
        </w:rPr>
        <w:t>件不得收取费用。</w:t>
      </w:r>
    </w:p>
    <w:p w14:paraId="7EE4D1D0">
      <w:pPr>
        <w:pStyle w:val="18"/>
        <w:numPr>
          <w:ilvl w:val="0"/>
          <w:numId w:val="17"/>
        </w:numPr>
        <w:adjustRightInd w:val="0"/>
        <w:snapToGrid w:val="0"/>
        <w:spacing w:before="120" w:beforeLines="0" w:after="120" w:afterLines="0" w:line="360" w:lineRule="auto"/>
        <w:ind w:firstLine="357"/>
        <w:rPr>
          <w:szCs w:val="24"/>
        </w:rPr>
      </w:pPr>
      <w:r>
        <w:rPr>
          <w:rFonts w:hint="eastAsia"/>
          <w:szCs w:val="24"/>
          <w:lang w:eastAsia="zh-CN"/>
        </w:rPr>
        <w:t>乙方</w:t>
      </w:r>
      <w:r>
        <w:rPr>
          <w:szCs w:val="24"/>
        </w:rPr>
        <w:t>提供本次所招标建设的系统所需的设备与部件清单，清单包括原厂商的元件编号。</w:t>
      </w:r>
      <w:r>
        <w:rPr>
          <w:rFonts w:hint="eastAsia"/>
          <w:szCs w:val="24"/>
          <w:lang w:eastAsia="zh-CN"/>
        </w:rPr>
        <w:t>乙方</w:t>
      </w:r>
      <w:r>
        <w:rPr>
          <w:szCs w:val="24"/>
        </w:rPr>
        <w:t>提供充足的信息以确保</w:t>
      </w:r>
      <w:r>
        <w:rPr>
          <w:rFonts w:hint="eastAsia"/>
          <w:szCs w:val="24"/>
          <w:lang w:eastAsia="zh-CN"/>
        </w:rPr>
        <w:t>甲方</w:t>
      </w:r>
      <w:r>
        <w:rPr>
          <w:szCs w:val="24"/>
        </w:rPr>
        <w:t>可以直接从原厂商处购买设备。该清单列明所交付的系统各设备和模块的类型和数量。</w:t>
      </w:r>
    </w:p>
    <w:p w14:paraId="08EBB54C">
      <w:pPr>
        <w:keepNext w:val="0"/>
        <w:keepLines w:val="0"/>
        <w:pageBreakBefore w:val="0"/>
        <w:widowControl w:val="0"/>
        <w:numPr>
          <w:ilvl w:val="2"/>
          <w:numId w:val="1"/>
        </w:numPr>
        <w:kinsoku/>
        <w:wordWrap/>
        <w:overflowPunct/>
        <w:topLinePunct w:val="0"/>
        <w:autoSpaceDE/>
        <w:autoSpaceDN/>
        <w:bidi w:val="0"/>
        <w:spacing w:before="163" w:beforeLines="50" w:after="163" w:afterLines="50" w:line="416" w:lineRule="auto"/>
        <w:ind w:left="0" w:firstLine="0" w:firstLineChars="0"/>
        <w:jc w:val="left"/>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结算及归档</w:t>
      </w:r>
      <w:bookmarkEnd w:id="98"/>
      <w:bookmarkEnd w:id="99"/>
    </w:p>
    <w:p w14:paraId="6704B7C8">
      <w:pPr>
        <w:keepNext w:val="0"/>
        <w:keepLines w:val="0"/>
        <w:pageBreakBefore w:val="0"/>
        <w:widowControl w:val="0"/>
        <w:kinsoku/>
        <w:wordWrap/>
        <w:overflowPunct/>
        <w:topLinePunct w:val="0"/>
        <w:autoSpaceDE/>
        <w:autoSpaceDN/>
        <w:bidi w:val="0"/>
        <w:ind w:firstLine="480" w:firstLineChars="200"/>
        <w:rPr>
          <w:rFonts w:hint="eastAsia" w:ascii="宋体" w:hAnsi="宋体" w:eastAsia="宋体" w:cs="宋体"/>
          <w:sz w:val="24"/>
          <w:szCs w:val="24"/>
        </w:rPr>
      </w:pPr>
      <w:r>
        <w:rPr>
          <w:rFonts w:hint="eastAsia" w:ascii="宋体" w:hAnsi="宋体" w:eastAsia="宋体" w:cs="宋体"/>
          <w:kern w:val="2"/>
          <w:sz w:val="24"/>
          <w:szCs w:val="24"/>
          <w:highlight w:val="none"/>
          <w:lang w:val="en-US" w:eastAsia="zh-CN" w:bidi="ar-SA"/>
        </w:rPr>
        <w:t>竣工验收后，中标方须配合甲方按项目建设相关规定在15天内完成合同结算工作，按档案归档相关规定在45天内完成归档工作。</w:t>
      </w:r>
      <w:bookmarkEnd w:id="7"/>
    </w:p>
    <w:sectPr>
      <w:footerReference r:id="rId5" w:type="default"/>
      <w:pgSz w:w="11906" w:h="16838"/>
      <w:pgMar w:top="1440" w:right="1800" w:bottom="1440" w:left="1800" w:header="851" w:footer="992"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72B48">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9969FAD">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39969FAD">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51050"/>
    <w:multiLevelType w:val="multilevel"/>
    <w:tmpl w:val="85D51050"/>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BF205925"/>
    <w:multiLevelType w:val="multilevel"/>
    <w:tmpl w:val="BF205925"/>
    <w:lvl w:ilvl="0" w:tentative="0">
      <w:start w:val="1"/>
      <w:numFmt w:val="decimal"/>
      <w:lvlText w:val="%1)"/>
      <w:lvlJc w:val="left"/>
      <w:pPr>
        <w:tabs>
          <w:tab w:val="left" w:pos="840"/>
        </w:tabs>
        <w:ind w:left="840" w:hanging="4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CF092B84"/>
    <w:multiLevelType w:val="multilevel"/>
    <w:tmpl w:val="CF092B84"/>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3">
    <w:nsid w:val="0000000A"/>
    <w:multiLevelType w:val="singleLevel"/>
    <w:tmpl w:val="0000000A"/>
    <w:lvl w:ilvl="0" w:tentative="0">
      <w:start w:val="1"/>
      <w:numFmt w:val="decimal"/>
      <w:lvlText w:val="%1)"/>
      <w:lvlJc w:val="left"/>
      <w:pPr>
        <w:ind w:left="440" w:hanging="440"/>
      </w:pPr>
      <w:rPr>
        <w:rFonts w:hint="default"/>
      </w:rPr>
    </w:lvl>
  </w:abstractNum>
  <w:abstractNum w:abstractNumId="4">
    <w:nsid w:val="1E3C1F7A"/>
    <w:multiLevelType w:val="multilevel"/>
    <w:tmpl w:val="1E3C1F7A"/>
    <w:lvl w:ilvl="0" w:tentative="0">
      <w:start w:val="1"/>
      <w:numFmt w:val="decimal"/>
      <w:lvlText w:val="%1)"/>
      <w:lvlJc w:val="left"/>
      <w:pPr>
        <w:ind w:left="900" w:hanging="420"/>
      </w:pPr>
      <w:rPr>
        <w:rFonts w:hint="default" w:ascii="Arial" w:hAnsi="Arial" w:cs="Arial"/>
      </w:rPr>
    </w:lvl>
    <w:lvl w:ilvl="1" w:tentative="0">
      <w:start w:val="1"/>
      <w:numFmt w:val="lowerLetter"/>
      <w:lvlText w:val="%2)"/>
      <w:lvlJc w:val="left"/>
      <w:pPr>
        <w:ind w:left="1320" w:hanging="420"/>
      </w:pPr>
      <w:rPr>
        <w:rFonts w:hint="default" w:ascii="Arial" w:hAnsi="Arial" w:cs="Arial"/>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23B45C8A"/>
    <w:multiLevelType w:val="multilevel"/>
    <w:tmpl w:val="23B45C8A"/>
    <w:lvl w:ilvl="0" w:tentative="0">
      <w:start w:val="1"/>
      <w:numFmt w:val="lowerLetter"/>
      <w:lvlText w:val="%1)"/>
      <w:lvlJc w:val="left"/>
      <w:pPr>
        <w:tabs>
          <w:tab w:val="left" w:pos="0"/>
        </w:tabs>
        <w:ind w:left="0" w:hanging="420"/>
      </w:p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6">
    <w:nsid w:val="28B60574"/>
    <w:multiLevelType w:val="multilevel"/>
    <w:tmpl w:val="28B60574"/>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34B003ED"/>
    <w:multiLevelType w:val="multilevel"/>
    <w:tmpl w:val="34B003ED"/>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34DF1A87"/>
    <w:multiLevelType w:val="multilevel"/>
    <w:tmpl w:val="34DF1A87"/>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9">
    <w:nsid w:val="434A3C5A"/>
    <w:multiLevelType w:val="multilevel"/>
    <w:tmpl w:val="434A3C5A"/>
    <w:lvl w:ilvl="0" w:tentative="0">
      <w:start w:val="1"/>
      <w:numFmt w:val="decimal"/>
      <w:lvlText w:val="%1)"/>
      <w:lvlJc w:val="left"/>
      <w:pPr>
        <w:ind w:left="900" w:hanging="420"/>
      </w:pPr>
      <w:rPr>
        <w:rFonts w:hint="default" w:ascii="Arial" w:hAnsi="Arial" w:cs="Arial"/>
      </w:rPr>
    </w:lvl>
    <w:lvl w:ilvl="1" w:tentative="0">
      <w:start w:val="1"/>
      <w:numFmt w:val="lowerLetter"/>
      <w:lvlText w:val="%2)"/>
      <w:lvlJc w:val="left"/>
      <w:pPr>
        <w:ind w:left="1320" w:hanging="420"/>
      </w:pPr>
      <w:rPr>
        <w:rFonts w:hint="default" w:ascii="Arial" w:hAnsi="Arial" w:cs="Arial"/>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43666D39"/>
    <w:multiLevelType w:val="multilevel"/>
    <w:tmpl w:val="43666D39"/>
    <w:lvl w:ilvl="0" w:tentative="0">
      <w:start w:val="1"/>
      <w:numFmt w:val="lowerLetter"/>
      <w:lvlText w:val="%1)"/>
      <w:lvlJc w:val="left"/>
      <w:pPr>
        <w:tabs>
          <w:tab w:val="left" w:pos="0"/>
        </w:tabs>
        <w:ind w:left="0" w:hanging="420"/>
      </w:p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1">
    <w:nsid w:val="52A37F9F"/>
    <w:multiLevelType w:val="multilevel"/>
    <w:tmpl w:val="52A37F9F"/>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2">
    <w:nsid w:val="56FA0B6B"/>
    <w:multiLevelType w:val="multilevel"/>
    <w:tmpl w:val="56FA0B6B"/>
    <w:lvl w:ilvl="0" w:tentative="0">
      <w:start w:val="1"/>
      <w:numFmt w:val="lowerLetter"/>
      <w:lvlText w:val="%1)"/>
      <w:lvlJc w:val="left"/>
      <w:pPr>
        <w:tabs>
          <w:tab w:val="left" w:pos="0"/>
        </w:tabs>
        <w:ind w:left="0" w:hanging="420"/>
      </w:p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3">
    <w:nsid w:val="6883480C"/>
    <w:multiLevelType w:val="multilevel"/>
    <w:tmpl w:val="6883480C"/>
    <w:lvl w:ilvl="0" w:tentative="0">
      <w:start w:val="1"/>
      <w:numFmt w:val="decimal"/>
      <w:pStyle w:val="21"/>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14">
    <w:nsid w:val="6C123325"/>
    <w:multiLevelType w:val="multilevel"/>
    <w:tmpl w:val="6C123325"/>
    <w:lvl w:ilvl="0" w:tentative="0">
      <w:start w:val="1"/>
      <w:numFmt w:val="lowerLetter"/>
      <w:lvlText w:val="%1)"/>
      <w:lvlJc w:val="left"/>
      <w:pPr>
        <w:ind w:left="840" w:hanging="420"/>
      </w:pPr>
      <w:rPr>
        <w:rFonts w:hint="default" w:ascii="Arial" w:hAnsi="Arial" w:cs="Arial"/>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73027085"/>
    <w:multiLevelType w:val="multilevel"/>
    <w:tmpl w:val="73027085"/>
    <w:lvl w:ilvl="0" w:tentative="0">
      <w:start w:val="1"/>
      <w:numFmt w:val="lowerLetter"/>
      <w:lvlText w:val="%1)"/>
      <w:lvlJc w:val="left"/>
      <w:pPr>
        <w:ind w:left="840" w:hanging="420"/>
      </w:pPr>
      <w:rPr>
        <w:rFonts w:hint="default" w:ascii="Arial" w:hAnsi="Arial" w:cs="Arial"/>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7662619E"/>
    <w:multiLevelType w:val="multilevel"/>
    <w:tmpl w:val="7662619E"/>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num w:numId="1">
    <w:abstractNumId w:val="2"/>
  </w:num>
  <w:num w:numId="2">
    <w:abstractNumId w:val="1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5"/>
  </w:num>
  <w:num w:numId="8">
    <w:abstractNumId w:val="11"/>
  </w:num>
  <w:num w:numId="9">
    <w:abstractNumId w:val="8"/>
  </w:num>
  <w:num w:numId="10">
    <w:abstractNumId w:val="16"/>
  </w:num>
  <w:num w:numId="11">
    <w:abstractNumId w:val="3"/>
  </w:num>
  <w:num w:numId="12">
    <w:abstractNumId w:val="0"/>
  </w:num>
  <w:num w:numId="13">
    <w:abstractNumId w:val="6"/>
  </w:num>
  <w:num w:numId="14">
    <w:abstractNumId w:val="7"/>
  </w:num>
  <w:num w:numId="15">
    <w:abstractNumId w:val="12"/>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C2AAA"/>
    <w:rsid w:val="01C26E13"/>
    <w:rsid w:val="060D0FFA"/>
    <w:rsid w:val="06A81AFB"/>
    <w:rsid w:val="07586AD6"/>
    <w:rsid w:val="076269AA"/>
    <w:rsid w:val="091C11FF"/>
    <w:rsid w:val="0BD14F70"/>
    <w:rsid w:val="0CA23383"/>
    <w:rsid w:val="0D4A6D5B"/>
    <w:rsid w:val="0FFB5ED9"/>
    <w:rsid w:val="104258F5"/>
    <w:rsid w:val="11EB0798"/>
    <w:rsid w:val="131360FF"/>
    <w:rsid w:val="136178EF"/>
    <w:rsid w:val="136A056A"/>
    <w:rsid w:val="139F22A2"/>
    <w:rsid w:val="13DC488E"/>
    <w:rsid w:val="16392C7B"/>
    <w:rsid w:val="16FF09D2"/>
    <w:rsid w:val="178570A5"/>
    <w:rsid w:val="1BEF8E38"/>
    <w:rsid w:val="1E6E4A7A"/>
    <w:rsid w:val="1E8A43AA"/>
    <w:rsid w:val="1FCB1D85"/>
    <w:rsid w:val="21C734F7"/>
    <w:rsid w:val="21DF6B7B"/>
    <w:rsid w:val="23CD7FC3"/>
    <w:rsid w:val="246A3ACB"/>
    <w:rsid w:val="2513335E"/>
    <w:rsid w:val="25AF3943"/>
    <w:rsid w:val="2C9E029E"/>
    <w:rsid w:val="2D0223EB"/>
    <w:rsid w:val="2D0D3776"/>
    <w:rsid w:val="2DEFAA99"/>
    <w:rsid w:val="2E94389C"/>
    <w:rsid w:val="30B64B5F"/>
    <w:rsid w:val="30F75985"/>
    <w:rsid w:val="32134DB6"/>
    <w:rsid w:val="32142838"/>
    <w:rsid w:val="3355458C"/>
    <w:rsid w:val="352A7547"/>
    <w:rsid w:val="374259B8"/>
    <w:rsid w:val="3C247DAE"/>
    <w:rsid w:val="3E5B195E"/>
    <w:rsid w:val="3E9EDE43"/>
    <w:rsid w:val="3F7F08E5"/>
    <w:rsid w:val="3F9FBADD"/>
    <w:rsid w:val="417F6CE3"/>
    <w:rsid w:val="44D8532E"/>
    <w:rsid w:val="458C617C"/>
    <w:rsid w:val="470D193A"/>
    <w:rsid w:val="47B75B10"/>
    <w:rsid w:val="4ED66E64"/>
    <w:rsid w:val="4EE31253"/>
    <w:rsid w:val="52A720B3"/>
    <w:rsid w:val="54843BB7"/>
    <w:rsid w:val="549403B5"/>
    <w:rsid w:val="58657096"/>
    <w:rsid w:val="58A77AFF"/>
    <w:rsid w:val="59854F2F"/>
    <w:rsid w:val="5A4E2B2F"/>
    <w:rsid w:val="5D1B794C"/>
    <w:rsid w:val="5D467388"/>
    <w:rsid w:val="5E9D369D"/>
    <w:rsid w:val="6061582C"/>
    <w:rsid w:val="60F0438E"/>
    <w:rsid w:val="61580D0C"/>
    <w:rsid w:val="62926DC6"/>
    <w:rsid w:val="62C72479"/>
    <w:rsid w:val="6A10101C"/>
    <w:rsid w:val="6A9C0F83"/>
    <w:rsid w:val="6BEC384D"/>
    <w:rsid w:val="6BF29C5A"/>
    <w:rsid w:val="6BFBFC6B"/>
    <w:rsid w:val="6F2581B8"/>
    <w:rsid w:val="6F555835"/>
    <w:rsid w:val="6FFFE24E"/>
    <w:rsid w:val="713954C7"/>
    <w:rsid w:val="718E3A51"/>
    <w:rsid w:val="72D339DB"/>
    <w:rsid w:val="74A66292"/>
    <w:rsid w:val="756F17E0"/>
    <w:rsid w:val="769DD408"/>
    <w:rsid w:val="76DB492B"/>
    <w:rsid w:val="76E86DB9"/>
    <w:rsid w:val="76F76BDF"/>
    <w:rsid w:val="76FB1390"/>
    <w:rsid w:val="77851400"/>
    <w:rsid w:val="77862DCA"/>
    <w:rsid w:val="7C730498"/>
    <w:rsid w:val="7CD706E3"/>
    <w:rsid w:val="7D78B9DD"/>
    <w:rsid w:val="7DECBB6B"/>
    <w:rsid w:val="7FFE314B"/>
    <w:rsid w:val="7FFF82BD"/>
    <w:rsid w:val="8BEFE7A7"/>
    <w:rsid w:val="9336FD77"/>
    <w:rsid w:val="97EFF3BB"/>
    <w:rsid w:val="B7D6CB00"/>
    <w:rsid w:val="DBBE5B10"/>
    <w:rsid w:val="DCBA735C"/>
    <w:rsid w:val="DFFFA9DF"/>
    <w:rsid w:val="EE5F58F2"/>
    <w:rsid w:val="EFEFABCA"/>
    <w:rsid w:val="FBFA77B8"/>
    <w:rsid w:val="FDFAD30C"/>
    <w:rsid w:val="FEEBAF1A"/>
    <w:rsid w:val="FFF5686C"/>
    <w:rsid w:val="FFFFC547"/>
  </w:rsids>
  <m:mathPr>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50" w:afterLines="50" w:line="480" w:lineRule="exact"/>
      <w:jc w:val="both"/>
    </w:pPr>
    <w:rPr>
      <w:rFonts w:ascii="Calibri" w:hAnsi="Calibri" w:eastAsia="宋体" w:cs="Times New Roman"/>
      <w:kern w:val="2"/>
      <w:sz w:val="24"/>
      <w:szCs w:val="22"/>
      <w:lang w:val="en-US" w:eastAsia="zh-CN" w:bidi="ar-SA"/>
    </w:rPr>
  </w:style>
  <w:style w:type="paragraph" w:styleId="2">
    <w:name w:val="heading 1"/>
    <w:basedOn w:val="1"/>
    <w:next w:val="1"/>
    <w:qFormat/>
    <w:uiPriority w:val="9"/>
    <w:pPr>
      <w:keepNext/>
      <w:keepLines/>
      <w:numPr>
        <w:ilvl w:val="0"/>
        <w:numId w:val="1"/>
      </w:numPr>
      <w:spacing w:before="156" w:after="156" w:line="578" w:lineRule="auto"/>
      <w:outlineLvl w:val="0"/>
    </w:pPr>
    <w:rPr>
      <w:b/>
      <w:bCs/>
      <w:kern w:val="44"/>
      <w:sz w:val="32"/>
      <w:szCs w:val="44"/>
    </w:rPr>
  </w:style>
  <w:style w:type="paragraph" w:styleId="3">
    <w:name w:val="heading 2"/>
    <w:basedOn w:val="1"/>
    <w:next w:val="1"/>
    <w:unhideWhenUsed/>
    <w:qFormat/>
    <w:uiPriority w:val="9"/>
    <w:pPr>
      <w:numPr>
        <w:ilvl w:val="1"/>
        <w:numId w:val="1"/>
      </w:numPr>
      <w:snapToGrid w:val="0"/>
      <w:spacing w:before="120" w:after="120" w:line="240" w:lineRule="auto"/>
      <w:outlineLvl w:val="1"/>
    </w:pPr>
    <w:rPr>
      <w:rFonts w:ascii="Calibri Light" w:hAnsi="Calibri Light" w:eastAsia="宋体" w:cs="Times New Roman"/>
      <w:b/>
      <w:bCs/>
      <w:sz w:val="32"/>
      <w:szCs w:val="32"/>
    </w:rPr>
  </w:style>
  <w:style w:type="paragraph" w:styleId="4">
    <w:name w:val="heading 3"/>
    <w:basedOn w:val="1"/>
    <w:next w:val="1"/>
    <w:unhideWhenUsed/>
    <w:qFormat/>
    <w:uiPriority w:val="9"/>
    <w:pPr>
      <w:keepNext/>
      <w:keepLines/>
      <w:numPr>
        <w:ilvl w:val="2"/>
        <w:numId w:val="1"/>
      </w:numPr>
      <w:spacing w:before="50" w:after="50" w:line="416" w:lineRule="auto"/>
      <w:ind w:left="0" w:firstLine="0" w:firstLineChars="0"/>
      <w:jc w:val="left"/>
      <w:outlineLvl w:val="2"/>
    </w:pPr>
    <w:rPr>
      <w:rFonts w:ascii="Calibri" w:hAnsi="Calibri"/>
      <w:b/>
      <w:bCs/>
      <w:sz w:val="32"/>
      <w:szCs w:val="32"/>
    </w:rPr>
  </w:style>
  <w:style w:type="paragraph" w:styleId="5">
    <w:name w:val="heading 4"/>
    <w:basedOn w:val="1"/>
    <w:next w:val="1"/>
    <w:unhideWhenUsed/>
    <w:qFormat/>
    <w:uiPriority w:val="9"/>
    <w:pPr>
      <w:keepNext/>
      <w:keepLines/>
      <w:numPr>
        <w:ilvl w:val="3"/>
        <w:numId w:val="1"/>
      </w:numPr>
      <w:snapToGrid w:val="0"/>
      <w:spacing w:before="120" w:after="120" w:line="240" w:lineRule="auto"/>
      <w:outlineLvl w:val="3"/>
    </w:pPr>
    <w:rPr>
      <w:rFonts w:ascii="Calibri Light" w:hAnsi="Calibri Light" w:eastAsia="宋体" w:cs="Times New Roman"/>
      <w:b/>
      <w:bCs/>
      <w:sz w:val="28"/>
      <w:szCs w:val="28"/>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spacing w:line="360" w:lineRule="auto"/>
      <w:ind w:firstLine="420" w:firstLineChars="200"/>
    </w:pPr>
    <w:rPr>
      <w:rFonts w:ascii="宋体" w:hAnsi="宋体" w:eastAsia="宋体" w:cs="Times New Roman"/>
      <w:kern w:val="0"/>
      <w:szCs w:val="20"/>
    </w:rPr>
  </w:style>
  <w:style w:type="paragraph" w:styleId="7">
    <w:name w:val="Body Text"/>
    <w:basedOn w:val="1"/>
    <w:next w:val="8"/>
    <w:qFormat/>
    <w:uiPriority w:val="99"/>
    <w:pPr>
      <w:widowControl/>
      <w:spacing w:after="120"/>
      <w:jc w:val="left"/>
    </w:pPr>
    <w:rPr>
      <w:rFonts w:ascii="Times New Roman" w:hAnsi="Times New Roman" w:eastAsia="宋体" w:cs="Times New Roman"/>
      <w:kern w:val="0"/>
      <w:szCs w:val="24"/>
    </w:rPr>
  </w:style>
  <w:style w:type="paragraph" w:styleId="8">
    <w:name w:val="Title"/>
    <w:basedOn w:val="1"/>
    <w:next w:val="1"/>
    <w:qFormat/>
    <w:uiPriority w:val="0"/>
    <w:pPr>
      <w:spacing w:before="240" w:after="60" w:line="360" w:lineRule="auto"/>
      <w:ind w:firstLine="480" w:firstLineChars="200"/>
      <w:jc w:val="center"/>
      <w:outlineLvl w:val="0"/>
    </w:pPr>
    <w:rPr>
      <w:rFonts w:ascii="Arial" w:hAnsi="Arial" w:eastAsia="宋体" w:cs="Arial"/>
      <w:b/>
      <w:bCs/>
      <w:kern w:val="0"/>
      <w:sz w:val="32"/>
      <w:szCs w:val="3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index 1"/>
    <w:basedOn w:val="1"/>
    <w:next w:val="1"/>
    <w:qFormat/>
    <w:uiPriority w:val="0"/>
    <w:pPr>
      <w:spacing w:beforeLines="0" w:afterLines="0" w:line="240" w:lineRule="auto"/>
    </w:pPr>
    <w:rPr>
      <w:rFonts w:ascii="Times New Roman" w:hAnsi="Times New Roman" w:eastAsia="宋体" w:cs="Times New Roman"/>
      <w:sz w:val="21"/>
      <w:szCs w:val="24"/>
    </w:rPr>
  </w:style>
  <w:style w:type="paragraph" w:styleId="12">
    <w:name w:val="Body Text First Indent"/>
    <w:basedOn w:val="7"/>
    <w:qFormat/>
    <w:uiPriority w:val="0"/>
    <w:pPr>
      <w:widowControl w:val="0"/>
      <w:ind w:firstLine="420" w:firstLineChars="100"/>
      <w:jc w:val="both"/>
    </w:pPr>
    <w:rPr>
      <w:rFonts w:ascii="宋体" w:hAnsi="宋体"/>
    </w:rPr>
  </w:style>
  <w:style w:type="table" w:styleId="1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
    <w:name w:val="List Paragraph"/>
    <w:basedOn w:val="1"/>
    <w:qFormat/>
    <w:uiPriority w:val="34"/>
    <w:pPr>
      <w:ind w:firstLine="420" w:firstLineChars="200"/>
    </w:pPr>
  </w:style>
  <w:style w:type="paragraph" w:customStyle="1" w:styleId="17">
    <w:name w:val="正文文字样式"/>
    <w:basedOn w:val="1"/>
    <w:qFormat/>
    <w:uiPriority w:val="0"/>
    <w:pPr>
      <w:ind w:firstLine="480" w:firstLineChars="200"/>
    </w:pPr>
    <w:rPr>
      <w:rFonts w:ascii="Times New Roman" w:hAnsi="Times New Roman" w:eastAsia="宋体" w:cs="Times New Roman"/>
      <w:szCs w:val="24"/>
    </w:rPr>
  </w:style>
  <w:style w:type="paragraph" w:customStyle="1" w:styleId="18">
    <w:name w:val="样式 正文首行缩进 + 段前: 0.5 行 段后: 0.5 行"/>
    <w:basedOn w:val="12"/>
    <w:qFormat/>
    <w:uiPriority w:val="0"/>
    <w:pPr>
      <w:spacing w:before="156" w:after="156"/>
      <w:ind w:firstLine="0" w:firstLineChars="0"/>
    </w:pPr>
    <w:rPr>
      <w:rFonts w:ascii="Times New Roman" w:hAnsi="Times New Roman" w:cs="宋体"/>
      <w:kern w:val="2"/>
      <w:szCs w:val="20"/>
    </w:rPr>
  </w:style>
  <w:style w:type="paragraph" w:customStyle="1" w:styleId="19">
    <w:name w:val="GEDI正文样式"/>
    <w:basedOn w:val="17"/>
    <w:qFormat/>
    <w:uiPriority w:val="0"/>
    <w:pPr>
      <w:adjustRightInd w:val="0"/>
      <w:snapToGrid w:val="0"/>
      <w:spacing w:line="480" w:lineRule="atLeast"/>
    </w:pPr>
  </w:style>
  <w:style w:type="paragraph" w:customStyle="1" w:styleId="20">
    <w:name w:val="GEDI一级项目编号"/>
    <w:basedOn w:val="21"/>
    <w:qFormat/>
    <w:uiPriority w:val="0"/>
    <w:pPr>
      <w:numPr>
        <w:ilvl w:val="0"/>
        <w:numId w:val="0"/>
      </w:numPr>
      <w:tabs>
        <w:tab w:val="left" w:pos="839"/>
      </w:tabs>
      <w:adjustRightInd w:val="0"/>
      <w:snapToGrid w:val="0"/>
      <w:spacing w:line="480" w:lineRule="atLeast"/>
    </w:pPr>
  </w:style>
  <w:style w:type="paragraph" w:customStyle="1" w:styleId="21">
    <w:name w:val="1级列项"/>
    <w:basedOn w:val="17"/>
    <w:qFormat/>
    <w:uiPriority w:val="0"/>
    <w:pPr>
      <w:numPr>
        <w:ilvl w:val="0"/>
        <w:numId w:val="2"/>
      </w:numPr>
      <w:ind w:firstLine="0" w:firstLineChars="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Properties xmlns:vt="http://schemas.openxmlformats.org/officeDocument/2006/docPropsVTypes" xmlns="http://schemas.openxmlformats.org/officeDocument/2006/custom-properties">
  <property name="KSOProductBuildVer" pid="2" fmtid="{D5CDD505-2E9C-101B-9397-08002B2CF9AE}">
    <vt:lpwstr>2052-11.8.2.12085</vt:lpwstr>
  </property>
  <property name="KSOTemplateDocerSaveRecord" pid="3" fmtid="{D5CDD505-2E9C-101B-9397-08002B2CF9AE}">
    <vt:lpwstr>eyJoZGlkIjoiZmRlODY2OGVkZmU1MTUwYzUxMTNhNGIxYTU1NmRjMTYiLCJ1c2VySWQiOiI2NzE5MzM5NDgifQ==</vt:lpwstr>
  </property>
  <property name="ICV" pid="4" fmtid="{D5CDD505-2E9C-101B-9397-08002B2CF9AE}">
    <vt:lpwstr>9CFD84E9C06340DB8A6AA7C27C0CC2F1</vt:lpwstr>
  </property>
</Properties>
</file>

<file path=customXml/item3.xml><?xml version="1.0" encoding="utf-8"?>
<Properties xmlns:vt="http://schemas.openxmlformats.org/officeDocument/2006/docPropsVTypes" xmlns="http://schemas.openxmlformats.org/officeDocument/2006/extended-properties">
  <Template>Normal.dotm</Template>
  <Pages>13</Pages>
  <Words>5713</Words>
  <Characters>5797</Characters>
  <Lines>0</Lines>
  <Paragraphs>0</Paragraphs>
  <TotalTime>0</TotalTime>
  <ScaleCrop>false</ScaleCrop>
  <LinksUpToDate>false</LinksUpToDate>
  <CharactersWithSpaces>5808</CharactersWithSpaces>
  <Application>WPS Office_11.8.2.12085_F1E327BC-269C-435d-A152-05C5408002CA</Application>
  <DocSecurity>0</DocSecurity>
</Properties>
</file>

<file path=customXml/item4.xml><?xml version="1.0" encoding="utf-8"?>
<cp:coreProperties xmlns:xsi="http://www.w3.org/2001/XMLSchema-instance" xmlns:cp="http://schemas.openxmlformats.org/package/2006/metadata/core-properties" xmlns:dc="http://purl.org/dc/elements/1.1/" xmlns:dcterms="http://purl.org/dc/terms/" xmlns:dcmitype="http://purl.org/dc/dcmitype/">
  <dcterms:created xsi:type="dcterms:W3CDTF">2025-12-22T10:08:58Z</dcterms:created>
  <dc:creator>71948</dc:creator>
  <cp:lastModifiedBy>陈薏洁</cp:lastModifiedBy>
  <dcterms:modified xsi:type="dcterms:W3CDTF">2025-12-23T06:28:47Z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781e5b-9e3a-4f80-8564-fde3252a4330}">
  <ds:schemaRefs/>
</ds:datastoreItem>
</file>

<file path=customXml/itemProps3.xml><?xml version="1.0" encoding="utf-8"?>
<ds:datastoreItem xmlns:ds="http://schemas.openxmlformats.org/officeDocument/2006/customXml" ds:itemID="{f5f04e03-c7cd-43d7-aed7-715da9838ba7}">
  <ds:schemaRefs/>
</ds:datastoreItem>
</file>

<file path=customXml/itemProps4.xml><?xml version="1.0" encoding="utf-8"?>
<ds:datastoreItem xmlns:ds="http://schemas.openxmlformats.org/officeDocument/2006/customXml" ds:itemID="{3ba52a7f-ce5e-4ca3-b8f3-ee0df148f41b}">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4032</Words>
  <Characters>4105</Characters>
  <Lines>0</Lines>
  <Paragraphs>0</Paragraphs>
  <TotalTime>0</TotalTime>
  <ScaleCrop>false</ScaleCrop>
  <LinksUpToDate>false</LinksUpToDate>
  <CharactersWithSpaces>4111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2025-12-23T02:08:00Z</dcterms:created>
  <dc:creator>71948</dc:creator>
  <cp:lastModifiedBy>mch</cp:lastModifiedBy>
  <dcterms:modified xsi:type="dcterms:W3CDTF">2026-06-23T01:28:28Z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2B3DFE8A115D424C80775A7F2375C7B7</vt:lpwstr>
  </property>
  <property fmtid="{D5CDD505-2E9C-101B-9397-08002B2CF9AE}" pid="4" name="KSOTemplateDocerSaveRecord">
    <vt:lpwstr>eyJoZGlkIjoiMDY3ODJhNGM4MDcyYTFhNTVhNTIxMWJmNWE1YzVjOGMiLCJ1c2VySWQiOiIyNTcxMTg5NDUifQ==</vt:lpwstr>
  </property>
</Properties>
</file>