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租赁房屋具体要求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租赁房屋</w:t>
      </w:r>
      <w:r>
        <w:rPr>
          <w:rFonts w:hint="eastAsia" w:ascii="仿宋_GB2312" w:hAnsi="仿宋_GB2312" w:eastAsia="仿宋_GB2312" w:cs="仿宋_GB2312"/>
          <w:sz w:val="32"/>
          <w:szCs w:val="32"/>
        </w:rPr>
        <w:t>数量：2套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租赁房屋</w:t>
      </w:r>
      <w:r>
        <w:rPr>
          <w:rFonts w:hint="eastAsia" w:ascii="仿宋_GB2312" w:hAnsi="仿宋_GB2312" w:eastAsia="仿宋_GB2312" w:cs="仿宋_GB2312"/>
          <w:sz w:val="32"/>
          <w:szCs w:val="32"/>
        </w:rPr>
        <w:t>面积：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每套</w:t>
      </w:r>
      <w:r>
        <w:rPr>
          <w:rFonts w:hint="eastAsia" w:ascii="仿宋_GB2312" w:hAnsi="仿宋_GB2312" w:eastAsia="仿宋_GB2312" w:cs="仿宋_GB2312"/>
          <w:sz w:val="32"/>
          <w:szCs w:val="32"/>
        </w:rPr>
        <w:t>90㎡以上、135㎡以下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租赁房屋</w:t>
      </w:r>
      <w:r>
        <w:rPr>
          <w:rFonts w:hint="eastAsia" w:ascii="仿宋_GB2312" w:hAnsi="仿宋_GB2312" w:eastAsia="仿宋_GB2312" w:cs="仿宋_GB2312"/>
          <w:sz w:val="32"/>
          <w:szCs w:val="32"/>
        </w:rPr>
        <w:t>地点：距离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广州市天河区华穗路6号大楼半径2公里范围内（根据入住人实际需求，可适当放宽该范围）。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房屋租期：自租赁合同签订之日起24个月。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房屋租赁费预估：租金1.45万元/月/套。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交原则：报价供应商提供报价表和租赁方案，采购方根据各供应商的报价情况和提供的租赁方案进行综合比选，择优选择成交供应商。（租赁方案包括提供符合采购方要求的可租赁房源的情况、为采购方办理房屋租赁服务的具体内容、以及帮采购方递交租赁房屋开票资料等售后服务情况）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服务期：</w:t>
      </w:r>
      <w:r>
        <w:rPr>
          <w:rFonts w:hint="eastAsia" w:ascii="仿宋_GB2312" w:hAnsi="仿宋_GB2312" w:eastAsia="仿宋_GB2312" w:cs="仿宋_GB2312"/>
          <w:sz w:val="32"/>
          <w:szCs w:val="32"/>
        </w:rPr>
        <w:t>自成交通知书发出之日起5个工作日内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成交供应商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按采购方要求确定合适房源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验收支付原则：采购方与出租方签订租赁合同后，成交供应商按成交价格开具中介服务费增值税专用发票，采购方向成交供应商支付服务费。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报价要求详见报价表。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报价表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3120"/>
        <w:gridCol w:w="3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509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120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基准价</w:t>
            </w:r>
          </w:p>
        </w:tc>
        <w:tc>
          <w:tcPr>
            <w:tcW w:w="3690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下浮率报价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509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中介服务费</w:t>
            </w:r>
          </w:p>
        </w:tc>
        <w:tc>
          <w:tcPr>
            <w:tcW w:w="3120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每套租赁房屋，一次性收取房屋一个月租金（以租赁合同为准）</w:t>
            </w:r>
          </w:p>
        </w:tc>
        <w:tc>
          <w:tcPr>
            <w:tcW w:w="3690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下浮率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%</w:t>
            </w:r>
          </w:p>
          <w:p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（下浮率报价最低为0%，小于0%的为无效报价，大于或等于0%的为有效报价）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备注：1.该价格为含税价，根据每套租赁房屋的月租金*（1-下浮率报价）的中介服务费单价，按照实际租赁房屋数量据实结算。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2.因系统设置原因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导致系统填报的报价与本报价表不一致的，以本报价表加盖公章为准。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9A7E66"/>
    <w:multiLevelType w:val="singleLevel"/>
    <w:tmpl w:val="979A7E6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0E6CBB"/>
    <w:rsid w:val="058F06D0"/>
    <w:rsid w:val="2B1E7A75"/>
    <w:rsid w:val="2E480AEE"/>
    <w:rsid w:val="39BD7368"/>
    <w:rsid w:val="4AF70F36"/>
    <w:rsid w:val="740E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2026-06-15T04:17:00Z</dcterms:created>
  <dc:creator>刘璐</dc:creator>
  <cp:lastModifiedBy>刘璐</cp:lastModifiedBy>
  <dcterms:modified xsi:type="dcterms:W3CDTF">2026-06-22T07:12:46Z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3360082E7A874C85AD781C3063AFCEED</vt:lpwstr>
  </property>
</Properties>
</file>