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kern w:val="0"/>
          <w:sz w:val="32"/>
          <w:szCs w:val="32"/>
          <w:lang w:val="en-US" w:eastAsia="zh-CN"/>
        </w:rPr>
      </w:pPr>
      <w:bookmarkStart w:id="0" w:name="_Toc24967"/>
      <w:r>
        <w:rPr>
          <w:rFonts w:hint="eastAsia" w:ascii="宋体" w:hAnsi="宋体" w:cs="宋体"/>
          <w:b/>
          <w:bCs/>
          <w:kern w:val="0"/>
          <w:sz w:val="36"/>
          <w:szCs w:val="36"/>
          <w:lang w:val="en-US" w:eastAsia="zh-CN"/>
        </w:rPr>
        <w:t>南网数字集团信通公司2026年通信电源及蓄电池核容一体化装置型式试验零星采购项目技术规范书</w:t>
      </w:r>
    </w:p>
    <w:bookmarkEnd w:id="0"/>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ascii="宋体" w:hAnsi="宋体" w:eastAsia="宋体"/>
          <w:b/>
          <w:sz w:val="24"/>
          <w:szCs w:val="24"/>
          <w:highlight w:val="none"/>
        </w:rPr>
      </w:pPr>
      <w:r>
        <w:rPr>
          <w:rFonts w:hint="eastAsia" w:ascii="宋体" w:hAnsi="宋体"/>
          <w:b/>
          <w:sz w:val="24"/>
          <w:szCs w:val="24"/>
          <w:highlight w:val="none"/>
          <w:lang w:val="en-US" w:eastAsia="zh-CN"/>
        </w:rPr>
        <w:t>总则</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项目名称：南网数字集团信通公司2026年通信电源及蓄电池核容一体化装置型式试验零星采购项目</w:t>
      </w:r>
      <w:r>
        <w:rPr>
          <w:rFonts w:hint="eastAsia" w:ascii="宋体" w:hAnsi="宋体" w:eastAsia="宋体" w:cs="宋体"/>
          <w:sz w:val="24"/>
          <w:szCs w:val="24"/>
          <w:highlight w:val="none"/>
          <w:lang w:val="en-US" w:eastAsia="zh-CN"/>
        </w:rPr>
        <w:t>。</w:t>
      </w:r>
    </w:p>
    <w:p>
      <w:pPr>
        <w:pStyle w:val="2"/>
        <w:keepNext w:val="0"/>
        <w:keepLines w:val="0"/>
        <w:pageBreakBefore w:val="0"/>
        <w:widowControl w:val="0"/>
        <w:numPr>
          <w:ilvl w:val="-1"/>
          <w:numId w:val="0"/>
        </w:numPr>
        <w:kinsoku/>
        <w:wordWrap/>
        <w:overflowPunct/>
        <w:topLinePunct w:val="0"/>
        <w:autoSpaceDE/>
        <w:autoSpaceDN/>
        <w:bidi w:val="0"/>
        <w:adjustRightInd/>
        <w:snapToGrid/>
        <w:spacing w:after="0" w:line="360" w:lineRule="auto"/>
        <w:ind w:left="420" w:leftChars="20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本文件适用于</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highlight w:val="none"/>
        </w:rPr>
        <w:t>（以下简称</w:t>
      </w:r>
      <w:r>
        <w:rPr>
          <w:rFonts w:hint="eastAsia" w:ascii="宋体" w:hAnsi="宋体" w:eastAsia="宋体" w:cs="宋体"/>
          <w:sz w:val="24"/>
          <w:szCs w:val="24"/>
          <w:highlight w:val="none"/>
          <w:lang w:val="en-US" w:eastAsia="zh-CN"/>
        </w:rPr>
        <w:t>采购方</w:t>
      </w:r>
      <w:r>
        <w:rPr>
          <w:rFonts w:hint="eastAsia" w:ascii="宋体" w:hAnsi="宋体" w:eastAsia="宋体" w:cs="宋体"/>
          <w:sz w:val="24"/>
          <w:szCs w:val="24"/>
          <w:highlight w:val="none"/>
        </w:rPr>
        <w:t>）南网数字集团信通公司2026年通信电源及蓄电池核容一体化装置型式试验零星采购项目，本文件的最终解释权归</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highlight w:val="none"/>
        </w:rPr>
        <w:t>。</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（3）响应方可以就采购方认为的遗漏项目提请采购方注意，并详细说明理由。采购方将就此进行澄清。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（4）响应方应保证所提供的所有资料真实、完整、准确无误，否则采购方将有权取消响应方的响应资格，由此产生的一切后果由响应方承担。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（5）采购方在任何时候保留和拥有对本技术规范书的解释权。</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（6）响应方未经采购方同意，不得以任何形式向第三方公开本技术规范书。</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（7）本技术规范书解释权属采购方所有。</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（8）本项目不得转让或分包。</w:t>
      </w:r>
    </w:p>
    <w:p>
      <w:pPr>
        <w:keepNext w:val="0"/>
        <w:keepLines w:val="0"/>
        <w:pageBreakBefore w:val="0"/>
        <w:widowControl w:val="0"/>
        <w:numPr>
          <w:ilvl w:val="-1"/>
          <w:numId w:val="0"/>
        </w:numPr>
        <w:kinsoku/>
        <w:wordWrap/>
        <w:overflowPunct/>
        <w:topLinePunct w:val="0"/>
        <w:autoSpaceDE/>
        <w:autoSpaceDN/>
        <w:bidi w:val="0"/>
        <w:snapToGrid/>
        <w:spacing w:line="360" w:lineRule="auto"/>
        <w:ind w:left="420" w:leftChars="20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（9）响应方充分理解本项目的</w:t>
      </w:r>
      <w:r>
        <w:rPr>
          <w:rFonts w:hint="eastAsia" w:ascii="宋体" w:hAnsi="宋体" w:cs="宋体"/>
          <w:sz w:val="24"/>
          <w:szCs w:val="24"/>
          <w:highlight w:val="none"/>
          <w:lang w:val="en-US" w:eastAsia="zh-CN"/>
        </w:rPr>
        <w:t>服务范围</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成果交付与验收</w:t>
      </w:r>
      <w:r>
        <w:rPr>
          <w:rFonts w:hint="eastAsia" w:ascii="宋体" w:hAnsi="宋体" w:eastAsia="宋体" w:cs="宋体"/>
          <w:sz w:val="24"/>
          <w:szCs w:val="24"/>
          <w:highlight w:val="none"/>
          <w:lang w:val="en-US" w:eastAsia="zh-CN"/>
        </w:rPr>
        <w:t>等，</w:t>
      </w:r>
      <w:r>
        <w:rPr>
          <w:rFonts w:hint="eastAsia" w:ascii="宋体" w:hAnsi="宋体" w:cs="宋体"/>
          <w:sz w:val="24"/>
          <w:szCs w:val="24"/>
          <w:highlight w:val="none"/>
          <w:lang w:val="en-US" w:eastAsia="zh-CN"/>
        </w:rPr>
        <w:t>出具符合项目要求的型式试验报告。</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bookmarkStart w:id="1" w:name="_Toc6285"/>
      <w:r>
        <w:rPr>
          <w:rFonts w:hint="eastAsia" w:ascii="宋体" w:hAnsi="宋体" w:eastAsia="宋体"/>
          <w:b/>
          <w:sz w:val="24"/>
          <w:szCs w:val="24"/>
          <w:highlight w:val="none"/>
          <w:lang w:val="en-US" w:eastAsia="zh-CN"/>
        </w:rPr>
        <w:t>服务范围</w:t>
      </w:r>
      <w:bookmarkEnd w:id="1"/>
    </w:p>
    <w:p>
      <w:pPr>
        <w:keepNext w:val="0"/>
        <w:keepLines w:val="0"/>
        <w:pageBreakBefore w:val="0"/>
        <w:widowControl w:val="0"/>
        <w:numPr>
          <w:ilvl w:val="0"/>
          <w:numId w:val="0"/>
        </w:numPr>
        <w:kinsoku/>
        <w:wordWrap/>
        <w:overflowPunct/>
        <w:topLinePunct w:val="0"/>
        <w:autoSpaceDE/>
        <w:autoSpaceDN/>
        <w:bidi w:val="0"/>
        <w:snapToGrid/>
        <w:spacing w:line="360" w:lineRule="auto"/>
        <w:ind w:left="0" w:leftChars="0" w:firstLine="480" w:firstLineChars="200"/>
        <w:textAlignment w:val="auto"/>
        <w:rPr>
          <w:rFonts w:hint="eastAsia" w:asciiTheme="minorEastAsia" w:hAnsiTheme="minorEastAsia" w:eastAsiaTheme="minorEastAsia" w:cstheme="minorEastAsia"/>
          <w:color w:val="000000"/>
          <w:sz w:val="24"/>
          <w:lang w:val="en-US" w:eastAsia="zh-CN"/>
        </w:rPr>
      </w:pPr>
      <w:bookmarkStart w:id="2" w:name="_Toc161832196"/>
      <w:bookmarkStart w:id="3" w:name="_Toc14640"/>
      <w:r>
        <w:rPr>
          <w:rFonts w:hint="eastAsia" w:ascii="宋体" w:hAnsi="宋体"/>
          <w:sz w:val="24"/>
          <w:szCs w:val="24"/>
          <w:highlight w:val="none"/>
          <w:lang w:val="en-US" w:eastAsia="zh-CN"/>
        </w:rPr>
        <w:t>响应方</w:t>
      </w:r>
      <w:r>
        <w:rPr>
          <w:rFonts w:hint="eastAsia" w:ascii="宋体" w:hAnsi="宋体" w:eastAsia="宋体"/>
          <w:sz w:val="24"/>
          <w:szCs w:val="24"/>
          <w:highlight w:val="none"/>
        </w:rPr>
        <w:t>需</w:t>
      </w:r>
      <w:r>
        <w:rPr>
          <w:rFonts w:hint="eastAsia" w:asciiTheme="minorEastAsia" w:hAnsiTheme="minorEastAsia" w:eastAsiaTheme="minorEastAsia" w:cstheme="minorEastAsia"/>
          <w:color w:val="000000"/>
          <w:sz w:val="24"/>
          <w:lang w:val="en-US" w:eastAsia="zh-CN"/>
        </w:rPr>
        <w:t>根据采购方要求开展</w:t>
      </w:r>
      <w:r>
        <w:rPr>
          <w:rFonts w:hint="eastAsia" w:ascii="宋体" w:hAnsi="宋体" w:eastAsia="宋体" w:cs="宋体"/>
          <w:sz w:val="24"/>
          <w:szCs w:val="24"/>
          <w:highlight w:val="none"/>
        </w:rPr>
        <w:t>通信电源及蓄电池核容一体化装置</w:t>
      </w:r>
      <w:r>
        <w:rPr>
          <w:rFonts w:hint="eastAsia" w:ascii="宋体" w:hAnsi="宋体" w:eastAsia="宋体" w:cs="宋体"/>
          <w:sz w:val="24"/>
          <w:szCs w:val="24"/>
          <w:highlight w:val="none"/>
          <w:lang w:eastAsia="zh-CN"/>
        </w:rPr>
        <w:t>（自核容功能通信高频开关电源设备）</w:t>
      </w:r>
      <w:r>
        <w:rPr>
          <w:rFonts w:hint="eastAsia" w:ascii="宋体" w:hAnsi="宋体" w:eastAsia="宋体" w:cs="宋体"/>
          <w:sz w:val="24"/>
          <w:szCs w:val="24"/>
          <w:highlight w:val="none"/>
        </w:rPr>
        <w:t>型式试验</w:t>
      </w:r>
      <w:r>
        <w:rPr>
          <w:rFonts w:hint="eastAsia" w:asciiTheme="minorEastAsia" w:hAnsiTheme="minorEastAsia" w:eastAsiaTheme="minorEastAsia" w:cstheme="minorEastAsia"/>
          <w:color w:val="000000"/>
          <w:sz w:val="24"/>
          <w:lang w:val="en-US" w:eastAsia="zh-CN"/>
        </w:rPr>
        <w:t>检测服务，并提交加盖CNAS和</w:t>
      </w:r>
      <w:r>
        <w:rPr>
          <w:rFonts w:hint="default" w:asciiTheme="minorEastAsia" w:hAnsiTheme="minorEastAsia" w:eastAsiaTheme="minorEastAsia" w:cstheme="minorEastAsia"/>
          <w:color w:val="000000"/>
          <w:sz w:val="24"/>
          <w:lang w:val="en-US" w:eastAsia="zh-CN"/>
        </w:rPr>
        <w:t>CMA</w:t>
      </w:r>
      <w:r>
        <w:rPr>
          <w:rFonts w:hint="eastAsia" w:asciiTheme="minorEastAsia" w:hAnsiTheme="minorEastAsia" w:eastAsiaTheme="minorEastAsia" w:cstheme="minorEastAsia"/>
          <w:color w:val="000000"/>
          <w:sz w:val="24"/>
          <w:lang w:val="en-US" w:eastAsia="zh-CN"/>
        </w:rPr>
        <w:t>认证的型式试验报告</w:t>
      </w:r>
      <w:r>
        <w:rPr>
          <w:rFonts w:hint="default"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lang w:val="en-US" w:eastAsia="zh-CN"/>
        </w:rPr>
        <w:t>份。测试内容详见附件一：关于“</w:t>
      </w:r>
      <w:r>
        <w:rPr>
          <w:rFonts w:hint="eastAsia" w:ascii="宋体" w:hAnsi="宋体" w:eastAsia="宋体" w:cs="宋体"/>
          <w:sz w:val="24"/>
          <w:szCs w:val="24"/>
          <w:highlight w:val="none"/>
        </w:rPr>
        <w:t>南网数字集团信通公司202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年通信电源及蓄电池核容一体化装置</w:t>
      </w:r>
      <w:r>
        <w:rPr>
          <w:rFonts w:hint="eastAsia" w:ascii="宋体" w:hAnsi="宋体" w:eastAsia="宋体" w:cs="宋体"/>
          <w:sz w:val="24"/>
          <w:szCs w:val="24"/>
          <w:highlight w:val="none"/>
          <w:lang w:eastAsia="zh-CN"/>
        </w:rPr>
        <w:t>（自核容功能通信高频开关电源设备）</w:t>
      </w:r>
      <w:r>
        <w:rPr>
          <w:rFonts w:hint="eastAsia" w:ascii="宋体" w:hAnsi="宋体" w:eastAsia="宋体" w:cs="宋体"/>
          <w:sz w:val="24"/>
          <w:szCs w:val="24"/>
          <w:highlight w:val="none"/>
        </w:rPr>
        <w:t>型式试验</w:t>
      </w:r>
      <w:r>
        <w:rPr>
          <w:rFonts w:hint="eastAsia" w:asciiTheme="minorEastAsia" w:hAnsiTheme="minorEastAsia" w:eastAsiaTheme="minorEastAsia" w:cstheme="minorEastAsia"/>
          <w:color w:val="000000"/>
          <w:sz w:val="24"/>
          <w:lang w:val="en-US" w:eastAsia="zh-CN"/>
        </w:rPr>
        <w:t>”的服务要求。</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r>
        <w:rPr>
          <w:rFonts w:hint="eastAsia" w:ascii="宋体" w:hAnsi="宋体" w:eastAsia="宋体"/>
          <w:b/>
          <w:sz w:val="24"/>
          <w:szCs w:val="24"/>
          <w:highlight w:val="none"/>
        </w:rPr>
        <w:t>成果交付与验收</w:t>
      </w:r>
      <w:bookmarkEnd w:id="2"/>
      <w:bookmarkEnd w:id="3"/>
    </w:p>
    <w:p>
      <w:pPr>
        <w:spacing w:line="360" w:lineRule="auto"/>
        <w:ind w:firstLine="480" w:firstLineChars="200"/>
        <w:rPr>
          <w:rFonts w:hint="eastAsia" w:asciiTheme="minorEastAsia" w:hAnsiTheme="minorEastAsia" w:eastAsiaTheme="minorEastAsia" w:cstheme="minorEastAsia"/>
          <w:color w:val="000000"/>
          <w:sz w:val="24"/>
        </w:rPr>
      </w:pPr>
      <w:bookmarkStart w:id="4" w:name="_Toc161832197"/>
      <w:r>
        <w:rPr>
          <w:rFonts w:hint="eastAsia" w:asciiTheme="minorEastAsia" w:hAnsiTheme="minorEastAsia" w:eastAsiaTheme="minorEastAsia" w:cstheme="minorEastAsia"/>
          <w:color w:val="000000"/>
          <w:sz w:val="24"/>
          <w:lang w:val="en-US" w:eastAsia="zh-CN"/>
        </w:rPr>
        <w:t>响应方</w:t>
      </w:r>
      <w:r>
        <w:rPr>
          <w:rFonts w:hint="eastAsia" w:asciiTheme="minorEastAsia" w:hAnsiTheme="minorEastAsia" w:eastAsiaTheme="minorEastAsia" w:cstheme="minorEastAsia"/>
          <w:color w:val="000000"/>
          <w:sz w:val="24"/>
        </w:rPr>
        <w:t>需于</w:t>
      </w:r>
      <w:r>
        <w:rPr>
          <w:rFonts w:hint="eastAsia" w:asciiTheme="minorEastAsia" w:hAnsiTheme="minorEastAsia" w:eastAsiaTheme="minorEastAsia" w:cstheme="minorEastAsia"/>
          <w:color w:val="000000"/>
          <w:sz w:val="24"/>
          <w:lang w:val="en-US" w:eastAsia="zh-CN"/>
        </w:rPr>
        <w:t>合同签订之日起7天内出具加盖CNAS和CMA认证的型式试验报告1份，并</w:t>
      </w:r>
      <w:r>
        <w:rPr>
          <w:rFonts w:hint="eastAsia" w:asciiTheme="minorEastAsia" w:hAnsiTheme="minorEastAsia" w:eastAsiaTheme="minorEastAsia" w:cstheme="minorEastAsia"/>
          <w:color w:val="000000"/>
          <w:sz w:val="24"/>
        </w:rPr>
        <w:t>通过</w:t>
      </w:r>
      <w:r>
        <w:rPr>
          <w:rFonts w:hint="eastAsia" w:asciiTheme="minorEastAsia" w:hAnsiTheme="minorEastAsia" w:eastAsiaTheme="minorEastAsia" w:cstheme="minorEastAsia"/>
          <w:color w:val="000000"/>
          <w:sz w:val="24"/>
          <w:lang w:val="en-US" w:eastAsia="zh-CN"/>
        </w:rPr>
        <w:t>采购方</w:t>
      </w:r>
      <w:r>
        <w:rPr>
          <w:rFonts w:hint="eastAsia" w:asciiTheme="minorEastAsia" w:hAnsiTheme="minorEastAsia" w:eastAsiaTheme="minorEastAsia" w:cstheme="minorEastAsia"/>
          <w:color w:val="000000"/>
          <w:sz w:val="24"/>
        </w:rPr>
        <w:t>验收。</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rPr>
      </w:pPr>
      <w:bookmarkStart w:id="5" w:name="_Toc9600"/>
      <w:bookmarkStart w:id="6" w:name="_Toc26678"/>
      <w:bookmarkStart w:id="7" w:name="_Toc14542"/>
      <w:bookmarkStart w:id="8" w:name="_Toc16085"/>
      <w:bookmarkStart w:id="9" w:name="_Toc15816"/>
      <w:bookmarkStart w:id="10" w:name="_Toc9734"/>
      <w:bookmarkStart w:id="11" w:name="_Toc19595"/>
      <w:bookmarkStart w:id="12" w:name="_Toc8632"/>
      <w:bookmarkStart w:id="13" w:name="_Toc28612"/>
      <w:r>
        <w:rPr>
          <w:rFonts w:hint="eastAsia" w:ascii="宋体" w:hAnsi="宋体" w:eastAsia="宋体"/>
          <w:b/>
          <w:sz w:val="24"/>
          <w:szCs w:val="24"/>
          <w:highlight w:val="none"/>
        </w:rPr>
        <w:t>安全保密要求</w:t>
      </w:r>
      <w:bookmarkEnd w:id="5"/>
      <w:bookmarkEnd w:id="6"/>
      <w:bookmarkEnd w:id="7"/>
      <w:bookmarkEnd w:id="8"/>
      <w:bookmarkEnd w:id="9"/>
      <w:bookmarkEnd w:id="10"/>
      <w:bookmarkEnd w:id="11"/>
      <w:bookmarkEnd w:id="12"/>
      <w:bookmarkEnd w:id="13"/>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lang w:eastAsia="zh-CN"/>
        </w:rPr>
        <w:t>响应方</w:t>
      </w:r>
      <w:r>
        <w:rPr>
          <w:rFonts w:hint="eastAsia" w:ascii="宋体" w:hAnsi="宋体" w:eastAsia="宋体" w:cs="宋体"/>
          <w:sz w:val="24"/>
          <w:szCs w:val="24"/>
        </w:rPr>
        <w:t>在服务期间，负有保护</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rPr>
        <w:t>的网络安全、信息安全和系统数据安全的义务和责任；负有保护所持有、接触的属于或涉及</w:t>
      </w:r>
      <w:r>
        <w:rPr>
          <w:rFonts w:hint="eastAsia" w:ascii="宋体" w:hAnsi="宋体" w:cs="宋体"/>
          <w:sz w:val="24"/>
          <w:szCs w:val="24"/>
          <w:highlight w:val="none"/>
          <w:lang w:val="en-US" w:eastAsia="zh-CN"/>
        </w:rPr>
        <w:t>南方电网数字电网集团信息通信科技有限公司</w:t>
      </w:r>
      <w:r>
        <w:rPr>
          <w:rFonts w:hint="eastAsia" w:ascii="宋体" w:hAnsi="宋体" w:eastAsia="宋体" w:cs="宋体"/>
          <w:sz w:val="24"/>
          <w:szCs w:val="24"/>
        </w:rPr>
        <w:t>商业秘密的信息安全的义务和责任。</w:t>
      </w:r>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除非有</w:t>
      </w:r>
      <w:r>
        <w:rPr>
          <w:rFonts w:hint="eastAsia" w:ascii="宋体" w:hAnsi="宋体" w:eastAsia="宋体" w:cs="宋体"/>
          <w:sz w:val="24"/>
          <w:szCs w:val="24"/>
          <w:lang w:eastAsia="zh-CN"/>
        </w:rPr>
        <w:t>采购方</w:t>
      </w:r>
      <w:r>
        <w:rPr>
          <w:rFonts w:hint="eastAsia" w:ascii="宋体" w:hAnsi="宋体" w:eastAsia="宋体" w:cs="宋体"/>
          <w:sz w:val="24"/>
          <w:szCs w:val="24"/>
        </w:rPr>
        <w:t>的书面许可，或该信息已被</w:t>
      </w:r>
      <w:r>
        <w:rPr>
          <w:rFonts w:hint="eastAsia" w:ascii="宋体" w:hAnsi="宋体" w:eastAsia="宋体" w:cs="宋体"/>
          <w:sz w:val="24"/>
          <w:szCs w:val="24"/>
          <w:lang w:eastAsia="zh-CN"/>
        </w:rPr>
        <w:t>采购方</w:t>
      </w:r>
      <w:r>
        <w:rPr>
          <w:rFonts w:hint="eastAsia" w:ascii="宋体" w:hAnsi="宋体" w:eastAsia="宋体" w:cs="宋体"/>
          <w:sz w:val="24"/>
          <w:szCs w:val="24"/>
        </w:rPr>
        <w:t>认为不再是商业秘密，或已在社会上公开，</w:t>
      </w:r>
      <w:r>
        <w:rPr>
          <w:rFonts w:hint="eastAsia" w:ascii="宋体" w:hAnsi="宋体" w:eastAsia="宋体" w:cs="宋体"/>
          <w:sz w:val="24"/>
          <w:szCs w:val="24"/>
          <w:lang w:eastAsia="zh-CN"/>
        </w:rPr>
        <w:t>响应方</w:t>
      </w:r>
      <w:r>
        <w:rPr>
          <w:rFonts w:hint="eastAsia" w:ascii="宋体" w:hAnsi="宋体" w:eastAsia="宋体" w:cs="宋体"/>
          <w:sz w:val="24"/>
          <w:szCs w:val="24"/>
        </w:rPr>
        <w:t>不得将</w:t>
      </w:r>
      <w:r>
        <w:rPr>
          <w:rFonts w:hint="eastAsia" w:ascii="宋体" w:hAnsi="宋体" w:eastAsia="宋体" w:cs="宋体"/>
          <w:sz w:val="24"/>
          <w:szCs w:val="24"/>
          <w:lang w:eastAsia="zh-CN"/>
        </w:rPr>
        <w:t>采购方</w:t>
      </w:r>
      <w:r>
        <w:rPr>
          <w:rFonts w:hint="eastAsia" w:ascii="宋体" w:hAnsi="宋体" w:eastAsia="宋体" w:cs="宋体"/>
          <w:sz w:val="24"/>
          <w:szCs w:val="24"/>
        </w:rPr>
        <w:t>经营信息及商业秘密（包括生产管理的方式方法与资料、产品技术资料、客户名单、销售渠道企业战略及其他被认为是商业秘密的信息）对外透露。</w:t>
      </w:r>
    </w:p>
    <w:p>
      <w:pPr>
        <w:pStyle w:val="12"/>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在现场服务过程中，</w:t>
      </w:r>
      <w:r>
        <w:rPr>
          <w:rFonts w:hint="eastAsia" w:ascii="宋体" w:hAnsi="宋体" w:eastAsia="宋体" w:cs="宋体"/>
          <w:sz w:val="24"/>
          <w:szCs w:val="24"/>
          <w:lang w:eastAsia="zh-CN"/>
        </w:rPr>
        <w:t>响应方</w:t>
      </w:r>
      <w:r>
        <w:rPr>
          <w:rFonts w:hint="eastAsia" w:ascii="宋体" w:hAnsi="宋体" w:eastAsia="宋体" w:cs="宋体"/>
          <w:sz w:val="24"/>
          <w:szCs w:val="24"/>
        </w:rPr>
        <w:t>必须在</w:t>
      </w:r>
      <w:r>
        <w:rPr>
          <w:rFonts w:hint="eastAsia" w:ascii="宋体" w:hAnsi="宋体" w:eastAsia="宋体" w:cs="宋体"/>
          <w:sz w:val="24"/>
          <w:szCs w:val="24"/>
          <w:lang w:eastAsia="zh-CN"/>
        </w:rPr>
        <w:t>采购方</w:t>
      </w:r>
      <w:r>
        <w:rPr>
          <w:rFonts w:hint="eastAsia" w:ascii="宋体" w:hAnsi="宋体" w:eastAsia="宋体" w:cs="宋体"/>
          <w:sz w:val="24"/>
          <w:szCs w:val="24"/>
        </w:rPr>
        <w:t>指定地点办公，并遵守</w:t>
      </w:r>
      <w:r>
        <w:rPr>
          <w:rFonts w:hint="eastAsia" w:ascii="宋体" w:hAnsi="宋体" w:eastAsia="宋体" w:cs="宋体"/>
          <w:sz w:val="24"/>
          <w:szCs w:val="24"/>
          <w:lang w:eastAsia="zh-CN"/>
        </w:rPr>
        <w:t>采购方</w:t>
      </w:r>
      <w:r>
        <w:rPr>
          <w:rFonts w:hint="eastAsia" w:ascii="宋体" w:hAnsi="宋体" w:eastAsia="宋体" w:cs="宋体"/>
          <w:sz w:val="24"/>
          <w:szCs w:val="24"/>
        </w:rPr>
        <w:t>关于第三方人员管理规定要求；未经许可不得以任何方式对保密信息及工作成果进行复制、传播、泄漏、告知，不得将保密信息带离办公场所。</w:t>
      </w:r>
    </w:p>
    <w:p>
      <w:pPr>
        <w:pStyle w:val="12"/>
        <w:spacing w:line="360" w:lineRule="auto"/>
        <w:rPr>
          <w:rFonts w:hint="eastAsia" w:asciiTheme="minorEastAsia" w:hAnsiTheme="minorEastAsia" w:eastAsiaTheme="minorEastAsia" w:cstheme="minorEastAsia"/>
          <w:color w:val="000000"/>
          <w:sz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无论何种原因导致合同解除或终止，本项目约定下的保密条款、保密内容及相关的违约责任的约定仍然生效。保密期限为签订合同之后至永久，保密范围为项目所涉及的任何资料。</w:t>
      </w:r>
    </w:p>
    <w:bookmarkEnd w:id="4"/>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default"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其他要求</w:t>
      </w:r>
    </w:p>
    <w:p>
      <w:pPr>
        <w:pStyle w:val="12"/>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本次装置的型式试验可能涉及重复检测，因此该服务要求提供本地化服务以便整改，另需提供整改环境及相应条件直至完成通过检测。</w:t>
      </w:r>
    </w:p>
    <w:p>
      <w:pPr>
        <w:pStyle w:val="12"/>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如在项目实施过程中需要调整内容、进度等，需经采购方与响应方双方共同确认，按合同变更程序办理。</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left="0" w:firstLine="482" w:firstLineChars="200"/>
        <w:contextualSpacing/>
        <w:textAlignment w:val="auto"/>
        <w:outlineLvl w:val="1"/>
        <w:rPr>
          <w:rFonts w:hint="eastAsia" w:ascii="宋体" w:hAnsi="宋体" w:eastAsia="宋体"/>
          <w:b/>
          <w:sz w:val="24"/>
          <w:szCs w:val="24"/>
          <w:highlight w:val="none"/>
          <w:lang w:val="en-US" w:eastAsia="zh-CN"/>
        </w:rPr>
      </w:pPr>
      <w:r>
        <w:rPr>
          <w:rFonts w:hint="eastAsia" w:ascii="宋体" w:hAnsi="宋体"/>
          <w:b/>
          <w:sz w:val="24"/>
          <w:szCs w:val="24"/>
          <w:highlight w:val="none"/>
          <w:lang w:val="en-US" w:eastAsia="zh-CN"/>
        </w:rPr>
        <w:t>响应方</w:t>
      </w:r>
      <w:r>
        <w:rPr>
          <w:rFonts w:hint="eastAsia" w:ascii="宋体" w:hAnsi="宋体" w:eastAsia="宋体"/>
          <w:b/>
          <w:sz w:val="24"/>
          <w:szCs w:val="24"/>
          <w:highlight w:val="none"/>
          <w:lang w:val="en-US" w:eastAsia="zh-CN"/>
        </w:rPr>
        <w:t>资格</w:t>
      </w:r>
      <w:r>
        <w:rPr>
          <w:rFonts w:hint="eastAsia" w:ascii="宋体" w:hAnsi="宋体"/>
          <w:b/>
          <w:sz w:val="24"/>
          <w:szCs w:val="24"/>
          <w:highlight w:val="none"/>
          <w:lang w:val="en-US" w:eastAsia="zh-CN"/>
        </w:rPr>
        <w:t>条件</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lang w:val="en-US" w:eastAsia="zh-CN"/>
        </w:rPr>
      </w:pPr>
      <w:r>
        <w:rPr>
          <w:rFonts w:hint="eastAsia" w:ascii="宋体" w:hAnsi="宋体" w:eastAsia="宋体" w:cs="宋体"/>
          <w:kern w:val="2"/>
          <w:sz w:val="24"/>
          <w:szCs w:val="24"/>
          <w:lang w:val="en-US" w:eastAsia="zh-CN" w:bidi="ar-SA"/>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lang w:val="en-US" w:eastAsia="zh-CN"/>
        </w:rPr>
      </w:pPr>
      <w:r>
        <w:rPr>
          <w:rFonts w:hint="eastAsia" w:ascii="宋体" w:hAnsi="宋体" w:eastAsia="宋体" w:cs="宋体"/>
          <w:kern w:val="2"/>
          <w:sz w:val="24"/>
          <w:szCs w:val="24"/>
          <w:lang w:val="en-US" w:eastAsia="zh-CN" w:bidi="ar-SA"/>
        </w:rPr>
        <w:t>在经营活动中无重大违法失信记录，没有被市场监督管理机关在国家企业信用信息公示系统（https://www.gsxt.gov.cn）中列入严重违法失信企业名单，没有被最高人民法院在“信用中国”网站（www.creditchina.gov.cn）列入失信被执行人名单，</w:t>
      </w:r>
      <w:r>
        <w:rPr>
          <w:rFonts w:hint="eastAsia" w:ascii="宋体" w:hAnsi="宋体" w:eastAsia="宋体" w:cs="宋体"/>
          <w:b/>
          <w:bCs/>
          <w:kern w:val="2"/>
          <w:sz w:val="24"/>
          <w:szCs w:val="24"/>
          <w:lang w:val="en-US" w:eastAsia="zh-CN" w:bidi="ar-SA"/>
        </w:rPr>
        <w:t>应提供上述两个网站的相应截图</w:t>
      </w:r>
      <w:r>
        <w:rPr>
          <w:rFonts w:hint="eastAsia" w:ascii="宋体" w:hAnsi="宋体" w:eastAsia="宋体" w:cs="宋体"/>
          <w:kern w:val="2"/>
          <w:sz w:val="24"/>
          <w:szCs w:val="24"/>
          <w:lang w:val="en-US" w:eastAsia="zh-CN" w:bidi="ar-SA"/>
        </w:rPr>
        <w:t>；</w:t>
      </w:r>
      <w:r>
        <w:rPr>
          <w:rFonts w:hint="eastAsia" w:ascii="宋体" w:hAnsi="宋体" w:eastAsia="宋体" w:cs="宋体"/>
          <w:b/>
          <w:bCs/>
          <w:kern w:val="2"/>
          <w:sz w:val="24"/>
          <w:szCs w:val="24"/>
          <w:lang w:val="en-US" w:eastAsia="zh-CN" w:bidi="ar-SA"/>
        </w:rPr>
        <w:t>在中国南方电网有限责任公司范围内没有处于限制投标资格的处罚期内</w:t>
      </w:r>
      <w:r>
        <w:rPr>
          <w:rFonts w:hint="eastAsia" w:ascii="宋体" w:hAnsi="宋体" w:eastAsia="宋体" w:cs="宋体"/>
          <w:kern w:val="2"/>
          <w:sz w:val="24"/>
          <w:szCs w:val="24"/>
          <w:lang w:val="en-US" w:eastAsia="zh-CN" w:bidi="ar-SA"/>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相关专业资质证书：</w:t>
      </w:r>
      <w:r>
        <w:rPr>
          <w:rFonts w:hint="eastAsia" w:ascii="宋体" w:hAnsi="宋体" w:cs="宋体"/>
          <w:kern w:val="2"/>
          <w:sz w:val="24"/>
          <w:szCs w:val="24"/>
          <w:lang w:val="en-US" w:eastAsia="zh-CN" w:bidi="ar-SA"/>
        </w:rPr>
        <w:t>具备</w:t>
      </w:r>
      <w:r>
        <w:rPr>
          <w:rFonts w:hint="eastAsia" w:ascii="宋体" w:hAnsi="宋体" w:eastAsia="宋体" w:cs="宋体"/>
          <w:kern w:val="2"/>
          <w:sz w:val="24"/>
          <w:szCs w:val="24"/>
          <w:lang w:val="en-US" w:eastAsia="zh-CN" w:bidi="ar-SA"/>
        </w:rPr>
        <w:t>CNAS17025资质</w:t>
      </w:r>
      <w:r>
        <w:rPr>
          <w:rFonts w:hint="eastAsia" w:ascii="宋体" w:hAnsi="宋体" w:cs="宋体"/>
          <w:kern w:val="2"/>
          <w:sz w:val="24"/>
          <w:szCs w:val="24"/>
          <w:lang w:val="en-US" w:eastAsia="zh-CN" w:bidi="ar-SA"/>
        </w:rPr>
        <w:t>证书和</w:t>
      </w:r>
      <w:r>
        <w:rPr>
          <w:rFonts w:hint="eastAsia" w:ascii="宋体" w:hAnsi="宋体" w:eastAsia="宋体" w:cs="宋体"/>
          <w:kern w:val="2"/>
          <w:sz w:val="24"/>
          <w:szCs w:val="24"/>
          <w:lang w:val="en-US" w:eastAsia="zh-CN" w:bidi="ar-SA"/>
        </w:rPr>
        <w:t>检验检测机构资质认定证书（CMA）</w:t>
      </w:r>
      <w:r>
        <w:rPr>
          <w:rFonts w:hint="eastAsia" w:ascii="宋体" w:hAnsi="宋体" w:cs="宋体"/>
          <w:kern w:val="2"/>
          <w:sz w:val="24"/>
          <w:szCs w:val="24"/>
          <w:lang w:val="en-US" w:eastAsia="zh-CN" w:bidi="ar-SA"/>
        </w:rPr>
        <w:t>，</w:t>
      </w:r>
      <w:r>
        <w:rPr>
          <w:rFonts w:hint="eastAsia" w:ascii="宋体" w:hAnsi="宋体" w:cs="宋体"/>
          <w:b/>
          <w:bCs/>
          <w:kern w:val="2"/>
          <w:sz w:val="24"/>
          <w:szCs w:val="24"/>
          <w:lang w:val="en-US" w:eastAsia="zh-CN" w:bidi="ar-SA"/>
        </w:rPr>
        <w:t>需提供相关资质证书</w:t>
      </w:r>
      <w:r>
        <w:rPr>
          <w:rFonts w:hint="eastAsia" w:ascii="宋体" w:hAnsi="宋体" w:eastAsia="宋体" w:cs="宋体"/>
          <w:b/>
          <w:bCs/>
          <w:kern w:val="2"/>
          <w:sz w:val="24"/>
          <w:szCs w:val="24"/>
          <w:lang w:val="en-US" w:eastAsia="zh-CN" w:bidi="ar-SA"/>
        </w:rPr>
        <w:t>复印件</w:t>
      </w:r>
      <w:r>
        <w:rPr>
          <w:rFonts w:hint="eastAsia" w:ascii="宋体" w:hAnsi="宋体" w:eastAsia="宋体" w:cs="宋体"/>
          <w:kern w:val="2"/>
          <w:sz w:val="24"/>
          <w:szCs w:val="24"/>
          <w:lang w:val="en-US" w:eastAsia="zh-CN" w:bidi="ar-SA"/>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不接受联合体参与。</w:t>
      </w:r>
    </w:p>
    <w:p>
      <w:pPr>
        <w:keepNext w:val="0"/>
        <w:keepLines w:val="0"/>
        <w:pageBreakBefore w:val="0"/>
        <w:widowControl w:val="0"/>
        <w:numPr>
          <w:ilvl w:val="0"/>
          <w:numId w:val="1"/>
        </w:numPr>
        <w:kinsoku/>
        <w:wordWrap/>
        <w:overflowPunct/>
        <w:topLinePunct w:val="0"/>
        <w:autoSpaceDE/>
        <w:autoSpaceDN/>
        <w:bidi w:val="0"/>
        <w:adjustRightInd w:val="0"/>
        <w:snapToGrid/>
        <w:spacing w:before="156" w:beforeLines="50" w:after="156" w:afterLines="50" w:line="360" w:lineRule="auto"/>
        <w:ind w:firstLineChars="0"/>
        <w:contextualSpacing/>
        <w:textAlignment w:val="auto"/>
        <w:outlineLvl w:val="1"/>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报价表</w:t>
      </w:r>
    </w:p>
    <w:p>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lang w:val="en-US" w:eastAsia="zh-CN"/>
        </w:rPr>
        <w:t>请各单位参考表1报价，报</w:t>
      </w:r>
      <w:r>
        <w:rPr>
          <w:rFonts w:hint="eastAsia" w:ascii="宋体" w:hAnsi="宋体" w:eastAsia="宋体" w:cs="宋体"/>
          <w:sz w:val="24"/>
          <w:szCs w:val="24"/>
        </w:rPr>
        <w:t>价单需包含税率说明，报价条目应清晰。</w:t>
      </w:r>
    </w:p>
    <w:p>
      <w:pPr>
        <w:pStyle w:val="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黑体" w:hAnsi="黑体" w:eastAsia="黑体" w:cs="黑体"/>
          <w:kern w:val="2"/>
          <w:sz w:val="21"/>
          <w:szCs w:val="21"/>
          <w:lang w:val="en-US" w:eastAsia="zh-CN" w:bidi="ar-SA"/>
        </w:rPr>
      </w:pPr>
      <w:r>
        <w:rPr>
          <w:rFonts w:hint="eastAsia" w:ascii="黑体" w:hAnsi="黑体" w:eastAsia="黑体" w:cs="黑体"/>
          <w:sz w:val="21"/>
          <w:szCs w:val="21"/>
        </w:rPr>
        <w:t xml:space="preserve">表1 </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收费报价表</w:t>
      </w:r>
    </w:p>
    <w:tbl>
      <w:tblPr>
        <w:tblStyle w:val="9"/>
        <w:tblpPr w:leftFromText="180" w:rightFromText="180" w:vertAnchor="text" w:horzAnchor="page" w:tblpXSpec="center" w:tblpY="149"/>
        <w:tblOverlap w:val="never"/>
        <w:tblW w:w="8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单位</w:t>
            </w:r>
          </w:p>
        </w:tc>
        <w:tc>
          <w:tcPr>
            <w:tcW w:w="663"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数量</w:t>
            </w:r>
          </w:p>
        </w:tc>
        <w:tc>
          <w:tcPr>
            <w:tcW w:w="1756"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000000"/>
                <w:kern w:val="0"/>
                <w:sz w:val="21"/>
                <w:szCs w:val="21"/>
                <w:lang w:val="en-US" w:eastAsia="zh-CN" w:bidi="ar"/>
              </w:rPr>
              <w:t>单价限价（万元）</w:t>
            </w:r>
          </w:p>
        </w:tc>
        <w:tc>
          <w:tcPr>
            <w:tcW w:w="1762" w:type="dxa"/>
            <w:vAlign w:val="center"/>
          </w:tcPr>
          <w:p>
            <w:pPr>
              <w:keepNext w:val="0"/>
              <w:keepLines w:val="0"/>
              <w:pageBreakBefore w:val="0"/>
              <w:widowControl/>
              <w:kinsoku/>
              <w:wordWrap/>
              <w:overflowPunct/>
              <w:topLinePunct w:val="0"/>
              <w:autoSpaceDE/>
              <w:autoSpaceDN/>
              <w:bidi w:val="0"/>
              <w:snapToGrid/>
              <w:spacing w:line="360" w:lineRule="auto"/>
              <w:ind w:firstLine="0" w:firstLineChars="0"/>
              <w:jc w:val="center"/>
              <w:textAlignment w:val="center"/>
              <w:rPr>
                <w:rFonts w:hint="default"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采购限价（万元）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801"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南网数字集团信通公司2026年通信电源及蓄电池核容一体化装置型式试验零星采购项目</w:t>
            </w:r>
          </w:p>
        </w:tc>
        <w:tc>
          <w:tcPr>
            <w:tcW w:w="654"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w:t>
            </w:r>
          </w:p>
        </w:tc>
        <w:tc>
          <w:tcPr>
            <w:tcW w:w="663"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756"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r>
              <w:rPr>
                <w:rFonts w:hint="eastAsia" w:ascii="宋体" w:hAnsi="宋体" w:cs="宋体"/>
                <w:kern w:val="2"/>
                <w:sz w:val="24"/>
                <w:szCs w:val="24"/>
                <w:lang w:val="en-US" w:eastAsia="zh-CN" w:bidi="ar-SA"/>
              </w:rPr>
              <w:t>.76</w:t>
            </w:r>
          </w:p>
        </w:tc>
        <w:tc>
          <w:tcPr>
            <w:tcW w:w="1762" w:type="dxa"/>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r>
              <w:rPr>
                <w:rFonts w:hint="eastAsia" w:ascii="宋体" w:hAnsi="宋体" w:cs="宋体"/>
                <w:kern w:val="2"/>
                <w:sz w:val="24"/>
                <w:szCs w:val="24"/>
                <w:lang w:val="en-US" w:eastAsia="zh-CN" w:bidi="ar-SA"/>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cs="宋体"/>
                <w:b/>
                <w:i w:val="0"/>
                <w:color w:val="auto"/>
                <w:kern w:val="0"/>
                <w:sz w:val="21"/>
                <w:szCs w:val="21"/>
                <w:highlight w:val="none"/>
                <w:u w:val="none"/>
                <w:lang w:val="en-US" w:eastAsia="zh-CN" w:bidi="ar"/>
              </w:rPr>
              <w:t>总价合</w:t>
            </w:r>
            <w:r>
              <w:rPr>
                <w:rFonts w:hint="eastAsia" w:ascii="宋体" w:hAnsi="宋体" w:eastAsia="宋体" w:cs="宋体"/>
                <w:b/>
                <w:i w:val="0"/>
                <w:color w:val="auto"/>
                <w:kern w:val="0"/>
                <w:sz w:val="21"/>
                <w:szCs w:val="21"/>
                <w:highlight w:val="none"/>
                <w:u w:val="none"/>
                <w:lang w:val="en-US" w:eastAsia="zh-CN" w:bidi="ar"/>
              </w:rPr>
              <w:t>计</w:t>
            </w:r>
            <w:r>
              <w:rPr>
                <w:rFonts w:hint="eastAsia" w:ascii="宋体" w:hAnsi="宋体" w:cs="宋体"/>
                <w:b/>
                <w:i w:val="0"/>
                <w:color w:val="auto"/>
                <w:kern w:val="0"/>
                <w:sz w:val="21"/>
                <w:szCs w:val="21"/>
                <w:highlight w:val="none"/>
                <w:u w:val="none"/>
                <w:lang w:val="en-US" w:eastAsia="zh-CN" w:bidi="ar"/>
              </w:rPr>
              <w:t>（万元)</w:t>
            </w:r>
          </w:p>
        </w:tc>
        <w:tc>
          <w:tcPr>
            <w:tcW w:w="1762"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center"/>
              <w:rPr>
                <w:rFonts w:hint="default" w:ascii="宋体" w:hAnsi="宋体" w:cs="宋体"/>
                <w:color w:val="auto"/>
                <w:sz w:val="21"/>
                <w:szCs w:val="21"/>
                <w:highlight w:val="none"/>
                <w:lang w:val="en-US" w:eastAsia="zh-CN"/>
              </w:rPr>
            </w:pPr>
            <w:r>
              <w:rPr>
                <w:rFonts w:hint="eastAsia" w:ascii="宋体" w:hAnsi="宋体" w:eastAsia="宋体" w:cs="宋体"/>
                <w:kern w:val="2"/>
                <w:sz w:val="24"/>
                <w:szCs w:val="24"/>
                <w:lang w:val="en-US" w:eastAsia="zh-CN" w:bidi="ar-SA"/>
              </w:rPr>
              <w:t>4</w:t>
            </w:r>
            <w:r>
              <w:rPr>
                <w:rFonts w:hint="eastAsia" w:ascii="宋体" w:hAnsi="宋体" w:cs="宋体"/>
                <w:kern w:val="2"/>
                <w:sz w:val="24"/>
                <w:szCs w:val="24"/>
                <w:lang w:val="en-US" w:eastAsia="zh-CN" w:bidi="ar-SA"/>
              </w:rPr>
              <w:t>.76</w:t>
            </w:r>
          </w:p>
        </w:tc>
      </w:tr>
    </w:tbl>
    <w:p>
      <w:pPr>
        <w:keepNext w:val="0"/>
        <w:keepLines w:val="0"/>
        <w:pageBreakBefore w:val="0"/>
        <w:widowControl w:val="0"/>
        <w:kinsoku/>
        <w:wordWrap/>
        <w:overflowPunct/>
        <w:topLinePunct w:val="0"/>
        <w:autoSpaceDE/>
        <w:autoSpaceDN/>
        <w:bidi w:val="0"/>
        <w:snapToGrid/>
        <w:spacing w:before="313" w:beforeLines="100" w:after="313" w:afterLines="100" w:line="360" w:lineRule="auto"/>
        <w:ind w:firstLine="420" w:firstLineChars="200"/>
        <w:textAlignment w:val="auto"/>
        <w:rPr>
          <w:rFonts w:hint="eastAsia"/>
          <w:lang w:val="en-US" w:eastAsia="zh-CN"/>
        </w:rPr>
      </w:pPr>
      <w:r>
        <w:rPr>
          <w:rFonts w:hint="eastAsia" w:ascii="宋体" w:hAnsi="宋体" w:eastAsia="宋体" w:cs="宋体"/>
          <w:lang w:val="en-US" w:eastAsia="zh-CN"/>
        </w:rPr>
        <w:t>※</w:t>
      </w:r>
      <w:r>
        <w:rPr>
          <w:rFonts w:hint="eastAsia"/>
          <w:lang w:val="en-US" w:eastAsia="zh-CN"/>
        </w:rPr>
        <w:t>注：以上报价应为含税价，服务费需开具增值税专用发票。</w:t>
      </w:r>
    </w:p>
    <w:p>
      <w:pPr>
        <w:pStyle w:val="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default" w:ascii="宋体" w:hAnsi="宋体" w:cs="宋体"/>
          <w:sz w:val="24"/>
          <w:szCs w:val="24"/>
          <w:lang w:val="en-US" w:eastAsia="zh-CN"/>
        </w:rPr>
      </w:pPr>
      <w:r>
        <w:rPr>
          <w:rFonts w:hint="eastAsia" w:ascii="宋体" w:hAnsi="宋体" w:cs="宋体"/>
          <w:sz w:val="24"/>
          <w:szCs w:val="24"/>
          <w:highlight w:val="none"/>
          <w:lang w:val="en-US" w:eastAsia="zh-CN"/>
        </w:rPr>
        <w:t>南方电网数字电网集团信息通信科技有限公</w:t>
      </w:r>
      <w:r>
        <w:rPr>
          <w:rFonts w:hint="default" w:ascii="宋体" w:hAnsi="宋体" w:cs="宋体"/>
          <w:sz w:val="24"/>
          <w:szCs w:val="24"/>
          <w:lang w:val="en-US" w:eastAsia="zh-CN"/>
        </w:rPr>
        <w:t>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cs="宋体"/>
          <w:sz w:val="24"/>
          <w:szCs w:val="24"/>
          <w:lang w:val="en-US" w:eastAsia="zh-CN"/>
        </w:rPr>
      </w:pPr>
      <w:r>
        <w:rPr>
          <w:rFonts w:hint="eastAsia" w:ascii="宋体" w:hAnsi="宋体" w:cs="宋体"/>
          <w:sz w:val="24"/>
          <w:szCs w:val="24"/>
          <w:lang w:val="en-US" w:eastAsia="zh-CN"/>
        </w:rPr>
        <w:t>2026年6月23日</w:t>
      </w:r>
    </w:p>
    <w:p>
      <w:pPr>
        <w:rPr>
          <w:rFonts w:hint="eastAsia" w:ascii="仿宋" w:hAnsi="仿宋" w:cs="仿宋"/>
          <w:sz w:val="32"/>
          <w:szCs w:val="40"/>
          <w:lang w:val="en-US" w:eastAsia="zh-CN"/>
        </w:rPr>
      </w:pPr>
      <w:r>
        <w:rPr>
          <w:rFonts w:hint="eastAsia" w:ascii="仿宋" w:hAnsi="仿宋" w:cs="仿宋"/>
          <w:sz w:val="32"/>
          <w:szCs w:val="40"/>
          <w:lang w:val="en-US" w:eastAsia="zh-CN"/>
        </w:rPr>
        <w:br w:type="page"/>
      </w:r>
      <w:bookmarkStart w:id="14" w:name="_GoBack"/>
      <w:bookmarkEnd w:id="14"/>
    </w:p>
    <w:p>
      <w:pPr>
        <w:jc w:val="both"/>
        <w:rPr>
          <w:rFonts w:hint="default" w:ascii="仿宋" w:hAnsi="仿宋" w:eastAsia="仿宋" w:cs="仿宋"/>
          <w:sz w:val="32"/>
          <w:szCs w:val="40"/>
          <w:lang w:val="en-US" w:eastAsia="zh-CN"/>
        </w:rPr>
      </w:pPr>
      <w:r>
        <w:rPr>
          <w:rFonts w:hint="eastAsia" w:ascii="仿宋" w:hAnsi="仿宋" w:cs="仿宋"/>
          <w:sz w:val="32"/>
          <w:szCs w:val="40"/>
          <w:lang w:val="en-US" w:eastAsia="zh-CN"/>
        </w:rPr>
        <w:t>附件一</w:t>
      </w:r>
    </w:p>
    <w:p>
      <w:pPr>
        <w:jc w:val="center"/>
        <w:rPr>
          <w:rFonts w:hint="eastAsia" w:ascii="仿宋" w:hAnsi="仿宋" w:eastAsia="仿宋" w:cs="仿宋"/>
          <w:sz w:val="32"/>
          <w:szCs w:val="40"/>
        </w:rPr>
      </w:pPr>
      <w:r>
        <w:rPr>
          <w:rFonts w:hint="eastAsia" w:ascii="仿宋" w:hAnsi="仿宋" w:eastAsia="仿宋" w:cs="仿宋"/>
          <w:sz w:val="32"/>
          <w:szCs w:val="40"/>
        </w:rPr>
        <w:t>关于“南网数字集团信通公司202</w:t>
      </w:r>
      <w:r>
        <w:rPr>
          <w:rFonts w:hint="eastAsia" w:ascii="仿宋" w:hAnsi="仿宋" w:eastAsia="仿宋" w:cs="仿宋"/>
          <w:sz w:val="32"/>
          <w:szCs w:val="40"/>
          <w:lang w:val="en-US" w:eastAsia="zh-CN"/>
        </w:rPr>
        <w:t>6</w:t>
      </w:r>
      <w:r>
        <w:rPr>
          <w:rFonts w:hint="eastAsia" w:ascii="仿宋" w:hAnsi="仿宋" w:eastAsia="仿宋" w:cs="仿宋"/>
          <w:sz w:val="32"/>
          <w:szCs w:val="40"/>
        </w:rPr>
        <w:t>年通信电源及蓄电池核容一体化装置（自核容功能通信高频开关电源设备）型式试验”的服务要求</w:t>
      </w:r>
    </w:p>
    <w:p>
      <w:pPr>
        <w:pStyle w:val="2"/>
      </w:pPr>
    </w:p>
    <w:tbl>
      <w:tblPr>
        <w:tblStyle w:val="9"/>
        <w:tblW w:w="7754" w:type="dxa"/>
        <w:jc w:val="center"/>
        <w:tblLayout w:type="fixed"/>
        <w:tblCellMar>
          <w:top w:w="0" w:type="dxa"/>
          <w:left w:w="108" w:type="dxa"/>
          <w:bottom w:w="0" w:type="dxa"/>
          <w:right w:w="108" w:type="dxa"/>
        </w:tblCellMar>
      </w:tblPr>
      <w:tblGrid>
        <w:gridCol w:w="1210"/>
        <w:gridCol w:w="2197"/>
        <w:gridCol w:w="4347"/>
      </w:tblGrid>
      <w:tr>
        <w:tblPrEx>
          <w:tblCellMar>
            <w:top w:w="0" w:type="dxa"/>
            <w:left w:w="108" w:type="dxa"/>
            <w:bottom w:w="0" w:type="dxa"/>
            <w:right w:w="108" w:type="dxa"/>
          </w:tblCellMar>
        </w:tblPrEx>
        <w:trPr>
          <w:trHeight w:val="542" w:hRule="atLeast"/>
          <w:jc w:val="center"/>
        </w:trPr>
        <w:tc>
          <w:tcPr>
            <w:tcW w:w="7754" w:type="dxa"/>
            <w:gridSpan w:val="3"/>
            <w:tcBorders>
              <w:top w:val="single" w:color="000000" w:sz="8" w:space="0"/>
              <w:left w:val="single" w:color="000000" w:sz="8" w:space="0"/>
              <w:bottom w:val="single" w:color="000000" w:sz="8" w:space="0"/>
              <w:right w:val="single" w:color="000000" w:sz="8" w:space="0"/>
            </w:tcBorders>
            <w:shd w:val="clear" w:color="auto" w:fill="D9E1F4"/>
            <w:noWrap/>
            <w:vAlign w:val="center"/>
          </w:tcPr>
          <w:p>
            <w:pPr>
              <w:widowControl/>
              <w:jc w:val="left"/>
              <w:textAlignment w:val="center"/>
              <w:rPr>
                <w:rFonts w:hint="default"/>
                <w:lang w:val="en-US" w:eastAsia="zh-CN"/>
              </w:rPr>
            </w:pPr>
            <w:r>
              <w:rPr>
                <w:rFonts w:hint="eastAsia" w:ascii="黑体" w:hAnsi="宋体" w:eastAsia="黑体" w:cs="黑体"/>
                <w:color w:val="000000"/>
                <w:kern w:val="0"/>
                <w:sz w:val="24"/>
                <w:lang w:val="en-US" w:eastAsia="zh-CN" w:bidi="ar"/>
              </w:rPr>
              <w:t>一、</w:t>
            </w:r>
            <w:r>
              <w:rPr>
                <w:rFonts w:hint="eastAsia" w:ascii="黑体" w:hAnsi="宋体" w:eastAsia="黑体" w:cs="黑体"/>
                <w:color w:val="000000"/>
                <w:kern w:val="0"/>
                <w:sz w:val="24"/>
                <w:lang w:bidi="ar"/>
              </w:rPr>
              <w:t>依据标准</w:t>
            </w:r>
          </w:p>
        </w:tc>
      </w:tr>
      <w:tr>
        <w:tblPrEx>
          <w:tblCellMar>
            <w:top w:w="0" w:type="dxa"/>
            <w:left w:w="108" w:type="dxa"/>
            <w:bottom w:w="0" w:type="dxa"/>
            <w:right w:w="108" w:type="dxa"/>
          </w:tblCellMar>
        </w:tblPrEx>
        <w:trPr>
          <w:trHeight w:val="312" w:hRule="atLeast"/>
          <w:jc w:val="center"/>
        </w:trPr>
        <w:tc>
          <w:tcPr>
            <w:tcW w:w="7754" w:type="dxa"/>
            <w:gridSpan w:val="3"/>
            <w:tcBorders>
              <w:top w:val="single" w:color="000000" w:sz="8" w:space="0"/>
              <w:left w:val="single" w:color="000000" w:sz="8" w:space="0"/>
              <w:bottom w:val="single" w:color="000000" w:sz="8" w:space="0"/>
              <w:right w:val="single" w:color="000000" w:sz="8" w:space="0"/>
            </w:tcBorders>
            <w:shd w:val="clear" w:color="auto" w:fill="auto"/>
            <w:noWrap/>
            <w:vAlign w:val="center"/>
          </w:tcPr>
          <w:p>
            <w:pPr>
              <w:pStyle w:val="2"/>
              <w:rPr>
                <w:rFonts w:hint="eastAsia" w:ascii="仿宋_GB2312" w:hAnsi="等线" w:eastAsia="仿宋_GB2312" w:cs="仿宋_GB2312"/>
                <w:color w:val="000000"/>
                <w:sz w:val="24"/>
                <w:lang w:val="en-US" w:eastAsia="zh-CN"/>
              </w:rPr>
            </w:pPr>
            <w:r>
              <w:rPr>
                <w:rFonts w:hint="eastAsia" w:ascii="仿宋_GB2312" w:hAnsi="等线" w:eastAsia="仿宋_GB2312" w:cs="仿宋_GB2312"/>
                <w:color w:val="000000"/>
                <w:sz w:val="24"/>
                <w:lang w:val="en-US" w:eastAsia="zh-CN"/>
              </w:rPr>
              <w:t>YD/T 1058-2015通信用高频开关电源系统</w:t>
            </w:r>
          </w:p>
          <w:p>
            <w:pPr>
              <w:pStyle w:val="2"/>
              <w:rPr>
                <w:rFonts w:hint="eastAsia" w:ascii="仿宋_GB2312" w:hAnsi="等线" w:eastAsia="仿宋_GB2312" w:cs="仿宋_GB2312"/>
                <w:color w:val="000000"/>
                <w:sz w:val="24"/>
                <w:lang w:val="en-US" w:eastAsia="zh-CN"/>
              </w:rPr>
            </w:pPr>
            <w:r>
              <w:rPr>
                <w:rFonts w:hint="eastAsia" w:ascii="仿宋_GB2312" w:hAnsi="等线" w:eastAsia="仿宋_GB2312" w:cs="仿宋_GB2312"/>
                <w:color w:val="000000"/>
                <w:sz w:val="24"/>
                <w:lang w:val="en-US" w:eastAsia="zh-CN"/>
              </w:rPr>
              <w:t>Q/CSG 1204081-2020南方电网通信电源技术规范</w:t>
            </w:r>
          </w:p>
          <w:p>
            <w:pPr>
              <w:pStyle w:val="2"/>
              <w:rPr>
                <w:rFonts w:hint="default"/>
                <w:lang w:val="en-US" w:eastAsia="zh-CN"/>
              </w:rPr>
            </w:pPr>
            <w:r>
              <w:rPr>
                <w:rFonts w:hint="eastAsia" w:ascii="仿宋_GB2312" w:hAnsi="等线" w:eastAsia="仿宋_GB2312" w:cs="仿宋_GB2312"/>
                <w:color w:val="000000"/>
                <w:sz w:val="24"/>
                <w:lang w:val="en-US" w:eastAsia="zh-CN"/>
              </w:rPr>
              <w:t>南方电网通信蓄电池远程核容系统送样检测标准（2022年版）</w:t>
            </w:r>
          </w:p>
        </w:tc>
      </w:tr>
      <w:tr>
        <w:tblPrEx>
          <w:tblCellMar>
            <w:top w:w="0" w:type="dxa"/>
            <w:left w:w="108" w:type="dxa"/>
            <w:bottom w:w="0" w:type="dxa"/>
            <w:right w:w="108" w:type="dxa"/>
          </w:tblCellMar>
        </w:tblPrEx>
        <w:trPr>
          <w:trHeight w:val="312" w:hRule="atLeast"/>
          <w:jc w:val="center"/>
        </w:trPr>
        <w:tc>
          <w:tcPr>
            <w:tcW w:w="7754" w:type="dxa"/>
            <w:gridSpan w:val="3"/>
            <w:vMerge w:val="restart"/>
            <w:tcBorders>
              <w:top w:val="single" w:color="000000" w:sz="8" w:space="0"/>
              <w:left w:val="single" w:color="000000" w:sz="8" w:space="0"/>
              <w:bottom w:val="single" w:color="000000" w:sz="8" w:space="0"/>
              <w:right w:val="single" w:color="000000" w:sz="8" w:space="0"/>
            </w:tcBorders>
            <w:shd w:val="clear" w:color="auto" w:fill="D9E1F4"/>
            <w:noWrap/>
            <w:vAlign w:val="center"/>
          </w:tcPr>
          <w:p>
            <w:pPr>
              <w:widowControl/>
              <w:jc w:val="both"/>
              <w:textAlignment w:val="center"/>
              <w:rPr>
                <w:rFonts w:hint="eastAsia" w:ascii="黑体" w:hAnsi="宋体" w:eastAsia="黑体" w:cs="黑体"/>
                <w:color w:val="000000"/>
                <w:sz w:val="24"/>
                <w:lang w:eastAsia="zh-CN"/>
              </w:rPr>
            </w:pPr>
            <w:r>
              <w:rPr>
                <w:rFonts w:hint="eastAsia" w:ascii="黑体" w:hAnsi="宋体" w:eastAsia="黑体" w:cs="黑体"/>
                <w:color w:val="000000"/>
                <w:kern w:val="0"/>
                <w:sz w:val="24"/>
                <w:lang w:val="en-US" w:eastAsia="zh-CN" w:bidi="ar"/>
              </w:rPr>
              <w:t>二、</w:t>
            </w:r>
            <w:r>
              <w:rPr>
                <w:rFonts w:hint="eastAsia" w:ascii="黑体" w:hAnsi="宋体" w:eastAsia="黑体" w:cs="黑体"/>
                <w:color w:val="000000"/>
                <w:kern w:val="0"/>
                <w:sz w:val="24"/>
                <w:lang w:bidi="ar"/>
              </w:rPr>
              <w:t>检测项目</w:t>
            </w:r>
          </w:p>
        </w:tc>
      </w:tr>
      <w:tr>
        <w:tblPrEx>
          <w:tblCellMar>
            <w:top w:w="0" w:type="dxa"/>
            <w:left w:w="108" w:type="dxa"/>
            <w:bottom w:w="0" w:type="dxa"/>
            <w:right w:w="108" w:type="dxa"/>
          </w:tblCellMar>
        </w:tblPrEx>
        <w:trPr>
          <w:trHeight w:val="312" w:hRule="atLeast"/>
          <w:jc w:val="center"/>
        </w:trPr>
        <w:tc>
          <w:tcPr>
            <w:tcW w:w="7754" w:type="dxa"/>
            <w:gridSpan w:val="3"/>
            <w:vMerge w:val="continue"/>
            <w:tcBorders>
              <w:top w:val="single" w:color="000000" w:sz="8" w:space="0"/>
              <w:left w:val="single" w:color="000000" w:sz="8" w:space="0"/>
              <w:bottom w:val="single" w:color="auto" w:sz="4" w:space="0"/>
              <w:right w:val="single" w:color="000000" w:sz="8" w:space="0"/>
            </w:tcBorders>
            <w:shd w:val="clear" w:color="auto" w:fill="D9E1F4"/>
            <w:noWrap/>
            <w:vAlign w:val="center"/>
          </w:tcPr>
          <w:p>
            <w:pPr>
              <w:jc w:val="center"/>
              <w:rPr>
                <w:rFonts w:hint="eastAsia" w:ascii="黑体" w:hAnsi="宋体" w:eastAsia="黑体" w:cs="黑体"/>
                <w:color w:val="000000"/>
                <w:sz w:val="24"/>
              </w:rPr>
            </w:pP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外观检查</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交流输入电压允许变动范围</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输入频率允许变动范围</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4</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输入电压波形畸变率</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5</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输入功率因数</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6</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输入电流谐波成分</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7</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直流输出电压可调节范围</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8</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系统稳压精度</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9</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系统电话衡重杂音电压</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10</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系统峰-峰值杂音电压</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11</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直流配电部分压降</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12</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系统效率</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13</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并联工作性能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14</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事故照明功能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15</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交流输入电源转换</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16</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蓄电池管理功能</w:t>
            </w:r>
          </w:p>
        </w:tc>
      </w:tr>
      <w:tr>
        <w:tblPrEx>
          <w:tblCellMar>
            <w:top w:w="0" w:type="dxa"/>
            <w:left w:w="108" w:type="dxa"/>
            <w:bottom w:w="0" w:type="dxa"/>
            <w:right w:w="108" w:type="dxa"/>
          </w:tblCellMar>
        </w:tblPrEx>
        <w:trPr>
          <w:trHeight w:val="312" w:hRule="atLeast"/>
          <w:jc w:val="center"/>
        </w:trPr>
        <w:tc>
          <w:tcPr>
            <w:tcW w:w="121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17</w:t>
            </w:r>
          </w:p>
        </w:tc>
        <w:tc>
          <w:tcPr>
            <w:tcW w:w="219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监控性能</w:t>
            </w:r>
          </w:p>
        </w:tc>
        <w:tc>
          <w:tcPr>
            <w:tcW w:w="43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监控基本功能</w:t>
            </w:r>
          </w:p>
        </w:tc>
      </w:tr>
      <w:tr>
        <w:tblPrEx>
          <w:tblCellMar>
            <w:top w:w="0" w:type="dxa"/>
            <w:left w:w="108" w:type="dxa"/>
            <w:bottom w:w="0" w:type="dxa"/>
            <w:right w:w="108" w:type="dxa"/>
          </w:tblCellMar>
        </w:tblPrEx>
        <w:trPr>
          <w:trHeight w:val="340" w:hRule="atLeast"/>
          <w:jc w:val="center"/>
        </w:trPr>
        <w:tc>
          <w:tcPr>
            <w:tcW w:w="121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p>
        </w:tc>
        <w:tc>
          <w:tcPr>
            <w:tcW w:w="219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000000"/>
                <w:sz w:val="24"/>
                <w:szCs w:val="24"/>
              </w:rPr>
            </w:pPr>
          </w:p>
        </w:tc>
        <w:tc>
          <w:tcPr>
            <w:tcW w:w="43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监控采集功能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18</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交流输入过、欠电压保护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19</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三相交流输入缺相保护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20</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直流输出过、欠电压保护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21</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直流输出电流限制或输出功率限制功能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22</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直流输出过流及短路保护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23</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蓄电池欠压保护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24</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负载下电功能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25</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熔断器(或断路器)保护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26</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温度过高保护</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27</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告警功能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28</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防雷性能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29</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接地性能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30</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绝缘电阻</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31</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抗电强度</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32</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接触电流</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33</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材料阻燃性能</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34</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系统音响噪声</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35</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系统温升</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36</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低温存储试验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37</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低温工作试验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38</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高温存储试验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39</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高温工作试验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40</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恒定湿热试验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41</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振动或运输试验</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静电放电抗扰性</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43</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传导骚扰限值</w:t>
            </w:r>
          </w:p>
        </w:tc>
      </w:tr>
      <w:tr>
        <w:tblPrEx>
          <w:tblCellMar>
            <w:top w:w="0" w:type="dxa"/>
            <w:left w:w="108" w:type="dxa"/>
            <w:bottom w:w="0" w:type="dxa"/>
            <w:right w:w="108" w:type="dxa"/>
          </w:tblCellMar>
        </w:tblPrEx>
        <w:trPr>
          <w:trHeight w:val="340" w:hRule="atLeast"/>
          <w:jc w:val="center"/>
        </w:trPr>
        <w:tc>
          <w:tcPr>
            <w:tcW w:w="121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44</w:t>
            </w:r>
          </w:p>
        </w:tc>
        <w:tc>
          <w:tcPr>
            <w:tcW w:w="654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辐射骚扰限值</w:t>
            </w:r>
          </w:p>
        </w:tc>
      </w:tr>
    </w:tbl>
    <w:p>
      <w:pPr>
        <w:pStyle w:val="2"/>
        <w:rPr>
          <w:rFonts w:hint="default"/>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D00C58"/>
    <w:rsid w:val="02316FEE"/>
    <w:rsid w:val="02382230"/>
    <w:rsid w:val="02903F44"/>
    <w:rsid w:val="03091E03"/>
    <w:rsid w:val="038F3245"/>
    <w:rsid w:val="03EF3B00"/>
    <w:rsid w:val="043A3271"/>
    <w:rsid w:val="045D5BC2"/>
    <w:rsid w:val="0474766B"/>
    <w:rsid w:val="0488238D"/>
    <w:rsid w:val="04AA4233"/>
    <w:rsid w:val="051E41F2"/>
    <w:rsid w:val="052460FB"/>
    <w:rsid w:val="05513747"/>
    <w:rsid w:val="05DD1BC6"/>
    <w:rsid w:val="0661309E"/>
    <w:rsid w:val="06DC37CD"/>
    <w:rsid w:val="081D54B2"/>
    <w:rsid w:val="08793F74"/>
    <w:rsid w:val="087A0447"/>
    <w:rsid w:val="08E04C1D"/>
    <w:rsid w:val="09FC6B3C"/>
    <w:rsid w:val="0A5B4492"/>
    <w:rsid w:val="0C897FA2"/>
    <w:rsid w:val="0D1141AC"/>
    <w:rsid w:val="0DA61673"/>
    <w:rsid w:val="0DAD0FFE"/>
    <w:rsid w:val="0DF00BAB"/>
    <w:rsid w:val="0F9E0235"/>
    <w:rsid w:val="0FCB1378"/>
    <w:rsid w:val="10B4026F"/>
    <w:rsid w:val="10B70054"/>
    <w:rsid w:val="11027EC9"/>
    <w:rsid w:val="11142614"/>
    <w:rsid w:val="115364FF"/>
    <w:rsid w:val="117D67C0"/>
    <w:rsid w:val="11D65DD3"/>
    <w:rsid w:val="11DE5594"/>
    <w:rsid w:val="12083A72"/>
    <w:rsid w:val="1248390A"/>
    <w:rsid w:val="12B25538"/>
    <w:rsid w:val="140E3995"/>
    <w:rsid w:val="14F94D1D"/>
    <w:rsid w:val="15C44EC6"/>
    <w:rsid w:val="15D23CCD"/>
    <w:rsid w:val="162D35F1"/>
    <w:rsid w:val="18E64DFC"/>
    <w:rsid w:val="190E4E8A"/>
    <w:rsid w:val="19641C0E"/>
    <w:rsid w:val="19CA3A5C"/>
    <w:rsid w:val="1A991D03"/>
    <w:rsid w:val="1B1C4A7A"/>
    <w:rsid w:val="1B881D81"/>
    <w:rsid w:val="1BB42683"/>
    <w:rsid w:val="1C740531"/>
    <w:rsid w:val="1CBD25FA"/>
    <w:rsid w:val="1CF94725"/>
    <w:rsid w:val="1D364F15"/>
    <w:rsid w:val="1E305AF6"/>
    <w:rsid w:val="1E3C6829"/>
    <w:rsid w:val="1F412854"/>
    <w:rsid w:val="1F5570C1"/>
    <w:rsid w:val="1F59377E"/>
    <w:rsid w:val="1F7A2683"/>
    <w:rsid w:val="1F9522DE"/>
    <w:rsid w:val="201209AE"/>
    <w:rsid w:val="203778E9"/>
    <w:rsid w:val="209B2C72"/>
    <w:rsid w:val="21687359"/>
    <w:rsid w:val="216F7310"/>
    <w:rsid w:val="21CA54F6"/>
    <w:rsid w:val="22004956"/>
    <w:rsid w:val="227930C6"/>
    <w:rsid w:val="22923EC5"/>
    <w:rsid w:val="240D3B04"/>
    <w:rsid w:val="244D0B28"/>
    <w:rsid w:val="253D5128"/>
    <w:rsid w:val="269A0FB9"/>
    <w:rsid w:val="27A405A9"/>
    <w:rsid w:val="27D172E0"/>
    <w:rsid w:val="27D1735B"/>
    <w:rsid w:val="282A098B"/>
    <w:rsid w:val="2830587D"/>
    <w:rsid w:val="28D0506B"/>
    <w:rsid w:val="29CB61A1"/>
    <w:rsid w:val="2A2A4E35"/>
    <w:rsid w:val="2AD134D0"/>
    <w:rsid w:val="2AE57EAF"/>
    <w:rsid w:val="2B3A767C"/>
    <w:rsid w:val="2B4E5B96"/>
    <w:rsid w:val="2B552424"/>
    <w:rsid w:val="2C801F12"/>
    <w:rsid w:val="2D1101CC"/>
    <w:rsid w:val="2D8432FA"/>
    <w:rsid w:val="2E316055"/>
    <w:rsid w:val="2F17393F"/>
    <w:rsid w:val="30714674"/>
    <w:rsid w:val="31A54783"/>
    <w:rsid w:val="31DE5E92"/>
    <w:rsid w:val="32A75BE1"/>
    <w:rsid w:val="339E7869"/>
    <w:rsid w:val="33C073C5"/>
    <w:rsid w:val="34352791"/>
    <w:rsid w:val="343C67F2"/>
    <w:rsid w:val="34AD7A7E"/>
    <w:rsid w:val="351453A4"/>
    <w:rsid w:val="3540038C"/>
    <w:rsid w:val="35C651C7"/>
    <w:rsid w:val="362E30AE"/>
    <w:rsid w:val="36602DCE"/>
    <w:rsid w:val="36BD1EDC"/>
    <w:rsid w:val="371D31FA"/>
    <w:rsid w:val="379F02D0"/>
    <w:rsid w:val="384D38EC"/>
    <w:rsid w:val="38A722E3"/>
    <w:rsid w:val="3909118E"/>
    <w:rsid w:val="3A2E433E"/>
    <w:rsid w:val="3B20012B"/>
    <w:rsid w:val="3B4309FB"/>
    <w:rsid w:val="3B614453"/>
    <w:rsid w:val="3B980E56"/>
    <w:rsid w:val="3BD16A31"/>
    <w:rsid w:val="3C76394F"/>
    <w:rsid w:val="3CB215A2"/>
    <w:rsid w:val="3DBC52D8"/>
    <w:rsid w:val="3DE21C94"/>
    <w:rsid w:val="3E47743A"/>
    <w:rsid w:val="3EE44DED"/>
    <w:rsid w:val="410B1D4A"/>
    <w:rsid w:val="412D71FD"/>
    <w:rsid w:val="414B7825"/>
    <w:rsid w:val="41F646C8"/>
    <w:rsid w:val="42CA7F23"/>
    <w:rsid w:val="430E2866"/>
    <w:rsid w:val="43254DBA"/>
    <w:rsid w:val="43E81820"/>
    <w:rsid w:val="44647CC4"/>
    <w:rsid w:val="447A33AA"/>
    <w:rsid w:val="451E70F3"/>
    <w:rsid w:val="46972D74"/>
    <w:rsid w:val="48457920"/>
    <w:rsid w:val="48AC05C9"/>
    <w:rsid w:val="49932E45"/>
    <w:rsid w:val="4A152945"/>
    <w:rsid w:val="4AD27479"/>
    <w:rsid w:val="4D463756"/>
    <w:rsid w:val="4D486759"/>
    <w:rsid w:val="4D73501E"/>
    <w:rsid w:val="4DDA5CC7"/>
    <w:rsid w:val="4E7B5851"/>
    <w:rsid w:val="4F1A33B7"/>
    <w:rsid w:val="4F801DF4"/>
    <w:rsid w:val="501034CC"/>
    <w:rsid w:val="50771950"/>
    <w:rsid w:val="507B4F96"/>
    <w:rsid w:val="51154388"/>
    <w:rsid w:val="5193364D"/>
    <w:rsid w:val="51D77336"/>
    <w:rsid w:val="542A3A4D"/>
    <w:rsid w:val="5438153A"/>
    <w:rsid w:val="54656AAB"/>
    <w:rsid w:val="55513B61"/>
    <w:rsid w:val="56070581"/>
    <w:rsid w:val="561E35DE"/>
    <w:rsid w:val="58176970"/>
    <w:rsid w:val="58E93DFA"/>
    <w:rsid w:val="58F70B83"/>
    <w:rsid w:val="58FA4C7B"/>
    <w:rsid w:val="58FF7DF8"/>
    <w:rsid w:val="593E70A4"/>
    <w:rsid w:val="59895285"/>
    <w:rsid w:val="5A9E4350"/>
    <w:rsid w:val="5AB865E5"/>
    <w:rsid w:val="5AE605F2"/>
    <w:rsid w:val="5AEA2CC8"/>
    <w:rsid w:val="5AFA4AD0"/>
    <w:rsid w:val="5AFC7FD4"/>
    <w:rsid w:val="5B5D6D73"/>
    <w:rsid w:val="5B81031A"/>
    <w:rsid w:val="5BEBC238"/>
    <w:rsid w:val="5C45642D"/>
    <w:rsid w:val="5DB3102C"/>
    <w:rsid w:val="5E0B4F4B"/>
    <w:rsid w:val="5ED35121"/>
    <w:rsid w:val="5F0842F6"/>
    <w:rsid w:val="5FE77BC3"/>
    <w:rsid w:val="6091637B"/>
    <w:rsid w:val="60F85757"/>
    <w:rsid w:val="633C048F"/>
    <w:rsid w:val="63E44975"/>
    <w:rsid w:val="643C4C03"/>
    <w:rsid w:val="649A719B"/>
    <w:rsid w:val="65765F2C"/>
    <w:rsid w:val="673B3A2C"/>
    <w:rsid w:val="67651A3D"/>
    <w:rsid w:val="67746C30"/>
    <w:rsid w:val="696470D9"/>
    <w:rsid w:val="69872ACA"/>
    <w:rsid w:val="69C63668"/>
    <w:rsid w:val="6A82754B"/>
    <w:rsid w:val="6B2A2617"/>
    <w:rsid w:val="6B2E68F1"/>
    <w:rsid w:val="6BA0061C"/>
    <w:rsid w:val="6C386C1D"/>
    <w:rsid w:val="6C3A079D"/>
    <w:rsid w:val="6CBF5146"/>
    <w:rsid w:val="6CEC4142"/>
    <w:rsid w:val="6D873E94"/>
    <w:rsid w:val="6EBA5637"/>
    <w:rsid w:val="6EDB4DC7"/>
    <w:rsid w:val="6F886897"/>
    <w:rsid w:val="704542F1"/>
    <w:rsid w:val="706630F4"/>
    <w:rsid w:val="706A53C9"/>
    <w:rsid w:val="70A132D9"/>
    <w:rsid w:val="70BA2C98"/>
    <w:rsid w:val="715568A7"/>
    <w:rsid w:val="715C0189"/>
    <w:rsid w:val="71D8334A"/>
    <w:rsid w:val="73A923D2"/>
    <w:rsid w:val="73FD7DC8"/>
    <w:rsid w:val="74951F55"/>
    <w:rsid w:val="76970420"/>
    <w:rsid w:val="76A700A2"/>
    <w:rsid w:val="7709593C"/>
    <w:rsid w:val="771863F0"/>
    <w:rsid w:val="77D71C64"/>
    <w:rsid w:val="782146A4"/>
    <w:rsid w:val="79294BA1"/>
    <w:rsid w:val="79874087"/>
    <w:rsid w:val="79F851D5"/>
    <w:rsid w:val="7A335227"/>
    <w:rsid w:val="7A8A3819"/>
    <w:rsid w:val="7AA1145D"/>
    <w:rsid w:val="7BEE0EE2"/>
    <w:rsid w:val="7C7A21E7"/>
    <w:rsid w:val="7E281E48"/>
    <w:rsid w:val="7F893C4C"/>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kern w:val="2"/>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4">
    <w:name w:val="caption"/>
    <w:basedOn w:val="1"/>
    <w:next w:val="1"/>
    <w:semiHidden/>
    <w:unhideWhenUsed/>
    <w:qFormat/>
    <w:uiPriority w:val="0"/>
    <w:rPr>
      <w:rFonts w:ascii="Arial" w:hAnsi="Arial" w:eastAsia="黑体"/>
      <w:sz w:val="20"/>
    </w:rPr>
  </w:style>
  <w:style w:type="paragraph" w:styleId="5">
    <w:name w:val="annotation text"/>
    <w:basedOn w:val="1"/>
    <w:qFormat/>
    <w:uiPriority w:val="0"/>
    <w:pPr>
      <w:jc w:val="left"/>
    </w:pPr>
  </w:style>
  <w:style w:type="paragraph" w:styleId="6">
    <w:name w:val="Body Text Indent"/>
    <w:basedOn w:val="1"/>
    <w:unhideWhenUsed/>
    <w:qFormat/>
    <w:uiPriority w:val="99"/>
    <w:pPr>
      <w:spacing w:line="460" w:lineRule="exact"/>
      <w:ind w:firstLine="510"/>
    </w:pPr>
    <w:rPr>
      <w:kern w:val="0"/>
      <w:sz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6"/>
    <w:unhideWhenUsed/>
    <w:qFormat/>
    <w:uiPriority w:val="99"/>
    <w:pPr>
      <w:ind w:leftChars="200" w:firstLine="420" w:firstLineChars="200"/>
    </w:pPr>
  </w:style>
  <w:style w:type="paragraph" w:customStyle="1" w:styleId="11">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12">
    <w:name w:val="Normal Indent1"/>
    <w:basedOn w:val="1"/>
    <w:qFormat/>
    <w:uiPriority w:val="0"/>
    <w:pPr>
      <w:ind w:firstLine="20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1462</Words>
  <Characters>1501</Characters>
  <Lines>0</Lines>
  <Paragraphs>0</Paragraphs>
  <TotalTime>45</TotalTime>
  <ScaleCrop>false</ScaleCrop>
  <LinksUpToDate>false</LinksUpToDate>
  <CharactersWithSpaces>1505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2024-04-19T18:51:00Z</dcterms:created>
  <dc:creator>礼佳</dc:creator>
  <cp:lastModifiedBy>60368B200B62482B82C25303E90D1980</cp:lastModifiedBy>
  <dcterms:modified xsi:type="dcterms:W3CDTF">2026-06-23T08:13:40Z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814D47D904124955BC89E636271920FD_13</vt:lpwstr>
  </property>
  <property fmtid="{D5CDD505-2E9C-101B-9397-08002B2CF9AE}" pid="4" name="KSOTemplateDocerSaveRecord">
    <vt:lpwstr>eyJoZGlkIjoiMjc3YjYyYzI1M2VlOWNiMmQ3YmU5MDdkN2NiMDc2ZjIiLCJ1c2VySWQiOiIxOTQyNjE3OTQifQ==</vt:lpwstr>
  </property>
</Properties>
</file>