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1A5E3">
      <w:pPr>
        <w:spacing w:line="600" w:lineRule="exact"/>
        <w:jc w:val="center"/>
        <w:rPr>
          <w:rFonts w:hint="eastAsia" w:asciiTheme="majorEastAsia" w:hAnsiTheme="majorEastAsia" w:eastAsiaTheme="majorEastAsia"/>
          <w:b/>
          <w:sz w:val="44"/>
          <w:szCs w:val="44"/>
        </w:rPr>
      </w:pPr>
      <w:bookmarkStart w:id="0" w:name="_Toc247456321"/>
      <w:bookmarkStart w:id="1" w:name="_Toc260069638"/>
      <w:bookmarkStart w:id="2" w:name="_Toc247456250"/>
      <w:bookmarkStart w:id="3" w:name="_Toc229305439"/>
    </w:p>
    <w:p w14:paraId="1DC5BC33">
      <w:pPr>
        <w:spacing w:line="600" w:lineRule="exact"/>
        <w:jc w:val="center"/>
        <w:rPr>
          <w:rFonts w:hint="eastAsia" w:asciiTheme="majorEastAsia" w:hAnsiTheme="majorEastAsia" w:eastAsiaTheme="majorEastAsia"/>
          <w:b/>
          <w:sz w:val="44"/>
          <w:szCs w:val="44"/>
        </w:rPr>
      </w:pPr>
    </w:p>
    <w:p w14:paraId="45D1B5FC">
      <w:pPr>
        <w:spacing w:line="600" w:lineRule="exact"/>
        <w:jc w:val="center"/>
        <w:rPr>
          <w:rFonts w:hint="eastAsia" w:asciiTheme="majorEastAsia" w:hAnsiTheme="majorEastAsia" w:eastAsiaTheme="majorEastAsia"/>
          <w:b/>
          <w:sz w:val="44"/>
          <w:szCs w:val="44"/>
        </w:rPr>
      </w:pPr>
    </w:p>
    <w:p w14:paraId="193F6D00">
      <w:pPr>
        <w:spacing w:line="60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南方电网数字电网集团（海南）有限公司2026年ISO20000、ISO27001再认证、监督审核及辅导服务</w:t>
      </w:r>
    </w:p>
    <w:p w14:paraId="3145546B">
      <w:pPr>
        <w:spacing w:line="600" w:lineRule="exact"/>
        <w:jc w:val="center"/>
        <w:rPr>
          <w:rFonts w:hint="eastAsia" w:asciiTheme="majorEastAsia" w:hAnsiTheme="majorEastAsia" w:eastAsiaTheme="majorEastAsia"/>
          <w:b/>
          <w:sz w:val="44"/>
          <w:szCs w:val="44"/>
        </w:rPr>
      </w:pPr>
    </w:p>
    <w:p w14:paraId="4BC46849">
      <w:pPr>
        <w:spacing w:line="60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技术规范书</w:t>
      </w:r>
    </w:p>
    <w:p w14:paraId="48E18313">
      <w:pPr>
        <w:spacing w:line="600" w:lineRule="exact"/>
        <w:jc w:val="center"/>
        <w:rPr>
          <w:rFonts w:hint="eastAsia" w:asciiTheme="majorEastAsia" w:hAnsiTheme="majorEastAsia" w:eastAsiaTheme="majorEastAsia"/>
          <w:b/>
          <w:sz w:val="44"/>
          <w:szCs w:val="44"/>
        </w:rPr>
        <w:sectPr>
          <w:footerReference r:id="rId5" w:type="default"/>
          <w:pgSz w:w="11906" w:h="16838"/>
          <w:pgMar w:top="1418" w:right="1418" w:bottom="1418" w:left="1418" w:header="1021" w:footer="907" w:gutter="0"/>
          <w:cols w:space="425" w:num="1"/>
          <w:docGrid w:linePitch="312" w:charSpace="0"/>
        </w:sectPr>
      </w:pPr>
    </w:p>
    <w:sdt>
      <w:sdtPr>
        <w:rPr>
          <w:rFonts w:ascii="宋体" w:hAnsi="宋体" w:eastAsia="宋体" w:cstheme="minorBidi"/>
          <w:kern w:val="2"/>
          <w:sz w:val="21"/>
          <w:szCs w:val="22"/>
          <w:lang w:val="en-US" w:eastAsia="zh-CN" w:bidi="ar-SA"/>
        </w:rPr>
        <w:id w:val="147463737"/>
        <w15:color w:val="DBDBDB"/>
        <w:docPartObj>
          <w:docPartGallery w:val="Table of Contents"/>
          <w:docPartUnique/>
        </w:docPartObj>
      </w:sdtPr>
      <w:sdtEndPr>
        <w:rPr>
          <w:rFonts w:hint="eastAsia" w:asciiTheme="minorHAnsi" w:hAnsiTheme="minorHAnsi" w:eastAsiaTheme="minorEastAsia" w:cstheme="minorBidi"/>
          <w:kern w:val="2"/>
          <w:sz w:val="21"/>
          <w:szCs w:val="22"/>
          <w:lang w:val="en-US" w:eastAsia="zh-CN" w:bidi="ar-SA"/>
        </w:rPr>
      </w:sdtEndPr>
      <w:sdtContent>
        <w:p w14:paraId="6F817252">
          <w:pPr>
            <w:spacing w:before="0" w:beforeLines="0" w:after="0" w:afterLines="0" w:line="240" w:lineRule="auto"/>
            <w:ind w:left="0" w:leftChars="0" w:right="0" w:rightChars="0" w:firstLine="0" w:firstLineChars="0"/>
            <w:jc w:val="center"/>
          </w:pPr>
          <w:r>
            <w:rPr>
              <w:rFonts w:ascii="宋体" w:hAnsi="宋体" w:eastAsia="宋体"/>
              <w:sz w:val="21"/>
            </w:rPr>
            <w:t>目录</w:t>
          </w:r>
        </w:p>
        <w:p w14:paraId="3624E1B3">
          <w:pPr>
            <w:pStyle w:val="13"/>
            <w:tabs>
              <w:tab w:val="right" w:leader="dot" w:pos="9070"/>
            </w:tabs>
          </w:pPr>
          <w:r>
            <w:rPr>
              <w:rFonts w:hint="eastAsia"/>
            </w:rPr>
            <w:fldChar w:fldCharType="begin"/>
          </w:r>
          <w:r>
            <w:rPr>
              <w:rFonts w:hint="eastAsia"/>
            </w:rPr>
            <w:instrText xml:space="preserve">TOC \o "1-1" \h \u </w:instrText>
          </w:r>
          <w:r>
            <w:rPr>
              <w:rFonts w:hint="eastAsia"/>
            </w:rPr>
            <w:fldChar w:fldCharType="separate"/>
          </w:r>
          <w:r>
            <w:rPr>
              <w:rFonts w:hint="eastAsia"/>
            </w:rPr>
            <w:fldChar w:fldCharType="begin"/>
          </w:r>
          <w:r>
            <w:rPr>
              <w:rFonts w:hint="eastAsia"/>
            </w:rPr>
            <w:instrText xml:space="preserve"> HYPERLINK \l _Toc29728 </w:instrText>
          </w:r>
          <w:r>
            <w:rPr>
              <w:rFonts w:hint="eastAsia"/>
            </w:rPr>
            <w:fldChar w:fldCharType="separate"/>
          </w:r>
          <w:r>
            <w:rPr>
              <w:rFonts w:hint="default"/>
            </w:rPr>
            <w:t xml:space="preserve">1. </w:t>
          </w:r>
          <w:r>
            <w:rPr>
              <w:rFonts w:hint="eastAsia"/>
            </w:rPr>
            <w:t>项目概述</w:t>
          </w:r>
          <w:r>
            <w:tab/>
          </w:r>
          <w:r>
            <w:fldChar w:fldCharType="begin"/>
          </w:r>
          <w:r>
            <w:instrText xml:space="preserve"> PAGEREF _Toc29728 \h </w:instrText>
          </w:r>
          <w:r>
            <w:fldChar w:fldCharType="separate"/>
          </w:r>
          <w:r>
            <w:t>3</w:t>
          </w:r>
          <w:r>
            <w:fldChar w:fldCharType="end"/>
          </w:r>
          <w:r>
            <w:rPr>
              <w:rFonts w:hint="eastAsia"/>
            </w:rPr>
            <w:fldChar w:fldCharType="end"/>
          </w:r>
        </w:p>
        <w:p w14:paraId="07D551CF">
          <w:pPr>
            <w:pStyle w:val="13"/>
            <w:tabs>
              <w:tab w:val="right" w:leader="dot" w:pos="9070"/>
            </w:tabs>
          </w:pPr>
          <w:r>
            <w:rPr>
              <w:rFonts w:hint="eastAsia"/>
            </w:rPr>
            <w:fldChar w:fldCharType="begin"/>
          </w:r>
          <w:r>
            <w:rPr>
              <w:rFonts w:hint="eastAsia"/>
            </w:rPr>
            <w:instrText xml:space="preserve"> HYPERLINK \l _Toc16785 </w:instrText>
          </w:r>
          <w:r>
            <w:rPr>
              <w:rFonts w:hint="eastAsia"/>
            </w:rPr>
            <w:fldChar w:fldCharType="separate"/>
          </w:r>
          <w:r>
            <w:rPr>
              <w:rFonts w:hint="default"/>
              <w:lang w:val="en-US" w:eastAsia="zh-CN" w:bidi="ar-SA"/>
            </w:rPr>
            <w:t xml:space="preserve">2. </w:t>
          </w:r>
          <w:r>
            <w:rPr>
              <w:rFonts w:hint="eastAsia"/>
              <w:bCs/>
              <w:lang w:val="en-US" w:eastAsia="zh-CN" w:bidi="ar-SA"/>
            </w:rPr>
            <w:t>技术服务内容</w:t>
          </w:r>
          <w:r>
            <w:tab/>
          </w:r>
          <w:r>
            <w:fldChar w:fldCharType="begin"/>
          </w:r>
          <w:r>
            <w:instrText xml:space="preserve"> PAGEREF _Toc16785 \h </w:instrText>
          </w:r>
          <w:r>
            <w:fldChar w:fldCharType="separate"/>
          </w:r>
          <w:r>
            <w:t>3</w:t>
          </w:r>
          <w:r>
            <w:fldChar w:fldCharType="end"/>
          </w:r>
          <w:r>
            <w:rPr>
              <w:rFonts w:hint="eastAsia"/>
            </w:rPr>
            <w:fldChar w:fldCharType="end"/>
          </w:r>
        </w:p>
        <w:p w14:paraId="38881628">
          <w:pPr>
            <w:pStyle w:val="13"/>
            <w:tabs>
              <w:tab w:val="right" w:leader="dot" w:pos="9070"/>
            </w:tabs>
          </w:pPr>
          <w:r>
            <w:rPr>
              <w:rFonts w:hint="eastAsia"/>
            </w:rPr>
            <w:fldChar w:fldCharType="begin"/>
          </w:r>
          <w:r>
            <w:rPr>
              <w:rFonts w:hint="eastAsia"/>
            </w:rPr>
            <w:instrText xml:space="preserve"> HYPERLINK \l _Toc31138 </w:instrText>
          </w:r>
          <w:r>
            <w:rPr>
              <w:rFonts w:hint="eastAsia"/>
            </w:rPr>
            <w:fldChar w:fldCharType="separate"/>
          </w:r>
          <w:r>
            <w:rPr>
              <w:rFonts w:hint="default"/>
              <w:lang w:val="en-US" w:eastAsia="zh-CN" w:bidi="ar-SA"/>
            </w:rPr>
            <w:t xml:space="preserve">3. </w:t>
          </w:r>
          <w:r>
            <w:rPr>
              <w:rFonts w:hint="eastAsia"/>
              <w:bCs/>
              <w:lang w:val="en-US" w:eastAsia="zh-CN" w:bidi="ar-SA"/>
            </w:rPr>
            <w:t>项目管理</w:t>
          </w:r>
          <w:r>
            <w:tab/>
          </w:r>
          <w:r>
            <w:fldChar w:fldCharType="begin"/>
          </w:r>
          <w:r>
            <w:instrText xml:space="preserve"> PAGEREF _Toc31138 \h </w:instrText>
          </w:r>
          <w:r>
            <w:fldChar w:fldCharType="separate"/>
          </w:r>
          <w:r>
            <w:t>4</w:t>
          </w:r>
          <w:r>
            <w:fldChar w:fldCharType="end"/>
          </w:r>
          <w:r>
            <w:rPr>
              <w:rFonts w:hint="eastAsia"/>
            </w:rPr>
            <w:fldChar w:fldCharType="end"/>
          </w:r>
        </w:p>
        <w:p w14:paraId="71D29B5D">
          <w:pPr>
            <w:pStyle w:val="13"/>
            <w:tabs>
              <w:tab w:val="right" w:leader="dot" w:pos="9070"/>
            </w:tabs>
          </w:pPr>
          <w:r>
            <w:rPr>
              <w:rFonts w:hint="eastAsia"/>
            </w:rPr>
            <w:fldChar w:fldCharType="begin"/>
          </w:r>
          <w:r>
            <w:rPr>
              <w:rFonts w:hint="eastAsia"/>
            </w:rPr>
            <w:instrText xml:space="preserve"> HYPERLINK \l _Toc30191 </w:instrText>
          </w:r>
          <w:r>
            <w:rPr>
              <w:rFonts w:hint="eastAsia"/>
            </w:rPr>
            <w:fldChar w:fldCharType="separate"/>
          </w:r>
          <w:r>
            <w:rPr>
              <w:rFonts w:hint="default"/>
              <w:lang w:val="en-US" w:eastAsia="zh-CN" w:bidi="ar-SA"/>
            </w:rPr>
            <w:t xml:space="preserve">4. </w:t>
          </w:r>
          <w:r>
            <w:rPr>
              <w:rFonts w:hint="eastAsia"/>
              <w:bCs/>
              <w:lang w:val="en-US" w:eastAsia="zh-CN" w:bidi="ar-SA"/>
            </w:rPr>
            <w:t>质量保证</w:t>
          </w:r>
          <w:r>
            <w:tab/>
          </w:r>
          <w:r>
            <w:fldChar w:fldCharType="begin"/>
          </w:r>
          <w:r>
            <w:instrText xml:space="preserve"> PAGEREF _Toc30191 \h </w:instrText>
          </w:r>
          <w:r>
            <w:fldChar w:fldCharType="separate"/>
          </w:r>
          <w:r>
            <w:t>4</w:t>
          </w:r>
          <w:r>
            <w:fldChar w:fldCharType="end"/>
          </w:r>
          <w:r>
            <w:rPr>
              <w:rFonts w:hint="eastAsia"/>
            </w:rPr>
            <w:fldChar w:fldCharType="end"/>
          </w:r>
        </w:p>
        <w:p w14:paraId="06EA1EA9">
          <w:pPr>
            <w:pStyle w:val="13"/>
            <w:tabs>
              <w:tab w:val="right" w:leader="dot" w:pos="9070"/>
            </w:tabs>
          </w:pPr>
          <w:r>
            <w:rPr>
              <w:rFonts w:hint="eastAsia"/>
            </w:rPr>
            <w:fldChar w:fldCharType="begin"/>
          </w:r>
          <w:r>
            <w:rPr>
              <w:rFonts w:hint="eastAsia"/>
            </w:rPr>
            <w:instrText xml:space="preserve"> HYPERLINK \l _Toc17020 </w:instrText>
          </w:r>
          <w:r>
            <w:rPr>
              <w:rFonts w:hint="eastAsia"/>
            </w:rPr>
            <w:fldChar w:fldCharType="separate"/>
          </w:r>
          <w:r>
            <w:rPr>
              <w:rFonts w:hint="default"/>
              <w:lang w:val="en-US" w:eastAsia="zh-CN"/>
            </w:rPr>
            <w:t xml:space="preserve">5. </w:t>
          </w:r>
          <w:r>
            <w:rPr>
              <w:rFonts w:hint="eastAsia"/>
              <w:lang w:val="en-US" w:eastAsia="zh-CN"/>
            </w:rPr>
            <w:t>组织保证</w:t>
          </w:r>
          <w:r>
            <w:tab/>
          </w:r>
          <w:r>
            <w:fldChar w:fldCharType="begin"/>
          </w:r>
          <w:r>
            <w:instrText xml:space="preserve"> PAGEREF _Toc17020 \h </w:instrText>
          </w:r>
          <w:r>
            <w:fldChar w:fldCharType="separate"/>
          </w:r>
          <w:r>
            <w:t>4</w:t>
          </w:r>
          <w:r>
            <w:fldChar w:fldCharType="end"/>
          </w:r>
          <w:r>
            <w:rPr>
              <w:rFonts w:hint="eastAsia"/>
            </w:rPr>
            <w:fldChar w:fldCharType="end"/>
          </w:r>
        </w:p>
        <w:p w14:paraId="7D640F1B">
          <w:pPr>
            <w:pStyle w:val="13"/>
            <w:tabs>
              <w:tab w:val="right" w:leader="dot" w:pos="9070"/>
            </w:tabs>
          </w:pPr>
          <w:r>
            <w:rPr>
              <w:rFonts w:hint="eastAsia"/>
            </w:rPr>
            <w:fldChar w:fldCharType="begin"/>
          </w:r>
          <w:r>
            <w:rPr>
              <w:rFonts w:hint="eastAsia"/>
            </w:rPr>
            <w:instrText xml:space="preserve"> HYPERLINK \l _Toc19372 </w:instrText>
          </w:r>
          <w:r>
            <w:rPr>
              <w:rFonts w:hint="eastAsia"/>
            </w:rPr>
            <w:fldChar w:fldCharType="separate"/>
          </w:r>
          <w:r>
            <w:rPr>
              <w:rFonts w:hint="default"/>
              <w:lang w:val="en-US" w:eastAsia="zh-CN" w:bidi="ar-SA"/>
            </w:rPr>
            <w:t xml:space="preserve">6. </w:t>
          </w:r>
          <w:r>
            <w:rPr>
              <w:rFonts w:hint="eastAsia"/>
              <w:bCs/>
              <w:lang w:val="en-US" w:eastAsia="zh-CN" w:bidi="ar-SA"/>
            </w:rPr>
            <w:t>项目的实施</w:t>
          </w:r>
          <w:r>
            <w:tab/>
          </w:r>
          <w:r>
            <w:fldChar w:fldCharType="begin"/>
          </w:r>
          <w:r>
            <w:instrText xml:space="preserve"> PAGEREF _Toc19372 \h </w:instrText>
          </w:r>
          <w:r>
            <w:fldChar w:fldCharType="separate"/>
          </w:r>
          <w:r>
            <w:t>5</w:t>
          </w:r>
          <w:r>
            <w:fldChar w:fldCharType="end"/>
          </w:r>
          <w:r>
            <w:rPr>
              <w:rFonts w:hint="eastAsia"/>
            </w:rPr>
            <w:fldChar w:fldCharType="end"/>
          </w:r>
        </w:p>
        <w:p w14:paraId="183398A8">
          <w:pPr>
            <w:pStyle w:val="13"/>
            <w:tabs>
              <w:tab w:val="right" w:leader="dot" w:pos="9070"/>
            </w:tabs>
          </w:pPr>
          <w:r>
            <w:rPr>
              <w:rFonts w:hint="eastAsia"/>
            </w:rPr>
            <w:fldChar w:fldCharType="begin"/>
          </w:r>
          <w:r>
            <w:rPr>
              <w:rFonts w:hint="eastAsia"/>
            </w:rPr>
            <w:instrText xml:space="preserve"> HYPERLINK \l _Toc2565 </w:instrText>
          </w:r>
          <w:r>
            <w:rPr>
              <w:rFonts w:hint="eastAsia"/>
            </w:rPr>
            <w:fldChar w:fldCharType="separate"/>
          </w:r>
          <w:r>
            <w:rPr>
              <w:rFonts w:hint="default"/>
              <w:lang w:val="en-US" w:eastAsia="zh-CN" w:bidi="ar-SA"/>
            </w:rPr>
            <w:t xml:space="preserve">7. </w:t>
          </w:r>
          <w:r>
            <w:rPr>
              <w:rFonts w:hint="eastAsia"/>
              <w:bCs/>
              <w:lang w:val="en-US" w:eastAsia="zh-CN" w:bidi="ar-SA"/>
            </w:rPr>
            <w:t>交付物</w:t>
          </w:r>
          <w:r>
            <w:tab/>
          </w:r>
          <w:r>
            <w:fldChar w:fldCharType="begin"/>
          </w:r>
          <w:r>
            <w:instrText xml:space="preserve"> PAGEREF _Toc2565 \h </w:instrText>
          </w:r>
          <w:r>
            <w:fldChar w:fldCharType="separate"/>
          </w:r>
          <w:r>
            <w:t>5</w:t>
          </w:r>
          <w:r>
            <w:fldChar w:fldCharType="end"/>
          </w:r>
          <w:r>
            <w:rPr>
              <w:rFonts w:hint="eastAsia"/>
            </w:rPr>
            <w:fldChar w:fldCharType="end"/>
          </w:r>
        </w:p>
        <w:p w14:paraId="052278C8">
          <w:pPr>
            <w:bidi w:val="0"/>
            <w:rPr>
              <w:rFonts w:hint="eastAsia" w:asciiTheme="minorHAnsi" w:hAnsiTheme="minorHAnsi" w:eastAsiaTheme="minorEastAsia" w:cstheme="minorBidi"/>
              <w:kern w:val="2"/>
              <w:sz w:val="21"/>
              <w:szCs w:val="22"/>
              <w:lang w:val="en-US" w:eastAsia="zh-CN" w:bidi="ar-SA"/>
            </w:rPr>
          </w:pPr>
          <w:r>
            <w:rPr>
              <w:rFonts w:hint="eastAsia"/>
            </w:rPr>
            <w:fldChar w:fldCharType="end"/>
          </w:r>
        </w:p>
      </w:sdtContent>
    </w:sdt>
    <w:p w14:paraId="47AC909C">
      <w:pPr>
        <w:bidi w:val="0"/>
        <w:rPr>
          <w:rFonts w:hint="eastAsia" w:asciiTheme="minorHAnsi" w:hAnsiTheme="minorHAnsi" w:eastAsiaTheme="minorEastAsia" w:cstheme="minorBidi"/>
          <w:kern w:val="2"/>
          <w:sz w:val="21"/>
          <w:szCs w:val="22"/>
          <w:lang w:val="en-US" w:eastAsia="zh-CN" w:bidi="ar-SA"/>
        </w:rPr>
      </w:pPr>
    </w:p>
    <w:p w14:paraId="7D7F6C11">
      <w:pPr>
        <w:spacing w:line="600" w:lineRule="exact"/>
        <w:jc w:val="center"/>
        <w:rPr>
          <w:rFonts w:hint="eastAsia" w:asciiTheme="majorEastAsia" w:hAnsiTheme="majorEastAsia" w:eastAsiaTheme="majorEastAsia"/>
          <w:b/>
          <w:sz w:val="44"/>
          <w:szCs w:val="44"/>
        </w:rPr>
      </w:pPr>
    </w:p>
    <w:p w14:paraId="361800AB">
      <w:pPr>
        <w:spacing w:line="600" w:lineRule="exact"/>
        <w:jc w:val="center"/>
        <w:rPr>
          <w:rFonts w:hint="eastAsia" w:asciiTheme="majorEastAsia" w:hAnsiTheme="majorEastAsia" w:eastAsiaTheme="majorEastAsia"/>
          <w:b/>
          <w:sz w:val="44"/>
          <w:szCs w:val="44"/>
        </w:rPr>
        <w:sectPr>
          <w:pgSz w:w="11906" w:h="16838"/>
          <w:pgMar w:top="1418" w:right="1418" w:bottom="1418" w:left="1418" w:header="1021" w:footer="907" w:gutter="0"/>
          <w:cols w:space="425" w:num="1"/>
          <w:docGrid w:linePitch="312" w:charSpace="0"/>
        </w:sectPr>
      </w:pPr>
    </w:p>
    <w:p w14:paraId="3B08112B">
      <w:pPr>
        <w:pStyle w:val="2"/>
        <w:bidi w:val="0"/>
        <w:rPr>
          <w:rFonts w:hint="eastAsia"/>
        </w:rPr>
      </w:pPr>
      <w:bookmarkStart w:id="4" w:name="_Toc29728"/>
      <w:bookmarkStart w:id="5" w:name="_Toc462154519"/>
      <w:r>
        <w:rPr>
          <w:rFonts w:hint="eastAsia"/>
        </w:rPr>
        <w:t>项目概述</w:t>
      </w:r>
      <w:bookmarkEnd w:id="4"/>
    </w:p>
    <w:p w14:paraId="3F8775EA">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南方电网数字电网集团（海南）有限公司ISO20000、ISO2700资质证书有效期至2026年1</w:t>
      </w:r>
      <w:r>
        <w:rPr>
          <w:rFonts w:hint="eastAsia" w:asciiTheme="minorEastAsia" w:hAnsiTheme="minorEastAsia"/>
          <w:sz w:val="28"/>
          <w:szCs w:val="28"/>
          <w:lang w:val="en-US" w:eastAsia="zh-CN"/>
        </w:rPr>
        <w:t>1</w:t>
      </w:r>
      <w:r>
        <w:rPr>
          <w:rFonts w:hint="eastAsia" w:asciiTheme="minorEastAsia" w:hAnsiTheme="minorEastAsia"/>
          <w:sz w:val="28"/>
          <w:szCs w:val="28"/>
        </w:rPr>
        <w:t>月，现需采购一家具备ISO20000、ISO2700认证资格的单位提供专业的ISO20000、ISO27001再认证、监督审核及辅导服务，包括但不限于：</w:t>
      </w:r>
    </w:p>
    <w:p w14:paraId="4AC35CF0">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1.1</w:t>
      </w:r>
      <w:r>
        <w:rPr>
          <w:rFonts w:asciiTheme="minorEastAsia" w:hAnsiTheme="minorEastAsia"/>
          <w:sz w:val="28"/>
          <w:szCs w:val="28"/>
        </w:rPr>
        <w:t xml:space="preserve"> </w:t>
      </w:r>
      <w:r>
        <w:rPr>
          <w:rFonts w:hint="eastAsia" w:asciiTheme="minorEastAsia" w:hAnsiTheme="minorEastAsia"/>
          <w:sz w:val="28"/>
          <w:szCs w:val="28"/>
        </w:rPr>
        <w:t>ISO20000信息技术服务管理体系再认证、监督审核（含2027、2028年）及辅导服务；</w:t>
      </w:r>
    </w:p>
    <w:p w14:paraId="43D12F3D">
      <w:pPr>
        <w:spacing w:line="600" w:lineRule="exact"/>
        <w:ind w:firstLine="560" w:firstLineChars="200"/>
        <w:rPr>
          <w:rFonts w:hint="eastAsia" w:asciiTheme="minorEastAsia" w:hAnsiTheme="minorEastAsia"/>
          <w:sz w:val="28"/>
          <w:szCs w:val="28"/>
        </w:rPr>
      </w:pPr>
      <w:r>
        <w:rPr>
          <w:rFonts w:asciiTheme="minorEastAsia" w:hAnsiTheme="minorEastAsia"/>
          <w:sz w:val="28"/>
          <w:szCs w:val="28"/>
        </w:rPr>
        <w:t>1.2</w:t>
      </w:r>
      <w:bookmarkStart w:id="6" w:name="_Toc352618699"/>
      <w:bookmarkStart w:id="7" w:name="_Toc15574"/>
      <w:bookmarkStart w:id="8" w:name="_Toc18740"/>
      <w:bookmarkStart w:id="9" w:name="_Toc3046"/>
      <w:r>
        <w:rPr>
          <w:rFonts w:hint="eastAsia" w:asciiTheme="minorEastAsia" w:hAnsiTheme="minorEastAsia"/>
          <w:sz w:val="28"/>
          <w:szCs w:val="28"/>
        </w:rPr>
        <w:t xml:space="preserve"> ISO27001信息安全管理体系再认证、监督审核（含2027、2028年）及辅导服务。</w:t>
      </w:r>
    </w:p>
    <w:bookmarkEnd w:id="6"/>
    <w:p w14:paraId="4B0E1F03">
      <w:pPr>
        <w:pStyle w:val="2"/>
        <w:bidi w:val="0"/>
        <w:rPr>
          <w:rStyle w:val="19"/>
          <w:rFonts w:hint="eastAsia"/>
          <w:b/>
          <w:bCs/>
          <w:lang w:val="en-US" w:eastAsia="zh-CN" w:bidi="ar-SA"/>
        </w:rPr>
      </w:pPr>
      <w:bookmarkStart w:id="10" w:name="_Toc16785"/>
      <w:r>
        <w:rPr>
          <w:rStyle w:val="19"/>
          <w:rFonts w:hint="eastAsia"/>
          <w:b/>
          <w:bCs/>
          <w:lang w:val="en-US" w:eastAsia="zh-CN" w:bidi="ar-SA"/>
        </w:rPr>
        <w:t>技术服务内容</w:t>
      </w:r>
      <w:bookmarkEnd w:id="7"/>
      <w:bookmarkEnd w:id="8"/>
      <w:bookmarkEnd w:id="9"/>
      <w:bookmarkEnd w:id="10"/>
    </w:p>
    <w:p w14:paraId="77C8867C">
      <w:pPr>
        <w:spacing w:line="600" w:lineRule="exact"/>
        <w:ind w:firstLine="560" w:firstLineChars="200"/>
        <w:rPr>
          <w:rFonts w:hint="eastAsia" w:asciiTheme="minorEastAsia" w:hAnsiTheme="minorEastAsia"/>
          <w:sz w:val="28"/>
          <w:szCs w:val="28"/>
        </w:rPr>
      </w:pPr>
      <w:r>
        <w:rPr>
          <w:rFonts w:asciiTheme="minorEastAsia" w:hAnsiTheme="minorEastAsia"/>
          <w:sz w:val="28"/>
          <w:szCs w:val="28"/>
        </w:rPr>
        <w:t>为</w:t>
      </w:r>
      <w:r>
        <w:rPr>
          <w:rFonts w:hint="eastAsia" w:asciiTheme="minorEastAsia" w:hAnsiTheme="minorEastAsia"/>
          <w:sz w:val="28"/>
          <w:szCs w:val="28"/>
        </w:rPr>
        <w:t>招标方的体系再认证</w:t>
      </w:r>
      <w:r>
        <w:rPr>
          <w:rFonts w:asciiTheme="minorEastAsia" w:hAnsiTheme="minorEastAsia"/>
          <w:sz w:val="28"/>
          <w:szCs w:val="28"/>
        </w:rPr>
        <w:t>提供</w:t>
      </w:r>
      <w:r>
        <w:rPr>
          <w:rFonts w:hint="eastAsia" w:asciiTheme="minorEastAsia" w:hAnsiTheme="minorEastAsia"/>
          <w:sz w:val="28"/>
          <w:szCs w:val="28"/>
        </w:rPr>
        <w:t>专业</w:t>
      </w:r>
      <w:r>
        <w:rPr>
          <w:rFonts w:asciiTheme="minorEastAsia" w:hAnsiTheme="minorEastAsia"/>
          <w:sz w:val="28"/>
          <w:szCs w:val="28"/>
        </w:rPr>
        <w:t>服务</w:t>
      </w:r>
      <w:r>
        <w:rPr>
          <w:rFonts w:hint="eastAsia" w:asciiTheme="minorEastAsia" w:hAnsiTheme="minorEastAsia"/>
          <w:sz w:val="28"/>
          <w:szCs w:val="28"/>
        </w:rPr>
        <w:t>，</w:t>
      </w:r>
      <w:r>
        <w:rPr>
          <w:rFonts w:asciiTheme="minorEastAsia" w:hAnsiTheme="minorEastAsia"/>
          <w:sz w:val="28"/>
          <w:szCs w:val="28"/>
        </w:rPr>
        <w:t>内容包括：</w:t>
      </w:r>
    </w:p>
    <w:p w14:paraId="62DC3F6D">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2.1提供ISO20000、ISO27001管理体系申请再认证过程中专业的辅导服务，妥善保管甲方提供的信息、资料；</w:t>
      </w:r>
    </w:p>
    <w:p w14:paraId="367A2685">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2.2</w:t>
      </w:r>
      <w:r>
        <w:rPr>
          <w:rFonts w:asciiTheme="minorEastAsia" w:hAnsiTheme="minorEastAsia"/>
          <w:sz w:val="28"/>
          <w:szCs w:val="28"/>
        </w:rPr>
        <w:t xml:space="preserve"> </w:t>
      </w:r>
      <w:r>
        <w:rPr>
          <w:rFonts w:hint="eastAsia" w:asciiTheme="minorEastAsia" w:hAnsiTheme="minorEastAsia"/>
          <w:sz w:val="28"/>
          <w:szCs w:val="28"/>
        </w:rPr>
        <w:t>ISO20000、ISO27001管理体系文件制度、申请资料的撰写、递交、审核阶段的补正或协助工作；</w:t>
      </w:r>
    </w:p>
    <w:p w14:paraId="072481B4">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2.3</w:t>
      </w:r>
      <w:r>
        <w:rPr>
          <w:rFonts w:asciiTheme="minorEastAsia" w:hAnsiTheme="minorEastAsia"/>
          <w:sz w:val="28"/>
          <w:szCs w:val="28"/>
        </w:rPr>
        <w:t xml:space="preserve"> </w:t>
      </w:r>
      <w:r>
        <w:rPr>
          <w:rFonts w:hint="eastAsia" w:asciiTheme="minorEastAsia" w:hAnsiTheme="minorEastAsia"/>
          <w:sz w:val="28"/>
          <w:szCs w:val="28"/>
        </w:rPr>
        <w:t>ISO20000、ISO27001管理体系的导入工作、内审、管理评审工作的协助；</w:t>
      </w:r>
    </w:p>
    <w:p w14:paraId="1E909183">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2.4</w:t>
      </w:r>
      <w:r>
        <w:rPr>
          <w:rFonts w:asciiTheme="minorEastAsia" w:hAnsiTheme="minorEastAsia"/>
          <w:sz w:val="28"/>
          <w:szCs w:val="28"/>
        </w:rPr>
        <w:t xml:space="preserve"> </w:t>
      </w:r>
      <w:r>
        <w:rPr>
          <w:rFonts w:hint="eastAsia" w:asciiTheme="minorEastAsia" w:hAnsiTheme="minorEastAsia"/>
          <w:sz w:val="28"/>
          <w:szCs w:val="28"/>
        </w:rPr>
        <w:t>ISO20000、ISO27001管理体系的再认证、监督审核等相关服务；</w:t>
      </w:r>
    </w:p>
    <w:p w14:paraId="2B2B0E21">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2.6 对ISO20000、ISO27001管理体系再认证证书有效期内进行监督审核。</w:t>
      </w:r>
    </w:p>
    <w:p w14:paraId="19DC881B">
      <w:pPr>
        <w:spacing w:line="600" w:lineRule="exact"/>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 xml:space="preserve">2.7 </w:t>
      </w:r>
      <w:r>
        <w:rPr>
          <w:rFonts w:hint="eastAsia" w:asciiTheme="minorEastAsia" w:hAnsiTheme="minorEastAsia"/>
          <w:sz w:val="28"/>
          <w:szCs w:val="28"/>
        </w:rPr>
        <w:t>对ISO20000、ISO27001管理体系</w:t>
      </w:r>
      <w:r>
        <w:rPr>
          <w:rFonts w:hint="eastAsia" w:asciiTheme="minorEastAsia" w:hAnsiTheme="minorEastAsia"/>
          <w:sz w:val="28"/>
          <w:szCs w:val="28"/>
          <w:lang w:val="en-US" w:eastAsia="zh-CN"/>
        </w:rPr>
        <w:t>年审工作。提供并完成招标方2027年度、2028年度上述两项体系的监督审核辅导服务，确保各年度监督审核顺利通过，并协助取得年度审核合格相关确认文件。</w:t>
      </w:r>
    </w:p>
    <w:p w14:paraId="2DC9E307">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2.</w:t>
      </w:r>
      <w:r>
        <w:rPr>
          <w:rFonts w:hint="eastAsia" w:asciiTheme="minorEastAsia" w:hAnsiTheme="minorEastAsia"/>
          <w:sz w:val="28"/>
          <w:szCs w:val="28"/>
          <w:lang w:val="en-US" w:eastAsia="zh-CN"/>
        </w:rPr>
        <w:t>8</w:t>
      </w:r>
      <w:r>
        <w:rPr>
          <w:rFonts w:hint="eastAsia" w:asciiTheme="minorEastAsia" w:hAnsiTheme="minorEastAsia"/>
          <w:sz w:val="28"/>
          <w:szCs w:val="28"/>
        </w:rPr>
        <w:t xml:space="preserve"> 中标价格含三年上述工作及服务的认证费，差旅费，咨询费等全部费</w:t>
      </w:r>
      <w:r>
        <w:rPr>
          <w:rFonts w:hint="eastAsia" w:asciiTheme="minorEastAsia" w:hAnsiTheme="minorEastAsia"/>
          <w:sz w:val="28"/>
          <w:szCs w:val="28"/>
          <w:lang w:val="en-US" w:eastAsia="zh-CN"/>
        </w:rPr>
        <w:t>用</w:t>
      </w:r>
      <w:r>
        <w:rPr>
          <w:rFonts w:hint="eastAsia" w:asciiTheme="minorEastAsia" w:hAnsiTheme="minorEastAsia"/>
          <w:sz w:val="28"/>
          <w:szCs w:val="28"/>
        </w:rPr>
        <w:t>。</w:t>
      </w:r>
    </w:p>
    <w:p w14:paraId="3517519F">
      <w:pPr>
        <w:pStyle w:val="2"/>
        <w:bidi w:val="0"/>
        <w:rPr>
          <w:rStyle w:val="19"/>
          <w:rFonts w:hint="eastAsia"/>
          <w:b/>
          <w:bCs/>
          <w:lang w:val="en-US" w:eastAsia="zh-CN" w:bidi="ar-SA"/>
        </w:rPr>
      </w:pPr>
      <w:bookmarkStart w:id="11" w:name="_Toc31138"/>
      <w:r>
        <w:rPr>
          <w:rStyle w:val="19"/>
          <w:rFonts w:hint="eastAsia"/>
          <w:b/>
          <w:bCs/>
          <w:lang w:val="en-US" w:eastAsia="zh-CN" w:bidi="ar-SA"/>
        </w:rPr>
        <w:t>项目管理</w:t>
      </w:r>
      <w:bookmarkEnd w:id="11"/>
    </w:p>
    <w:p w14:paraId="5AA2FE94">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中标方须指定专人负责本项目管理，负责开展ISO20000、ISO27001管理体系再认证、监督审核（含2027、2028年）及辅导有关事务的咨询、管理等相关工作，包括但不限于：</w:t>
      </w:r>
    </w:p>
    <w:p w14:paraId="3A0D47FC">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3.1负责本项目各项事务的安排与协调；</w:t>
      </w:r>
    </w:p>
    <w:p w14:paraId="2A8F6EAE">
      <w:pPr>
        <w:spacing w:line="600" w:lineRule="exact"/>
        <w:ind w:left="567"/>
        <w:rPr>
          <w:rFonts w:hint="eastAsia" w:asciiTheme="minorEastAsia" w:hAnsiTheme="minorEastAsia"/>
          <w:sz w:val="28"/>
          <w:szCs w:val="28"/>
        </w:rPr>
      </w:pPr>
      <w:r>
        <w:rPr>
          <w:rFonts w:hint="eastAsia" w:asciiTheme="minorEastAsia" w:hAnsiTheme="minorEastAsia"/>
          <w:sz w:val="28"/>
          <w:szCs w:val="28"/>
        </w:rPr>
        <w:t>3.2对</w:t>
      </w:r>
      <w:r>
        <w:rPr>
          <w:rFonts w:asciiTheme="minorEastAsia" w:hAnsiTheme="minorEastAsia"/>
          <w:sz w:val="28"/>
          <w:szCs w:val="28"/>
        </w:rPr>
        <w:t>中标方</w:t>
      </w:r>
      <w:r>
        <w:rPr>
          <w:rFonts w:hint="eastAsia" w:asciiTheme="minorEastAsia" w:hAnsiTheme="minorEastAsia"/>
          <w:sz w:val="28"/>
          <w:szCs w:val="28"/>
        </w:rPr>
        <w:t>在管理体系再认证、审核监督及辅导服务过程中的问题进行处理；</w:t>
      </w:r>
    </w:p>
    <w:p w14:paraId="5B95E4C6">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3.3中标方应按招标方要求制定项目服务计划，严格执行；</w:t>
      </w:r>
    </w:p>
    <w:p w14:paraId="2076586C">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3.4招标方可根据中标方工作完成情况对其进行跟踪、检查、指导。</w:t>
      </w:r>
    </w:p>
    <w:p w14:paraId="6DDBBAF8">
      <w:pPr>
        <w:pStyle w:val="2"/>
        <w:bidi w:val="0"/>
        <w:rPr>
          <w:rStyle w:val="19"/>
          <w:rFonts w:hint="eastAsia"/>
          <w:b/>
          <w:bCs/>
          <w:lang w:val="en-US" w:eastAsia="zh-CN" w:bidi="ar-SA"/>
        </w:rPr>
      </w:pPr>
      <w:bookmarkStart w:id="12" w:name="_Toc30191"/>
      <w:r>
        <w:rPr>
          <w:rStyle w:val="19"/>
          <w:rFonts w:hint="eastAsia"/>
          <w:b/>
          <w:bCs/>
          <w:lang w:val="en-US" w:eastAsia="zh-CN" w:bidi="ar-SA"/>
        </w:rPr>
        <w:t>质量保证</w:t>
      </w:r>
      <w:bookmarkEnd w:id="12"/>
    </w:p>
    <w:p w14:paraId="1D36CD6F">
      <w:pPr>
        <w:spacing w:line="600" w:lineRule="exact"/>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乙方需保证所提供的所有服务的人员的人员素质及服务质量均能满足本技术规范书要求。</w:t>
      </w:r>
    </w:p>
    <w:p w14:paraId="5EAC05DC">
      <w:pPr>
        <w:pStyle w:val="2"/>
        <w:bidi w:val="0"/>
        <w:rPr>
          <w:rFonts w:hint="eastAsia"/>
          <w:lang w:val="en-US" w:eastAsia="zh-CN"/>
        </w:rPr>
      </w:pPr>
      <w:bookmarkStart w:id="13" w:name="_Toc17020"/>
      <w:r>
        <w:rPr>
          <w:rFonts w:hint="eastAsia"/>
          <w:lang w:val="en-US" w:eastAsia="zh-CN"/>
        </w:rPr>
        <w:t>组织保证</w:t>
      </w:r>
      <w:bookmarkEnd w:id="13"/>
    </w:p>
    <w:p w14:paraId="551B0D28">
      <w:pPr>
        <w:spacing w:line="600" w:lineRule="exact"/>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乙方需配备咨询服务团队，向甲方提供参加本项目的人员名单以及参加人员的资料，参加本项目的人员必须包含有经验的专业咨询服务人员。</w:t>
      </w:r>
    </w:p>
    <w:p w14:paraId="688613CD">
      <w:pPr>
        <w:spacing w:line="600" w:lineRule="exact"/>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乙方需向甲方保证认证审核人员组织的稳定性，在本项目结束前，参加本项目的人员变动必须取得甲方同意。</w:t>
      </w:r>
    </w:p>
    <w:p w14:paraId="7AD99842">
      <w:pPr>
        <w:spacing w:line="600" w:lineRule="exact"/>
        <w:ind w:firstLine="560" w:firstLineChars="200"/>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乙方需保持维护团队人员的稳定，未经甲方同意，不得随意调换项目组成员，因工作原因确实需要调换的须提前一个月与甲方协商，并经同意后才能进行更换。</w:t>
      </w:r>
    </w:p>
    <w:p w14:paraId="772AEE90">
      <w:pPr>
        <w:pStyle w:val="2"/>
        <w:bidi w:val="0"/>
        <w:rPr>
          <w:rStyle w:val="19"/>
          <w:rFonts w:hint="eastAsia"/>
          <w:b/>
          <w:bCs/>
          <w:lang w:val="en-US" w:eastAsia="zh-CN" w:bidi="ar-SA"/>
        </w:rPr>
      </w:pPr>
      <w:bookmarkStart w:id="14" w:name="_Toc19372"/>
      <w:r>
        <w:rPr>
          <w:rStyle w:val="19"/>
          <w:rFonts w:hint="eastAsia"/>
          <w:b/>
          <w:bCs/>
          <w:lang w:val="en-US" w:eastAsia="zh-CN" w:bidi="ar-SA"/>
        </w:rPr>
        <w:t>项目的实施</w:t>
      </w:r>
      <w:bookmarkEnd w:id="14"/>
    </w:p>
    <w:p w14:paraId="450F0785">
      <w:pPr>
        <w:spacing w:line="600" w:lineRule="exact"/>
        <w:ind w:firstLine="560" w:firstLineChars="200"/>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中标方须于合同签订之日起120个自然日内，完成招标方2026年度ISO20000信息技术服务管理体系、ISO27001信息安全管理体系的体系辅导及再认证审核全流程工作，协助招标方顺利取得对应认证证书；同时承接并完成招标方2027年度、2028年度上述两项体系的监督审核辅导服务，确保各年度监督审核顺利通过，并协助取得年度审核合格相关确认文件。</w:t>
      </w:r>
    </w:p>
    <w:p w14:paraId="6CA040DF">
      <w:pPr>
        <w:pStyle w:val="2"/>
        <w:bidi w:val="0"/>
        <w:rPr>
          <w:rStyle w:val="19"/>
          <w:rFonts w:hint="eastAsia"/>
          <w:b/>
          <w:bCs/>
          <w:lang w:val="en-US" w:eastAsia="zh-CN" w:bidi="ar-SA"/>
        </w:rPr>
      </w:pPr>
      <w:bookmarkStart w:id="15" w:name="_Toc2565"/>
      <w:r>
        <w:rPr>
          <w:rStyle w:val="19"/>
          <w:rFonts w:hint="eastAsia"/>
          <w:b/>
          <w:bCs/>
          <w:lang w:val="en-US" w:eastAsia="zh-CN" w:bidi="ar-SA"/>
        </w:rPr>
        <w:t>交付物</w:t>
      </w:r>
      <w:bookmarkEnd w:id="15"/>
    </w:p>
    <w:bookmarkEnd w:id="0"/>
    <w:bookmarkEnd w:id="1"/>
    <w:bookmarkEnd w:id="2"/>
    <w:bookmarkEnd w:id="3"/>
    <w:bookmarkEnd w:id="5"/>
    <w:p w14:paraId="5AE596C2">
      <w:pPr>
        <w:spacing w:line="600" w:lineRule="exact"/>
        <w:ind w:firstLine="560" w:firstLineChars="200"/>
        <w:rPr>
          <w:rFonts w:hint="eastAsia" w:asciiTheme="minorEastAsia" w:hAnsiTheme="minorEastAsia"/>
          <w:sz w:val="28"/>
          <w:szCs w:val="28"/>
        </w:rPr>
      </w:pPr>
      <w:r>
        <w:rPr>
          <w:rFonts w:hint="eastAsia" w:asciiTheme="minorEastAsia" w:hAnsiTheme="minorEastAsia"/>
          <w:sz w:val="28"/>
          <w:szCs w:val="28"/>
        </w:rPr>
        <w:t>ISO20000认证证书、ISO27001认证证书及以上对应体系的整套申报材料。</w:t>
      </w:r>
      <w:bookmarkStart w:id="16" w:name="_GoBack"/>
      <w:bookmarkEnd w:id="16"/>
    </w:p>
    <w:sectPr>
      <w:pgSz w:w="11906" w:h="16838"/>
      <w:pgMar w:top="1418" w:right="1418" w:bottom="1418" w:left="1418" w:header="1021" w:footer="907"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5972936"/>
    </w:sdtPr>
    <w:sdtContent>
      <w:sdt>
        <w:sdtPr>
          <w:id w:val="-1669238322"/>
        </w:sdtPr>
        <w:sdtContent>
          <w:p w14:paraId="150E27D4">
            <w:pPr>
              <w:pStyle w:val="11"/>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5B1A9E9F">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72475"/>
    <w:multiLevelType w:val="multilevel"/>
    <w:tmpl w:val="0BD7247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1E1"/>
    <w:rsid w:val="00004431"/>
    <w:rsid w:val="000A05C4"/>
    <w:rsid w:val="000D20DE"/>
    <w:rsid w:val="001A23D9"/>
    <w:rsid w:val="00203E44"/>
    <w:rsid w:val="00204BCA"/>
    <w:rsid w:val="002253EB"/>
    <w:rsid w:val="002611EE"/>
    <w:rsid w:val="002C75DA"/>
    <w:rsid w:val="002D4FE1"/>
    <w:rsid w:val="0030132E"/>
    <w:rsid w:val="00316028"/>
    <w:rsid w:val="00331A4B"/>
    <w:rsid w:val="00336279"/>
    <w:rsid w:val="004042E1"/>
    <w:rsid w:val="00431050"/>
    <w:rsid w:val="004754B8"/>
    <w:rsid w:val="004A7B25"/>
    <w:rsid w:val="005331E1"/>
    <w:rsid w:val="00580F1F"/>
    <w:rsid w:val="005860BD"/>
    <w:rsid w:val="00625AB9"/>
    <w:rsid w:val="006B6B53"/>
    <w:rsid w:val="0076464B"/>
    <w:rsid w:val="0077321E"/>
    <w:rsid w:val="00777390"/>
    <w:rsid w:val="007811E1"/>
    <w:rsid w:val="007D611D"/>
    <w:rsid w:val="007D746C"/>
    <w:rsid w:val="007E69A0"/>
    <w:rsid w:val="007F57BE"/>
    <w:rsid w:val="00800F04"/>
    <w:rsid w:val="008178D2"/>
    <w:rsid w:val="008306D8"/>
    <w:rsid w:val="00832322"/>
    <w:rsid w:val="00857CB4"/>
    <w:rsid w:val="008C181A"/>
    <w:rsid w:val="0091105B"/>
    <w:rsid w:val="009500B4"/>
    <w:rsid w:val="009A54BC"/>
    <w:rsid w:val="009B4189"/>
    <w:rsid w:val="009C0B52"/>
    <w:rsid w:val="009C18BB"/>
    <w:rsid w:val="00A40EC6"/>
    <w:rsid w:val="00A8252D"/>
    <w:rsid w:val="00AB29EA"/>
    <w:rsid w:val="00AE0E3D"/>
    <w:rsid w:val="00AE2435"/>
    <w:rsid w:val="00AE3B3E"/>
    <w:rsid w:val="00B030D0"/>
    <w:rsid w:val="00B2686C"/>
    <w:rsid w:val="00C15821"/>
    <w:rsid w:val="00C33F22"/>
    <w:rsid w:val="00CD1FE4"/>
    <w:rsid w:val="00D34367"/>
    <w:rsid w:val="00DB0CA7"/>
    <w:rsid w:val="00DE7ECD"/>
    <w:rsid w:val="00E30F47"/>
    <w:rsid w:val="00E54C4B"/>
    <w:rsid w:val="00E74288"/>
    <w:rsid w:val="00E82C21"/>
    <w:rsid w:val="00ED133D"/>
    <w:rsid w:val="00F1765E"/>
    <w:rsid w:val="00F2643C"/>
    <w:rsid w:val="00F44D0A"/>
    <w:rsid w:val="00F46EE5"/>
    <w:rsid w:val="00FC7697"/>
    <w:rsid w:val="12B80555"/>
    <w:rsid w:val="199C1D3A"/>
    <w:rsid w:val="1E5C1CCD"/>
    <w:rsid w:val="2B9F159F"/>
    <w:rsid w:val="2F5B0D3B"/>
    <w:rsid w:val="30E442F1"/>
    <w:rsid w:val="31E57388"/>
    <w:rsid w:val="31F11401"/>
    <w:rsid w:val="359A04DE"/>
    <w:rsid w:val="3F6E536A"/>
    <w:rsid w:val="419E2863"/>
    <w:rsid w:val="52B82D04"/>
    <w:rsid w:val="540E1EA1"/>
    <w:rsid w:val="573C51C8"/>
    <w:rsid w:val="59824770"/>
    <w:rsid w:val="63CE6A34"/>
    <w:rsid w:val="78D97652"/>
    <w:rsid w:val="7A2F3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keepLines/>
      <w:numPr>
        <w:ilvl w:val="0"/>
        <w:numId w:val="1"/>
      </w:numPr>
      <w:spacing w:before="340" w:after="330" w:line="360" w:lineRule="auto"/>
      <w:ind w:left="432" w:hanging="432"/>
      <w:jc w:val="left"/>
      <w:outlineLvl w:val="0"/>
    </w:pPr>
    <w:rPr>
      <w:rFonts w:ascii="Times New Roman" w:hAnsi="Times New Roman" w:eastAsia="宋体" w:cs="Times New Roman"/>
      <w:b/>
      <w:bCs/>
      <w:kern w:val="44"/>
      <w:sz w:val="32"/>
      <w:szCs w:val="44"/>
    </w:rPr>
  </w:style>
  <w:style w:type="paragraph" w:styleId="3">
    <w:name w:val="heading 2"/>
    <w:basedOn w:val="1"/>
    <w:next w:val="1"/>
    <w:link w:val="22"/>
    <w:unhideWhenUsed/>
    <w:qFormat/>
    <w:uiPriority w:val="9"/>
    <w:pPr>
      <w:keepNext/>
      <w:keepLines/>
      <w:numPr>
        <w:ilvl w:val="1"/>
        <w:numId w:val="1"/>
      </w:numPr>
      <w:tabs>
        <w:tab w:val="left" w:pos="576"/>
      </w:tabs>
      <w:spacing w:line="360" w:lineRule="auto"/>
      <w:ind w:left="575" w:hanging="575"/>
      <w:outlineLvl w:val="1"/>
    </w:pPr>
    <w:rPr>
      <w:rFonts w:ascii="Calibri Light" w:hAnsi="Calibri Light" w:eastAsia="宋体" w:cs="Times New Roman"/>
      <w:b/>
      <w:bCs/>
      <w:sz w:val="24"/>
      <w:szCs w:val="32"/>
    </w:rPr>
  </w:style>
  <w:style w:type="paragraph" w:styleId="4">
    <w:name w:val="heading 3"/>
    <w:basedOn w:val="1"/>
    <w:next w:val="1"/>
    <w:semiHidden/>
    <w:unhideWhenUsed/>
    <w:qFormat/>
    <w:uiPriority w:val="9"/>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unhideWhenUsed/>
    <w:qFormat/>
    <w:uiPriority w:val="39"/>
  </w:style>
  <w:style w:type="character" w:customStyle="1" w:styleId="16">
    <w:name w:val="页眉 字符"/>
    <w:basedOn w:val="15"/>
    <w:link w:val="12"/>
    <w:qFormat/>
    <w:uiPriority w:val="99"/>
    <w:rPr>
      <w:sz w:val="18"/>
      <w:szCs w:val="18"/>
    </w:rPr>
  </w:style>
  <w:style w:type="character" w:customStyle="1" w:styleId="17">
    <w:name w:val="页脚 字符"/>
    <w:basedOn w:val="15"/>
    <w:link w:val="11"/>
    <w:qFormat/>
    <w:uiPriority w:val="99"/>
    <w:rPr>
      <w:sz w:val="18"/>
      <w:szCs w:val="18"/>
    </w:rPr>
  </w:style>
  <w:style w:type="paragraph" w:customStyle="1" w:styleId="18">
    <w:name w:val="列表段落1"/>
    <w:basedOn w:val="1"/>
    <w:qFormat/>
    <w:uiPriority w:val="34"/>
    <w:pPr>
      <w:ind w:firstLine="420" w:firstLineChars="200"/>
    </w:pPr>
  </w:style>
  <w:style w:type="character" w:customStyle="1" w:styleId="19">
    <w:name w:val="标题 1 字符"/>
    <w:basedOn w:val="15"/>
    <w:link w:val="2"/>
    <w:qFormat/>
    <w:uiPriority w:val="0"/>
    <w:rPr>
      <w:rFonts w:ascii="Times New Roman" w:hAnsi="Times New Roman" w:eastAsia="宋体" w:cs="Times New Roman"/>
      <w:b/>
      <w:bCs/>
      <w:kern w:val="44"/>
      <w:sz w:val="32"/>
      <w:szCs w:val="44"/>
    </w:rPr>
  </w:style>
  <w:style w:type="character" w:customStyle="1" w:styleId="20">
    <w:name w:val="ca-122"/>
    <w:basedOn w:val="15"/>
    <w:qFormat/>
    <w:uiPriority w:val="0"/>
  </w:style>
  <w:style w:type="paragraph" w:customStyle="1" w:styleId="21">
    <w:name w:val="pa-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
    <w:name w:val="标题 2 字符"/>
    <w:link w:val="3"/>
    <w:qFormat/>
    <w:uiPriority w:val="0"/>
    <w:rPr>
      <w:rFonts w:ascii="Calibri Light" w:hAnsi="Calibri Light" w:eastAsia="宋体" w:cs="Times New Roman"/>
      <w:b/>
      <w:bCs/>
      <w:sz w:val="24"/>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172</Words>
  <Characters>240</Characters>
  <Lines>7</Lines>
  <Paragraphs>1</Paragraphs>
  <TotalTime>13</TotalTime>
  <ScaleCrop>false</ScaleCrop>
  <LinksUpToDate>false</LinksUpToDate>
  <CharactersWithSpaces>268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2026-04-20T01:43:00Z</dcterms:created>
  <dc:creator>张小店（借用）</dc:creator>
  <cp:lastModifiedBy>cmj</cp:lastModifiedBy>
  <dcterms:modified xsi:type="dcterms:W3CDTF">2026-06-23T06:20:34Z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eyJoZGlkIjoiMmJmMGQwMTFlNmZiZmE3NjhkOWRhMjVjOGQ1NGEzZDAiLCJ1c2VySWQiOiIzMzUxMTIwMzEifQ==</vt:lpwstr>
  </property>
  <property fmtid="{D5CDD505-2E9C-101B-9397-08002B2CF9AE}" pid="4" name="ICV">
    <vt:lpwstr>D9B984F3D6324D10993C3E5E73423288_13</vt:lpwstr>
  </property>
</Properties>
</file>