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46A2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中电（普安）风光火储一体化普安县区域光伏升压站及</w:t>
      </w:r>
      <w:r>
        <w:rPr>
          <w:rFonts w:hint="default"/>
          <w:b/>
          <w:bCs/>
          <w:sz w:val="32"/>
          <w:szCs w:val="32"/>
          <w:lang w:val="en-US" w:eastAsia="zh-CN"/>
        </w:rPr>
        <w:t>送出EPC工程</w:t>
      </w:r>
      <w:r>
        <w:rPr>
          <w:rFonts w:hint="eastAsia"/>
          <w:b/>
          <w:bCs/>
          <w:sz w:val="32"/>
          <w:szCs w:val="32"/>
          <w:lang w:val="en-US" w:eastAsia="zh-CN"/>
        </w:rPr>
        <w:t>涉网试验（仿真建模）技术服务要求</w:t>
      </w:r>
    </w:p>
    <w:p w14:paraId="0BD37572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7D971E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29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根据贵州电网公司要求，配合第三方试验单位开展楼下、八一升压站新能源涉网试验的仿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真建模测试工作，另“场站机电暂态仿真建模”试验需SVG设备厂家提供控制器，并派技术人员到试验室配合场站机电暂态仿真建模工作。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29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满足贵州电网公司相关要求，并经业主单位、运行单位验收合格，可正常投入运行使用。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专业知识：对电力系统技术有深入的了解和认识。</w:t>
      </w:r>
    </w:p>
    <w:p w14:paraId="447EB75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专业技能：能够阅读和理解技术图纸和规范。</w:t>
      </w:r>
    </w:p>
    <w:p w14:paraId="4172D8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????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D0515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7314B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5D2A6A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482</Words>
  <Characters>484</Characters>
  <Lines>0</Lines>
  <Paragraphs>0</Paragraphs>
  <TotalTime>6</TotalTime>
  <ScaleCrop>false</ScaleCrop>
  <LinksUpToDate>false</LinksUpToDate>
  <CharactersWithSpaces>484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从前有个人</cp:lastModifiedBy>
  <dcterms:modified xsi:type="dcterms:W3CDTF">2026-05-25T02:33:58Z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445ED2BD4CFD4C9BAD6EA36225A39ACA_13</vt:lpwstr>
  </property>
  <property fmtid="{D5CDD505-2E9C-101B-9397-08002B2CF9AE}" pid="4" name="KSOTemplateDocerSaveRecord">
    <vt:lpwstr>eyJoZGlkIjoiNGEzMGI1YmIwZTQ1NzM4ZjQ2MDIwNGE5NmU3MGZkZTgiLCJ1c2VySWQiOiI1MTUwNDMxMjkifQ==</vt:lpwstr>
  </property>
</Properties>
</file>