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_GBK" w:hAnsi="方正小标宋_GBK" w:eastAsia="方正小标宋_GBK" w:cs="方正小标宋_GBK"/>
          <w:sz w:val="24"/>
        </w:rPr>
      </w:pPr>
      <w:r>
        <w:rPr>
          <w:rFonts w:hint="eastAsia" w:ascii="方正小标宋_GBK" w:hAnsi="方正小标宋_GBK" w:eastAsia="方正小标宋_GBK" w:cs="方正小标宋_GBK"/>
          <w:color w:val="000000"/>
          <w:kern w:val="0"/>
          <w:sz w:val="24"/>
        </w:rPr>
        <w:t>智能体开发平台采购项目技术规范书</w:t>
      </w:r>
    </w:p>
    <w:p>
      <w:pPr>
        <w:ind w:firstLine="480" w:firstLineChars="200"/>
        <w:rPr>
          <w:rFonts w:ascii="楷体_GB2312" w:hAnsi="楷体_GB2312" w:eastAsia="楷体_GB2312" w:cs="楷体_GB2312"/>
          <w:sz w:val="24"/>
        </w:rPr>
      </w:pPr>
      <w:r>
        <w:rPr>
          <w:rFonts w:hint="eastAsia" w:ascii="楷体_GB2312" w:hAnsi="楷体_GB2312" w:eastAsia="楷体_GB2312" w:cs="楷体_GB2312"/>
          <w:sz w:val="24"/>
        </w:rPr>
        <w:t>一、总则</w:t>
      </w:r>
    </w:p>
    <w:p>
      <w:pPr>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本技术规范书是采购人提出的技术规范要求，供应商提供的软件产品及系统的功能、性能应完全符合采购人指明的标准，满足或高于采购人的技术要求。</w:t>
      </w:r>
    </w:p>
    <w:p>
      <w:pPr>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供应商应对本文件中所提各项要求能否实现与满足，逐项予以答复、说明和解释，</w:t>
      </w:r>
      <w:r>
        <w:rPr>
          <w:rFonts w:hint="eastAsia" w:ascii="仿宋_GB2312" w:hAnsi="仿宋_GB2312" w:eastAsia="仿宋_GB2312" w:cs="仿宋_GB2312"/>
          <w:sz w:val="24"/>
          <w:lang w:val="en-US" w:eastAsia="zh-CN"/>
        </w:rPr>
        <w:t>必要时应提供功能截图，</w:t>
      </w:r>
      <w:r>
        <w:rPr>
          <w:rFonts w:hint="eastAsia" w:ascii="仿宋_GB2312" w:hAnsi="仿宋_GB2312" w:eastAsia="仿宋_GB2312" w:cs="仿宋_GB2312"/>
          <w:sz w:val="24"/>
        </w:rPr>
        <w:t>明确作出“满足”、“不满足”等应答。</w:t>
      </w:r>
    </w:p>
    <w:p>
      <w:pPr>
        <w:ind w:firstLine="480" w:firstLineChars="200"/>
        <w:rPr>
          <w:rFonts w:ascii="楷体_GB2312" w:hAnsi="楷体_GB2312" w:eastAsia="楷体_GB2312" w:cs="楷体_GB2312"/>
          <w:sz w:val="24"/>
        </w:rPr>
      </w:pPr>
      <w:r>
        <w:rPr>
          <w:rFonts w:hint="eastAsia" w:ascii="楷体_GB2312" w:hAnsi="楷体_GB2312" w:eastAsia="楷体_GB2312" w:cs="楷体_GB2312"/>
          <w:sz w:val="24"/>
        </w:rPr>
        <w:t>二、功能要求</w:t>
      </w:r>
    </w:p>
    <w:tbl>
      <w:tblPr>
        <w:tblStyle w:val="5"/>
        <w:tblW w:w="4998" w:type="pct"/>
        <w:tblInd w:w="0" w:type="dxa"/>
        <w:tblLayout w:type="fixed"/>
        <w:tblCellMar>
          <w:top w:w="0" w:type="dxa"/>
          <w:left w:w="108" w:type="dxa"/>
          <w:bottom w:w="0" w:type="dxa"/>
          <w:right w:w="108" w:type="dxa"/>
        </w:tblCellMar>
      </w:tblPr>
      <w:tblGrid>
        <w:gridCol w:w="1182"/>
        <w:gridCol w:w="1278"/>
        <w:gridCol w:w="6059"/>
      </w:tblGrid>
      <w:tr>
        <w:tblPrEx>
          <w:tblCellMar>
            <w:top w:w="0" w:type="dxa"/>
            <w:left w:w="108" w:type="dxa"/>
            <w:bottom w:w="0" w:type="dxa"/>
            <w:right w:w="108" w:type="dxa"/>
          </w:tblCellMar>
        </w:tblPrEx>
        <w:trPr>
          <w:trHeight w:val="326" w:hRule="atLeast"/>
        </w:trPr>
        <w:tc>
          <w:tcPr>
            <w:tcW w:w="6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仿宋_GB2312" w:hAnsi="仿宋_GB2312" w:eastAsia="仿宋_GB2312" w:cs="仿宋_GB2312"/>
                <w:b/>
                <w:bCs/>
                <w:color w:val="000000"/>
                <w:kern w:val="0"/>
                <w:sz w:val="24"/>
                <w:lang w:val="en-US" w:eastAsia="zh-CN" w:bidi="ar"/>
              </w:rPr>
            </w:pPr>
            <w:r>
              <w:rPr>
                <w:rFonts w:hint="eastAsia" w:ascii="仿宋_GB2312" w:hAnsi="仿宋_GB2312" w:eastAsia="仿宋_GB2312" w:cs="仿宋_GB2312"/>
                <w:b/>
                <w:bCs/>
                <w:color w:val="000000"/>
                <w:kern w:val="0"/>
                <w:sz w:val="24"/>
                <w:lang w:val="en-US" w:eastAsia="zh-CN" w:bidi="ar"/>
              </w:rPr>
              <w:t>模块</w:t>
            </w:r>
          </w:p>
        </w:tc>
        <w:tc>
          <w:tcPr>
            <w:tcW w:w="750" w:type="pc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hint="default" w:ascii="仿宋_GB2312" w:hAnsi="仿宋_GB2312" w:eastAsia="仿宋_GB2312" w:cs="仿宋_GB2312"/>
                <w:b/>
                <w:bCs/>
                <w:color w:val="000000"/>
                <w:kern w:val="0"/>
                <w:sz w:val="24"/>
                <w:lang w:val="en-US" w:eastAsia="zh-CN" w:bidi="ar"/>
              </w:rPr>
            </w:pPr>
            <w:r>
              <w:rPr>
                <w:rFonts w:hint="eastAsia" w:ascii="仿宋_GB2312" w:hAnsi="仿宋_GB2312" w:eastAsia="仿宋_GB2312" w:cs="仿宋_GB2312"/>
                <w:b/>
                <w:bCs/>
                <w:color w:val="000000"/>
                <w:kern w:val="0"/>
                <w:sz w:val="24"/>
                <w:lang w:val="en-US" w:eastAsia="zh-CN" w:bidi="ar"/>
              </w:rPr>
              <w:t>分类</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仿宋_GB2312" w:hAnsi="仿宋_GB2312" w:eastAsia="仿宋_GB2312" w:cs="仿宋_GB2312"/>
                <w:b/>
                <w:bCs/>
                <w:color w:val="000000"/>
                <w:kern w:val="0"/>
                <w:sz w:val="24"/>
                <w:lang w:val="en-US" w:eastAsia="zh-CN" w:bidi="ar"/>
              </w:rPr>
            </w:pPr>
            <w:r>
              <w:rPr>
                <w:rFonts w:hint="eastAsia" w:ascii="仿宋_GB2312" w:hAnsi="仿宋_GB2312" w:eastAsia="仿宋_GB2312" w:cs="仿宋_GB2312"/>
                <w:b/>
                <w:bCs/>
                <w:color w:val="000000"/>
                <w:kern w:val="0"/>
                <w:sz w:val="24"/>
                <w:lang w:val="en-US" w:eastAsia="zh-CN" w:bidi="ar"/>
              </w:rPr>
              <w:t>功能</w:t>
            </w:r>
          </w:p>
        </w:tc>
      </w:tr>
      <w:tr>
        <w:tblPrEx>
          <w:tblCellMar>
            <w:top w:w="0" w:type="dxa"/>
            <w:left w:w="108" w:type="dxa"/>
            <w:bottom w:w="0" w:type="dxa"/>
            <w:right w:w="108" w:type="dxa"/>
          </w:tblCellMar>
        </w:tblPrEx>
        <w:trPr>
          <w:trHeight w:val="326" w:hRule="atLeast"/>
        </w:trPr>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知识库</w:t>
            </w:r>
          </w:p>
        </w:tc>
        <w:tc>
          <w:tcPr>
            <w:tcW w:w="750" w:type="pct"/>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文档入库</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支持导入文本文件、表格、QA问答对类型的文档</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支持的文件类型包括但不限于 Markdown、TXT、DOCX、PDF、HTML、XLSX、XLS、CSV 、ZIP</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支持自定义每次上传文档数量和文档大小</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支持灵活的文档分段策略，提供智能分段、自定义分段、正则表达式分段等多种策略</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支持工作流知识库，自定义工作流对文档内容解析后导入知识库</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支持飞书知识库对接和同步</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支持查看关联资源，支持双向追溯依赖与被依赖关系</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问题管理</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支持维护知识库常见问题列表并和分段关联</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支持AI自动生成关联问题并关联分段</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知识库管理</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支持根据创建者、名称快速检索知识库</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支持自定义多级目录</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支持标签管理功能，每个知识库都拥有独立的标签管理体系</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支持保存下载原文档</w:t>
            </w:r>
          </w:p>
        </w:tc>
      </w:tr>
      <w:tr>
        <w:tblPrEx>
          <w:tblCellMar>
            <w:top w:w="0" w:type="dxa"/>
            <w:left w:w="108" w:type="dxa"/>
            <w:bottom w:w="0" w:type="dxa"/>
            <w:right w:w="108" w:type="dxa"/>
          </w:tblCellMar>
        </w:tblPrEx>
        <w:trPr>
          <w:trHeight w:val="326" w:hRule="atLeast"/>
        </w:trPr>
        <w:tc>
          <w:tcPr>
            <w:tcW w:w="69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工具</w:t>
            </w:r>
          </w:p>
        </w:tc>
        <w:tc>
          <w:tcPr>
            <w:tcW w:w="750" w:type="pct"/>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工具管理</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支持自定义新建工具，工具支持Python主流开发语言。比如API插件工具，数据库查询工具，网络搜索工具等。</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支持MCP工具管理功能</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支持Skills技能管理功能</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支持AI自动生成工具</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支持触发器定时触发工具能力</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750" w:type="pct"/>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支持工具调试、导入和导出</w:t>
            </w:r>
          </w:p>
        </w:tc>
      </w:tr>
      <w:tr>
        <w:tblPrEx>
          <w:tblCellMar>
            <w:top w:w="0" w:type="dxa"/>
            <w:left w:w="108" w:type="dxa"/>
            <w:bottom w:w="0" w:type="dxa"/>
            <w:right w:w="108" w:type="dxa"/>
          </w:tblCellMar>
        </w:tblPrEx>
        <w:trPr>
          <w:trHeight w:val="326" w:hRule="atLeast"/>
        </w:trPr>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智能体应用</w:t>
            </w:r>
          </w:p>
        </w:tc>
        <w:tc>
          <w:tcPr>
            <w:tcW w:w="750" w:type="pct"/>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应用管理</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支持工作流编排，包含 AI 对话、知识库检索、问题优化、判断、指定回复、文档内容总结、文本转语音、语音转文本、图片理解、图片生成、表单收集、MCP 、意图识别、循环、文生视频、图生视频、文档标签检索、视频理解、变量拆分、变量聚合、参数提取等节点</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智能体支持长期记忆功能，提升对话个性化与连续性</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AI 节点支持异常分支输出</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AI 节点支持自主调用 Skills  技能</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支持自定义对话框的浮窗入口图标及位置、AI 头像、免责声明等个性化显示设置</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支持文档、图片、音频、视频文件的上传并进行处理</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访问问答界面支持本地账号、LDAP、CAS、OIDC、SAML2、OAuth2和企微、钉钉、飞书扫码身份验证</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支持接入企业微信应用、企业微信微信客服、钉钉应用、飞书应用、微信公众号以及 Slack</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支持提问时显示并可下载知识来源</w:t>
            </w:r>
          </w:p>
        </w:tc>
      </w:tr>
      <w:tr>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支持记录提问者的身份信息和提问记录</w:t>
            </w:r>
          </w:p>
        </w:tc>
      </w:tr>
      <w:tr>
        <w:tblPrEx>
          <w:tblCellMar>
            <w:top w:w="0" w:type="dxa"/>
            <w:left w:w="108" w:type="dxa"/>
            <w:bottom w:w="0" w:type="dxa"/>
            <w:right w:w="108" w:type="dxa"/>
          </w:tblCellMar>
        </w:tblPrEx>
        <w:trPr>
          <w:trHeight w:val="326" w:hRule="atLeast"/>
        </w:trPr>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模型对接</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模型管理</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支持大语言模型、向量化模型、重排模型、语音识别、语音合成、图片理解、图片生成、文生视频和图生视频等多种模型</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支持对接当前主流的大型模型，包括但不限于本地私有模型如 Qwen 2、国内公共模型如 DeepSeek、Kimi、智谱AI和百度千帆等</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支持自定义模型参数设置</w:t>
            </w:r>
          </w:p>
        </w:tc>
      </w:tr>
      <w:tr>
        <w:tblPrEx>
          <w:tblCellMar>
            <w:top w:w="0" w:type="dxa"/>
            <w:left w:w="108" w:type="dxa"/>
            <w:bottom w:w="0" w:type="dxa"/>
            <w:right w:w="108" w:type="dxa"/>
          </w:tblCellMar>
        </w:tblPrEx>
        <w:trPr>
          <w:trHeight w:val="326" w:hRule="atLeast"/>
        </w:trPr>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系统管理</w:t>
            </w:r>
          </w:p>
        </w:tc>
        <w:tc>
          <w:tcPr>
            <w:tcW w:w="750" w:type="pct"/>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用户管理</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支持定义工作空间，可将相关的人员、资源、角色等进行集中管理</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支持对话用户机制，通过身份验证的方式对应用进行访问限制，访问问答界面支持密码验证、本地账号、LDAP、CAS、OIDC、OAuth2和企微、钉钉、飞书扫码身份验证</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支持用户角色访问控制管理（RBAC）</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资源管理</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支持管理员集中管理维护全局资源</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支持资源授权给指定用户</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操作日志</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支持查看所有用户对知识库、模型、应用等的操作动作</w:t>
            </w:r>
          </w:p>
        </w:tc>
      </w:tr>
      <w:tr>
        <w:tblPrEx>
          <w:tblCellMar>
            <w:top w:w="0" w:type="dxa"/>
            <w:left w:w="108" w:type="dxa"/>
            <w:bottom w:w="0" w:type="dxa"/>
            <w:right w:w="108" w:type="dxa"/>
          </w:tblCellMar>
        </w:tblPrEx>
        <w:trPr>
          <w:trHeight w:val="326" w:hRule="atLeast"/>
        </w:trPr>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开放 API</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提供完整、详细的 API 文档与第三方系统进行对接</w:t>
            </w:r>
          </w:p>
        </w:tc>
      </w:tr>
      <w:tr>
        <w:tblPrEx>
          <w:tblCellMar>
            <w:top w:w="0" w:type="dxa"/>
            <w:left w:w="108" w:type="dxa"/>
            <w:bottom w:w="0" w:type="dxa"/>
            <w:right w:w="108" w:type="dxa"/>
          </w:tblCellMar>
        </w:tblPrEx>
        <w:trPr>
          <w:trHeight w:val="326" w:hRule="atLeast"/>
        </w:trPr>
        <w:tc>
          <w:tcPr>
            <w:tcW w:w="6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安装部署</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国产化</w:t>
            </w:r>
          </w:p>
        </w:tc>
        <w:tc>
          <w:tcPr>
            <w:tcW w:w="355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支持国产 X86 架构和 ARM64 架构的CPU芯片，部署支持统信 UOS、麒麟 Kylin、华为 OpenEuler 等主流国产操作系统</w:t>
            </w:r>
          </w:p>
        </w:tc>
      </w:tr>
    </w:tbl>
    <w:p>
      <w:pPr>
        <w:ind w:firstLine="480" w:firstLineChars="200"/>
        <w:rPr>
          <w:rFonts w:ascii="楷体_GB2312" w:hAnsi="楷体_GB2312" w:eastAsia="楷体_GB2312" w:cs="楷体_GB2312"/>
          <w:sz w:val="24"/>
        </w:rPr>
      </w:pPr>
      <w:r>
        <w:rPr>
          <w:rFonts w:hint="eastAsia" w:ascii="楷体_GB2312" w:hAnsi="楷体_GB2312" w:eastAsia="楷体_GB2312" w:cs="楷体_GB2312"/>
          <w:sz w:val="24"/>
        </w:rPr>
        <w:t>三、服务要求</w:t>
      </w:r>
    </w:p>
    <w:p>
      <w:pPr>
        <w:ind w:firstLine="482" w:firstLineChars="200"/>
        <w:rPr>
          <w:rFonts w:ascii="仿宋_GB2312" w:hAnsi="仿宋_GB2312" w:eastAsia="仿宋_GB2312" w:cs="仿宋_GB2312"/>
          <w:b/>
          <w:bCs/>
          <w:sz w:val="24"/>
        </w:rPr>
      </w:pPr>
      <w:r>
        <w:rPr>
          <w:rFonts w:hint="eastAsia" w:ascii="仿宋_GB2312" w:hAnsi="仿宋_GB2312" w:eastAsia="仿宋_GB2312" w:cs="仿宋_GB2312"/>
          <w:b/>
          <w:bCs/>
          <w:sz w:val="24"/>
        </w:rPr>
        <w:t>使用期：</w:t>
      </w:r>
      <w:r>
        <w:rPr>
          <w:rFonts w:hint="eastAsia" w:ascii="仿宋_GB2312" w:hAnsi="仿宋_GB2312" w:eastAsia="仿宋_GB2312" w:cs="仿宋_GB2312"/>
          <w:sz w:val="24"/>
        </w:rPr>
        <w:t>采购人购买的当前版本软件无使用时间限制。</w:t>
      </w:r>
    </w:p>
    <w:p>
      <w:pPr>
        <w:ind w:firstLine="482" w:firstLineChars="200"/>
        <w:rPr>
          <w:rFonts w:ascii="仿宋_GB2312" w:hAnsi="仿宋_GB2312" w:eastAsia="仿宋_GB2312" w:cs="仿宋_GB2312"/>
          <w:sz w:val="24"/>
        </w:rPr>
      </w:pPr>
      <w:r>
        <w:rPr>
          <w:rFonts w:hint="eastAsia" w:ascii="仿宋_GB2312" w:hAnsi="仿宋_GB2312" w:eastAsia="仿宋_GB2312" w:cs="仿宋_GB2312"/>
          <w:b/>
          <w:bCs/>
          <w:sz w:val="24"/>
        </w:rPr>
        <w:t>质保期：</w:t>
      </w:r>
      <w:r>
        <w:rPr>
          <w:rFonts w:hint="eastAsia" w:ascii="仿宋_GB2312" w:hAnsi="仿宋_GB2312" w:eastAsia="仿宋_GB2312" w:cs="仿宋_GB2312"/>
          <w:sz w:val="24"/>
        </w:rPr>
        <w:t>供应商提供1年免费升级和维护服务。</w:t>
      </w:r>
      <w:r>
        <w:fldChar w:fldCharType="begin"/>
      </w:r>
      <w:r>
        <w:instrText xml:space="preserve"> HYPERLINK "https://zyd.cdutcm.edu.cn/Upload/xxyjyjszx/ContentManage/Article/File/2022/04/11/202204111009009780.docx" \l "1#1" \t "https://chat.deepseek.com/a/chat/s/_blank" </w:instrText>
      </w:r>
      <w:r>
        <w:fldChar w:fldCharType="separate"/>
      </w:r>
      <w:r>
        <w:fldChar w:fldCharType="end"/>
      </w:r>
    </w:p>
    <w:p>
      <w:pPr>
        <w:ind w:firstLine="482" w:firstLineChars="200"/>
        <w:rPr>
          <w:rFonts w:ascii="仿宋_GB2312" w:hAnsi="仿宋_GB2312" w:eastAsia="仿宋_GB2312" w:cs="仿宋_GB2312"/>
          <w:sz w:val="24"/>
        </w:rPr>
      </w:pPr>
      <w:r>
        <w:rPr>
          <w:rFonts w:hint="eastAsia" w:ascii="仿宋_GB2312" w:hAnsi="仿宋_GB2312" w:eastAsia="仿宋_GB2312" w:cs="仿宋_GB2312"/>
          <w:b/>
          <w:bCs/>
          <w:sz w:val="24"/>
        </w:rPr>
        <w:t>技术支持：</w:t>
      </w:r>
      <w:r>
        <w:rPr>
          <w:rFonts w:hint="eastAsia" w:ascii="仿宋_GB2312" w:hAnsi="仿宋_GB2312" w:eastAsia="仿宋_GB2312" w:cs="仿宋_GB2312"/>
          <w:sz w:val="24"/>
        </w:rPr>
        <w:t>提供线上技术支持，如遇线上无法解决问题时应到现场处理。</w:t>
      </w:r>
      <w:r>
        <w:fldChar w:fldCharType="begin"/>
      </w:r>
      <w:r>
        <w:instrText xml:space="preserve"> HYPERLINK "https://zyd.cdutcm.edu.cn/Upload/xxyjyjszx/ContentManage/Article/File/2022/04/11/202204111009009780.docx" \l "1#1" \t "https://chat.deepseek.com/a/chat/s/_blank" </w:instrText>
      </w:r>
      <w:r>
        <w:fldChar w:fldCharType="separate"/>
      </w:r>
      <w:r>
        <w:fldChar w:fldCharType="end"/>
      </w:r>
    </w:p>
    <w:p>
      <w:pPr>
        <w:ind w:firstLine="482" w:firstLineChars="200"/>
        <w:rPr>
          <w:rFonts w:ascii="仿宋_GB2312" w:hAnsi="仿宋_GB2312" w:eastAsia="仿宋_GB2312" w:cs="仿宋_GB2312"/>
          <w:sz w:val="24"/>
        </w:rPr>
      </w:pPr>
      <w:r>
        <w:rPr>
          <w:rFonts w:hint="eastAsia" w:ascii="仿宋_GB2312" w:hAnsi="仿宋_GB2312" w:eastAsia="仿宋_GB2312" w:cs="仿宋_GB2312"/>
          <w:b/>
          <w:bCs/>
          <w:sz w:val="24"/>
        </w:rPr>
        <w:t>故障处理：</w:t>
      </w:r>
      <w:r>
        <w:rPr>
          <w:rFonts w:hint="eastAsia" w:ascii="仿宋_GB2312" w:hAnsi="仿宋_GB2312" w:eastAsia="仿宋_GB2312" w:cs="仿宋_GB2312"/>
          <w:sz w:val="24"/>
        </w:rPr>
        <w:t>维护期限内，若出现质量问题或系统软件故障，由供应商免费提供维修、更换或升级。</w:t>
      </w:r>
    </w:p>
    <w:p>
      <w:pPr>
        <w:ind w:firstLine="480" w:firstLineChars="200"/>
        <w:rPr>
          <w:rFonts w:ascii="楷体_GB2312" w:hAnsi="楷体_GB2312" w:eastAsia="楷体_GB2312" w:cs="楷体_GB2312"/>
          <w:sz w:val="24"/>
        </w:rPr>
      </w:pPr>
      <w:r>
        <w:rPr>
          <w:rFonts w:hint="eastAsia" w:ascii="楷体_GB2312" w:hAnsi="楷体_GB2312" w:eastAsia="楷体_GB2312" w:cs="楷体_GB2312"/>
          <w:sz w:val="24"/>
        </w:rPr>
        <w:t>四、知识产权</w:t>
      </w:r>
    </w:p>
    <w:p>
      <w:pPr>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供应商为本项目提供的软件应为具有合法版权或使用权的正版软件且无质量瑕疵。</w:t>
      </w:r>
    </w:p>
    <w:p>
      <w:pPr>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供应商所提供的软件和技术服务，如若发生侵犯任何第三方知识产权的行为时，其侵权责任与采购方无关，应由供应商承担相应的责任。</w:t>
      </w:r>
    </w:p>
    <w:p>
      <w:pPr>
        <w:rPr>
          <w:rFonts w:ascii="仿宋_GB2312" w:hAnsi="仿宋_GB2312" w:eastAsia="仿宋_GB2312" w:cs="仿宋_GB2312"/>
          <w:sz w:val="24"/>
        </w:rPr>
      </w:pPr>
    </w:p>
    <w:p>
      <w:pPr>
        <w:rPr>
          <w:rFonts w:ascii="仿宋_GB2312" w:hAnsi="仿宋_GB2312" w:eastAsia="仿宋_GB2312" w:cs="仿宋_GB2312"/>
          <w:sz w:val="24"/>
        </w:rPr>
      </w:pPr>
      <w:r>
        <w:rPr>
          <w:rFonts w:ascii="仿宋_GB2312" w:hAnsi="仿宋_GB2312" w:eastAsia="仿宋_GB2312" w:cs="仿宋_GB2312"/>
          <w:sz w:val="24"/>
        </w:rPr>
        <w:br w:type="page"/>
      </w:r>
    </w:p>
    <w:p>
      <w:pPr>
        <w:jc w:val="center"/>
        <w:rPr>
          <w:rFonts w:hint="default" w:ascii="方正小标宋_GBK" w:hAnsi="方正小标宋_GBK" w:eastAsia="方正小标宋_GBK" w:cs="方正小标宋_GBK"/>
          <w:color w:val="000000"/>
          <w:kern w:val="0"/>
          <w:sz w:val="24"/>
          <w:lang w:val="en-US" w:eastAsia="zh-CN"/>
        </w:rPr>
      </w:pPr>
      <w:bookmarkStart w:id="0" w:name="_GoBack"/>
      <w:bookmarkEnd w:id="0"/>
      <w:r>
        <w:rPr>
          <w:rFonts w:hint="eastAsia" w:ascii="方正小标宋_GBK" w:hAnsi="方正小标宋_GBK" w:eastAsia="方正小标宋_GBK" w:cs="方正小标宋_GBK"/>
          <w:color w:val="000000"/>
          <w:kern w:val="0"/>
          <w:sz w:val="24"/>
        </w:rPr>
        <w:t>技术</w:t>
      </w:r>
      <w:r>
        <w:rPr>
          <w:rFonts w:hint="eastAsia" w:ascii="方正小标宋_GBK" w:hAnsi="方正小标宋_GBK" w:eastAsia="方正小标宋_GBK" w:cs="方正小标宋_GBK"/>
          <w:color w:val="000000"/>
          <w:kern w:val="0"/>
          <w:sz w:val="24"/>
          <w:lang w:val="en-US" w:eastAsia="zh-CN"/>
        </w:rPr>
        <w:t>响应文件（样式）</w:t>
      </w:r>
    </w:p>
    <w:p>
      <w:pPr>
        <w:ind w:firstLine="480" w:firstLineChars="200"/>
        <w:rPr>
          <w:rFonts w:hint="eastAsia" w:ascii="楷体_GB2312" w:hAnsi="楷体_GB2312" w:eastAsia="楷体_GB2312" w:cs="楷体_GB2312"/>
          <w:sz w:val="24"/>
          <w:lang w:val="en-US" w:eastAsia="zh-CN"/>
        </w:rPr>
      </w:pPr>
      <w:r>
        <w:rPr>
          <w:rFonts w:hint="eastAsia" w:ascii="楷体_GB2312" w:hAnsi="楷体_GB2312" w:eastAsia="楷体_GB2312" w:cs="楷体_GB2312"/>
          <w:sz w:val="24"/>
          <w:lang w:val="en-US" w:eastAsia="zh-CN"/>
        </w:rPr>
        <w:t>一、功能要求</w:t>
      </w:r>
    </w:p>
    <w:p>
      <w:pPr>
        <w:ind w:firstLine="480" w:firstLineChars="200"/>
        <w:rPr>
          <w:rFonts w:hint="default" w:ascii="楷体_GB2312" w:hAnsi="楷体_GB2312" w:eastAsia="楷体_GB2312" w:cs="楷体_GB2312"/>
          <w:sz w:val="24"/>
          <w:lang w:val="en-US" w:eastAsia="zh-CN"/>
        </w:rPr>
      </w:pPr>
      <w:r>
        <w:rPr>
          <w:rFonts w:hint="eastAsia" w:ascii="楷体_GB2312" w:hAnsi="楷体_GB2312" w:eastAsia="楷体_GB2312" w:cs="楷体_GB2312"/>
          <w:sz w:val="24"/>
          <w:lang w:val="en-US" w:eastAsia="zh-CN"/>
        </w:rPr>
        <w:t>（一）响应情况</w:t>
      </w:r>
    </w:p>
    <w:tbl>
      <w:tblPr>
        <w:tblStyle w:val="5"/>
        <w:tblW w:w="0" w:type="auto"/>
        <w:tblInd w:w="0" w:type="dxa"/>
        <w:tblLayout w:type="fixed"/>
        <w:tblCellMar>
          <w:top w:w="0" w:type="dxa"/>
          <w:left w:w="108" w:type="dxa"/>
          <w:bottom w:w="0" w:type="dxa"/>
          <w:right w:w="108" w:type="dxa"/>
        </w:tblCellMar>
      </w:tblPr>
      <w:tblGrid>
        <w:gridCol w:w="996"/>
        <w:gridCol w:w="1395"/>
        <w:gridCol w:w="4920"/>
        <w:gridCol w:w="1211"/>
      </w:tblGrid>
      <w:tr>
        <w:tblPrEx>
          <w:tblCellMar>
            <w:top w:w="0" w:type="dxa"/>
            <w:left w:w="108" w:type="dxa"/>
            <w:bottom w:w="0" w:type="dxa"/>
            <w:right w:w="108" w:type="dxa"/>
          </w:tblCellMar>
        </w:tblPrEx>
        <w:trPr>
          <w:trHeight w:val="326" w:hRule="atLeast"/>
        </w:trPr>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b/>
                <w:bCs/>
                <w:color w:val="000000"/>
                <w:kern w:val="0"/>
                <w:sz w:val="24"/>
                <w:lang w:val="en-US" w:eastAsia="zh-CN" w:bidi="ar"/>
              </w:rPr>
              <w:t>模块</w:t>
            </w:r>
          </w:p>
        </w:tc>
        <w:tc>
          <w:tcPr>
            <w:tcW w:w="1395"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b/>
                <w:bCs/>
                <w:color w:val="000000"/>
                <w:kern w:val="0"/>
                <w:sz w:val="24"/>
                <w:lang w:val="en-US" w:eastAsia="zh-CN" w:bidi="ar"/>
              </w:rPr>
              <w:t>分类</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b/>
                <w:bCs/>
                <w:color w:val="000000"/>
                <w:kern w:val="0"/>
                <w:sz w:val="24"/>
                <w:lang w:val="en-US" w:eastAsia="zh-CN" w:bidi="ar"/>
              </w:rPr>
              <w:t>功能</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仿宋_GB2312" w:hAnsi="仿宋_GB2312" w:eastAsia="仿宋_GB2312" w:cs="仿宋_GB2312"/>
                <w:color w:val="000000"/>
                <w:kern w:val="0"/>
                <w:sz w:val="24"/>
                <w:lang w:val="en-US" w:eastAsia="zh-CN" w:bidi="ar"/>
              </w:rPr>
            </w:pPr>
            <w:r>
              <w:rPr>
                <w:rFonts w:hint="eastAsia" w:ascii="仿宋_GB2312" w:hAnsi="仿宋_GB2312" w:eastAsia="仿宋_GB2312" w:cs="仿宋_GB2312"/>
                <w:b/>
                <w:bCs/>
                <w:color w:val="000000"/>
                <w:kern w:val="0"/>
                <w:sz w:val="24"/>
                <w:lang w:val="en-US" w:eastAsia="zh-CN" w:bidi="ar"/>
              </w:rPr>
              <w:t>响应情况</w:t>
            </w:r>
          </w:p>
        </w:tc>
      </w:tr>
      <w:tr>
        <w:tblPrEx>
          <w:tblCellMar>
            <w:top w:w="0" w:type="dxa"/>
            <w:left w:w="108" w:type="dxa"/>
            <w:bottom w:w="0" w:type="dxa"/>
            <w:right w:w="108" w:type="dxa"/>
          </w:tblCellMar>
        </w:tblPrEx>
        <w:trPr>
          <w:trHeight w:val="326" w:hRule="atLeast"/>
        </w:trPr>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知识库</w:t>
            </w:r>
          </w:p>
        </w:tc>
        <w:tc>
          <w:tcPr>
            <w:tcW w:w="1395" w:type="dxa"/>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文档入库</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支持导入文本文件、表格、QA问答对类型的文档</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支持的文件类型包括但不限于 Markdown、TXT、DOCX、PDF、HTML、XLSX、XLS、CSV 、ZIP</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支持自定义每次上传文档数量和文档大小</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支持灵活的文档分段策略，提供智能分段、自定义分段、正则表达式分段等多种策略</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支持工作流知识库，自定义工作流对文档内容解析后导入知识库</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支持飞书知识库对接和同步</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支持查看关联资源，支持双向追溯依赖与被依赖关系</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问题管理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支持维护知识库常见问题列表并和分段关联</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支持AI自动生成关联问题并关联分段</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知识库管理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支持根据创建者、名称快速检索知识库</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支持自定义多级目录</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支持标签管理功能，每个知识库都拥有独立的标签管理体系</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支持保存下载原文档</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工具</w:t>
            </w:r>
          </w:p>
        </w:tc>
        <w:tc>
          <w:tcPr>
            <w:tcW w:w="1395" w:type="dxa"/>
            <w:vMerge w:val="restart"/>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工具管理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支持自定义新建工具，工具支持Python主流开发语言。比如API插件工具，数据库查询工具，网络搜索工具等。</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支持MCP工具管理功能</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支持Skills技能管理功能</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支持AI自动生成工具</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支持触发器定时触发工具能力</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_GB2312" w:eastAsia="仿宋_GB2312" w:cs="仿宋_GB2312"/>
                <w:color w:val="000000"/>
                <w:sz w:val="24"/>
              </w:rPr>
            </w:pPr>
          </w:p>
        </w:tc>
        <w:tc>
          <w:tcPr>
            <w:tcW w:w="1395" w:type="dxa"/>
            <w:vMerge w:val="continue"/>
            <w:tcBorders>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支持工具调试、导入和导出</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智能体应用</w:t>
            </w:r>
          </w:p>
        </w:tc>
        <w:tc>
          <w:tcPr>
            <w:tcW w:w="1395" w:type="dxa"/>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应用管理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支持工作流编排，包含 AI 对话、知识库检索、问题优化、判断、指定回复、文档内容总结、文本转语音、语音转文本、图片理解、图片生成、表单收集、MCP 、意图识别、循环、文生视频、图生视频、文档标签检索、视频理解、变量拆分、变量聚合、参数提取等节点</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智能体支持长期记忆功能，提升对话个性化与连续性</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AI 节点支持异常分支输出</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AI 节点支持自主调用 Skills  技能</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支持自定义对话框的浮窗入口图标及位置、AI 头像、免责声明等个性化显示设置</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支持文档、图片、音频、视频文件的上传并进行处理</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访问问答界面支持本地账号、LDAP、CAS、OIDC、SAML2、OAuth2和企微、钉钉、飞书扫码身份验证</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支持接入企业微信应用、企业微信微信客服、钉钉应用、飞书应用、微信公众号以及 Slack</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支持提问时显示并可下载知识来源</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支持记录提问者的身份信息和提问记录</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模型对接</w:t>
            </w:r>
          </w:p>
        </w:tc>
        <w:tc>
          <w:tcPr>
            <w:tcW w:w="13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模型管理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支持大语言模型、向量化模型、重排模型、语音识别、语音合成、图片理解、图片生成、文生视频和图生视频等多种模型</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支持对接当前主流的大型模型，包括但不限于本地私有模型如 Qwen 2、国内公共模型如 DeepSeek、Kimi、智谱AI和百度千帆等</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支持自定义模型参数设置</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系统管理</w:t>
            </w:r>
          </w:p>
        </w:tc>
        <w:tc>
          <w:tcPr>
            <w:tcW w:w="1395" w:type="dxa"/>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用户管理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支持定义工作空间，可将相关的人员、资源、角色等进行集中管理</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支持对话用户机制，通过身份验证的方式对应用进行访问限制，访问问答界面支持密码验证、本地账号、LDAP、CAS、OIDC、OAuth2和企微、钉钉、飞书扫码身份验证</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支持用户角色访问控制管理（RBAC）</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restart"/>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资源管理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支持管理员集中管理维护全局资源</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vMerge w:val="continue"/>
            <w:tcBorders>
              <w:top w:val="single" w:color="000000" w:sz="4" w:space="0"/>
              <w:left w:val="single" w:color="000000" w:sz="4" w:space="0"/>
              <w:bottom w:val="nil"/>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支持资源授权给指定用户</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操作日志</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支持查看所有用户对知识库、模型、应用等的操作动作</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开放 API</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提供完整、详细的 API 文档与第三方系统进行对接</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r>
        <w:tblPrEx>
          <w:tblCellMar>
            <w:top w:w="0" w:type="dxa"/>
            <w:left w:w="108" w:type="dxa"/>
            <w:bottom w:w="0" w:type="dxa"/>
            <w:right w:w="108" w:type="dxa"/>
          </w:tblCellMar>
        </w:tblPrEx>
        <w:trPr>
          <w:trHeight w:val="326" w:hRule="atLeast"/>
        </w:trPr>
        <w:tc>
          <w:tcPr>
            <w:tcW w:w="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安装部署</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国产化</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lang w:bidi="ar"/>
              </w:rPr>
              <w:t>支持国产 X86 架构和 ARM64 架构的CPU芯片，部署支持统信 UOS、麒麟 Kylin、华为 OpenEuler 等主流国产操作系统</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仿宋_GB2312" w:eastAsia="仿宋_GB2312" w:cs="仿宋_GB2312"/>
                <w:color w:val="000000"/>
                <w:kern w:val="0"/>
                <w:sz w:val="24"/>
                <w:lang w:bidi="ar"/>
              </w:rPr>
            </w:pPr>
          </w:p>
        </w:tc>
      </w:tr>
    </w:tbl>
    <w:p>
      <w:pPr>
        <w:ind w:firstLine="480" w:firstLineChars="200"/>
        <w:rPr>
          <w:rFonts w:hint="eastAsia" w:ascii="楷体_GB2312" w:hAnsi="楷体_GB2312" w:eastAsia="楷体_GB2312" w:cs="楷体_GB2312"/>
          <w:sz w:val="24"/>
          <w:lang w:val="en-US" w:eastAsia="zh-CN"/>
        </w:rPr>
      </w:pPr>
      <w:r>
        <w:rPr>
          <w:rFonts w:hint="eastAsia" w:ascii="楷体_GB2312" w:hAnsi="楷体_GB2312" w:eastAsia="楷体_GB2312" w:cs="楷体_GB2312"/>
          <w:sz w:val="24"/>
          <w:lang w:val="en-US" w:eastAsia="zh-CN"/>
        </w:rPr>
        <w:t>（二）响应说明</w:t>
      </w:r>
    </w:p>
    <w:p>
      <w:pPr>
        <w:ind w:firstLine="480" w:firstLineChars="200"/>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w:t>
      </w:r>
    </w:p>
    <w:p>
      <w:pPr>
        <w:ind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w:t>
      </w:r>
    </w:p>
    <w:p>
      <w:pPr>
        <w:ind w:firstLine="480" w:firstLineChars="200"/>
        <w:rPr>
          <w:rFonts w:hint="eastAsia" w:ascii="楷体_GB2312" w:hAnsi="楷体_GB2312" w:eastAsia="楷体_GB2312" w:cs="楷体_GB2312"/>
          <w:sz w:val="24"/>
        </w:rPr>
      </w:pPr>
      <w:r>
        <w:rPr>
          <w:rFonts w:hint="eastAsia" w:ascii="楷体_GB2312" w:hAnsi="楷体_GB2312" w:eastAsia="楷体_GB2312" w:cs="楷体_GB2312"/>
          <w:sz w:val="24"/>
          <w:lang w:val="en-US" w:eastAsia="zh-CN"/>
        </w:rPr>
        <w:t>二</w:t>
      </w:r>
      <w:r>
        <w:rPr>
          <w:rFonts w:hint="eastAsia" w:ascii="楷体_GB2312" w:hAnsi="楷体_GB2312" w:eastAsia="楷体_GB2312" w:cs="楷体_GB2312"/>
          <w:sz w:val="24"/>
        </w:rPr>
        <w:t>、服务要求</w:t>
      </w:r>
    </w:p>
    <w:p>
      <w:pPr>
        <w:ind w:firstLine="480" w:firstLineChars="200"/>
        <w:rPr>
          <w:rFonts w:hint="default" w:ascii="楷体_GB2312" w:hAnsi="楷体_GB2312" w:eastAsia="楷体_GB2312" w:cs="楷体_GB2312"/>
          <w:sz w:val="24"/>
          <w:lang w:val="en-US" w:eastAsia="zh-CN"/>
        </w:rPr>
      </w:pPr>
      <w:r>
        <w:rPr>
          <w:rFonts w:hint="eastAsia" w:ascii="楷体_GB2312" w:hAnsi="楷体_GB2312" w:eastAsia="楷体_GB2312" w:cs="楷体_GB2312"/>
          <w:sz w:val="24"/>
          <w:lang w:val="en-US" w:eastAsia="zh-CN"/>
        </w:rPr>
        <w:t>（一）响应情况</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jc w:val="center"/>
              <w:rPr>
                <w:rFonts w:hint="default" w:ascii="仿宋_GB2312" w:hAnsi="仿宋_GB2312" w:eastAsia="仿宋_GB2312" w:cs="仿宋_GB2312"/>
                <w:b/>
                <w:bCs/>
                <w:sz w:val="24"/>
                <w:vertAlign w:val="baseline"/>
                <w:lang w:val="en-US" w:eastAsia="zh-CN"/>
              </w:rPr>
            </w:pPr>
            <w:r>
              <w:rPr>
                <w:rFonts w:hint="eastAsia" w:ascii="仿宋_GB2312" w:hAnsi="仿宋_GB2312" w:eastAsia="仿宋_GB2312" w:cs="仿宋_GB2312"/>
                <w:b/>
                <w:bCs/>
                <w:sz w:val="24"/>
                <w:vertAlign w:val="baseline"/>
                <w:lang w:val="en-US" w:eastAsia="zh-CN"/>
              </w:rPr>
              <w:t>要求</w:t>
            </w:r>
          </w:p>
        </w:tc>
        <w:tc>
          <w:tcPr>
            <w:tcW w:w="4261" w:type="dxa"/>
          </w:tcPr>
          <w:p>
            <w:pPr>
              <w:jc w:val="center"/>
              <w:rPr>
                <w:rFonts w:hint="default" w:ascii="仿宋_GB2312" w:hAnsi="仿宋_GB2312" w:eastAsia="仿宋_GB2312" w:cs="仿宋_GB2312"/>
                <w:b/>
                <w:bCs/>
                <w:sz w:val="24"/>
                <w:vertAlign w:val="baseline"/>
                <w:lang w:val="en-US" w:eastAsia="zh-CN"/>
              </w:rPr>
            </w:pPr>
            <w:r>
              <w:rPr>
                <w:rFonts w:hint="eastAsia" w:ascii="仿宋_GB2312" w:hAnsi="仿宋_GB2312" w:eastAsia="仿宋_GB2312" w:cs="仿宋_GB2312"/>
                <w:b/>
                <w:bCs/>
                <w:sz w:val="24"/>
                <w:vertAlign w:val="baseline"/>
                <w:lang w:val="en-US" w:eastAsia="zh-CN"/>
              </w:rPr>
              <w:t>响应情况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widowControl/>
              <w:jc w:val="left"/>
              <w:textAlignment w:val="center"/>
              <w:rPr>
                <w:rFonts w:hint="eastAsia" w:ascii="仿宋_GB2312" w:hAnsi="仿宋_GB2312" w:eastAsia="仿宋_GB2312" w:cs="仿宋_GB2312"/>
                <w:color w:val="000000"/>
                <w:kern w:val="0"/>
                <w:sz w:val="24"/>
                <w:lang w:val="en-US" w:eastAsia="zh-CN" w:bidi="ar"/>
              </w:rPr>
            </w:pPr>
            <w:r>
              <w:rPr>
                <w:rFonts w:hint="eastAsia" w:ascii="仿宋_GB2312" w:hAnsi="仿宋_GB2312" w:eastAsia="仿宋_GB2312" w:cs="仿宋_GB2312"/>
                <w:color w:val="000000"/>
                <w:kern w:val="0"/>
                <w:sz w:val="24"/>
                <w:lang w:bidi="ar"/>
              </w:rPr>
              <w:t>使用期</w:t>
            </w:r>
          </w:p>
        </w:tc>
        <w:tc>
          <w:tcPr>
            <w:tcW w:w="4261" w:type="dxa"/>
          </w:tcPr>
          <w:p>
            <w:pPr>
              <w:rPr>
                <w:rFonts w:hint="eastAsia" w:ascii="仿宋_GB2312" w:hAnsi="仿宋_GB2312" w:eastAsia="仿宋_GB2312" w:cs="仿宋_GB2312"/>
                <w:b/>
                <w:bCs/>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widowControl/>
              <w:jc w:val="left"/>
              <w:textAlignment w:val="center"/>
              <w:rPr>
                <w:rFonts w:hint="eastAsia" w:ascii="仿宋_GB2312" w:hAnsi="仿宋_GB2312" w:eastAsia="仿宋_GB2312" w:cs="仿宋_GB2312"/>
                <w:color w:val="000000"/>
                <w:kern w:val="0"/>
                <w:sz w:val="24"/>
                <w:lang w:val="en-US" w:eastAsia="zh-CN" w:bidi="ar"/>
              </w:rPr>
            </w:pPr>
            <w:r>
              <w:rPr>
                <w:rFonts w:hint="eastAsia" w:ascii="仿宋_GB2312" w:hAnsi="仿宋_GB2312" w:eastAsia="仿宋_GB2312" w:cs="仿宋_GB2312"/>
                <w:color w:val="000000"/>
                <w:kern w:val="0"/>
                <w:sz w:val="24"/>
                <w:lang w:bidi="ar"/>
              </w:rPr>
              <w:t>质保期</w:t>
            </w:r>
            <w:r>
              <w:rPr>
                <w:rFonts w:hint="eastAsia" w:ascii="仿宋_GB2312" w:hAnsi="仿宋_GB2312" w:eastAsia="仿宋_GB2312" w:cs="仿宋_GB2312"/>
                <w:color w:val="000000"/>
                <w:kern w:val="0"/>
                <w:sz w:val="24"/>
                <w:lang w:bidi="ar"/>
              </w:rPr>
              <w:fldChar w:fldCharType="begin"/>
            </w:r>
            <w:r>
              <w:rPr>
                <w:rFonts w:hint="eastAsia" w:ascii="仿宋_GB2312" w:hAnsi="仿宋_GB2312" w:eastAsia="仿宋_GB2312" w:cs="仿宋_GB2312"/>
                <w:color w:val="000000"/>
                <w:kern w:val="0"/>
                <w:sz w:val="24"/>
                <w:lang w:bidi="ar"/>
              </w:rPr>
              <w:instrText xml:space="preserve"> HYPERLINK "https://zyd.cdutcm.edu.cn/Upload/xxyjyjszx/ContentManage/Article/File/2022/04/11/202204111009009780.docx" \l "1#1" \t "https://chat.deepseek.com/a/chat/s/_blank" </w:instrText>
            </w:r>
            <w:r>
              <w:rPr>
                <w:rFonts w:hint="eastAsia" w:ascii="仿宋_GB2312" w:hAnsi="仿宋_GB2312" w:eastAsia="仿宋_GB2312" w:cs="仿宋_GB2312"/>
                <w:color w:val="000000"/>
                <w:kern w:val="0"/>
                <w:sz w:val="24"/>
                <w:lang w:bidi="ar"/>
              </w:rPr>
              <w:fldChar w:fldCharType="separate"/>
            </w:r>
            <w:r>
              <w:rPr>
                <w:rFonts w:hint="eastAsia" w:ascii="仿宋_GB2312" w:hAnsi="仿宋_GB2312" w:eastAsia="仿宋_GB2312" w:cs="仿宋_GB2312"/>
                <w:color w:val="000000"/>
                <w:kern w:val="0"/>
                <w:sz w:val="24"/>
                <w:lang w:bidi="ar"/>
              </w:rPr>
              <w:fldChar w:fldCharType="end"/>
            </w:r>
          </w:p>
        </w:tc>
        <w:tc>
          <w:tcPr>
            <w:tcW w:w="4261" w:type="dxa"/>
          </w:tcPr>
          <w:p>
            <w:pPr>
              <w:rPr>
                <w:rFonts w:hint="eastAsia" w:ascii="仿宋_GB2312" w:hAnsi="仿宋_GB2312" w:eastAsia="仿宋_GB2312" w:cs="仿宋_GB2312"/>
                <w:b/>
                <w:bCs/>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widowControl/>
              <w:jc w:val="left"/>
              <w:textAlignment w:val="center"/>
              <w:rPr>
                <w:rFonts w:hint="eastAsia" w:ascii="仿宋_GB2312" w:hAnsi="仿宋_GB2312" w:eastAsia="仿宋_GB2312" w:cs="仿宋_GB2312"/>
                <w:color w:val="000000"/>
                <w:kern w:val="0"/>
                <w:sz w:val="24"/>
                <w:lang w:val="en-US" w:eastAsia="zh-CN" w:bidi="ar"/>
              </w:rPr>
            </w:pPr>
            <w:r>
              <w:rPr>
                <w:rFonts w:hint="eastAsia" w:ascii="仿宋_GB2312" w:hAnsi="仿宋_GB2312" w:eastAsia="仿宋_GB2312" w:cs="仿宋_GB2312"/>
                <w:color w:val="000000"/>
                <w:kern w:val="0"/>
                <w:sz w:val="24"/>
                <w:lang w:bidi="ar"/>
              </w:rPr>
              <w:t>技术支持</w:t>
            </w:r>
            <w:r>
              <w:rPr>
                <w:rFonts w:hint="eastAsia" w:ascii="仿宋_GB2312" w:hAnsi="仿宋_GB2312" w:eastAsia="仿宋_GB2312" w:cs="仿宋_GB2312"/>
                <w:color w:val="000000"/>
                <w:kern w:val="0"/>
                <w:sz w:val="24"/>
                <w:lang w:bidi="ar"/>
              </w:rPr>
              <w:fldChar w:fldCharType="begin"/>
            </w:r>
            <w:r>
              <w:rPr>
                <w:rFonts w:hint="eastAsia" w:ascii="仿宋_GB2312" w:hAnsi="仿宋_GB2312" w:eastAsia="仿宋_GB2312" w:cs="仿宋_GB2312"/>
                <w:color w:val="000000"/>
                <w:kern w:val="0"/>
                <w:sz w:val="24"/>
                <w:lang w:bidi="ar"/>
              </w:rPr>
              <w:instrText xml:space="preserve"> HYPERLINK "https://zyd.cdutcm.edu.cn/Upload/xxyjyjszx/ContentManage/Article/File/2022/04/11/202204111009009780.docx" \l "1#1" \t "https://chat.deepseek.com/a/chat/s/_blank" </w:instrText>
            </w:r>
            <w:r>
              <w:rPr>
                <w:rFonts w:hint="eastAsia" w:ascii="仿宋_GB2312" w:hAnsi="仿宋_GB2312" w:eastAsia="仿宋_GB2312" w:cs="仿宋_GB2312"/>
                <w:color w:val="000000"/>
                <w:kern w:val="0"/>
                <w:sz w:val="24"/>
                <w:lang w:bidi="ar"/>
              </w:rPr>
              <w:fldChar w:fldCharType="separate"/>
            </w:r>
            <w:r>
              <w:rPr>
                <w:rFonts w:hint="eastAsia" w:ascii="仿宋_GB2312" w:hAnsi="仿宋_GB2312" w:eastAsia="仿宋_GB2312" w:cs="仿宋_GB2312"/>
                <w:color w:val="000000"/>
                <w:kern w:val="0"/>
                <w:sz w:val="24"/>
                <w:lang w:bidi="ar"/>
              </w:rPr>
              <w:fldChar w:fldCharType="end"/>
            </w:r>
          </w:p>
        </w:tc>
        <w:tc>
          <w:tcPr>
            <w:tcW w:w="4261" w:type="dxa"/>
          </w:tcPr>
          <w:p>
            <w:pPr>
              <w:rPr>
                <w:rFonts w:hint="eastAsia" w:ascii="仿宋_GB2312" w:hAnsi="仿宋_GB2312" w:eastAsia="仿宋_GB2312" w:cs="仿宋_GB2312"/>
                <w:b/>
                <w:bCs/>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pPr>
              <w:widowControl/>
              <w:jc w:val="left"/>
              <w:textAlignment w:val="center"/>
              <w:rPr>
                <w:rFonts w:hint="eastAsia" w:ascii="仿宋_GB2312" w:hAnsi="仿宋_GB2312" w:eastAsia="仿宋_GB2312" w:cs="仿宋_GB2312"/>
                <w:color w:val="000000"/>
                <w:kern w:val="0"/>
                <w:sz w:val="24"/>
                <w:lang w:val="en-US" w:eastAsia="zh-CN" w:bidi="ar"/>
              </w:rPr>
            </w:pPr>
            <w:r>
              <w:rPr>
                <w:rFonts w:hint="eastAsia" w:ascii="仿宋_GB2312" w:hAnsi="仿宋_GB2312" w:eastAsia="仿宋_GB2312" w:cs="仿宋_GB2312"/>
                <w:color w:val="000000"/>
                <w:kern w:val="0"/>
                <w:sz w:val="24"/>
                <w:lang w:bidi="ar"/>
              </w:rPr>
              <w:t>故障处理</w:t>
            </w:r>
          </w:p>
        </w:tc>
        <w:tc>
          <w:tcPr>
            <w:tcW w:w="4261" w:type="dxa"/>
          </w:tcPr>
          <w:p>
            <w:pPr>
              <w:rPr>
                <w:rFonts w:hint="eastAsia" w:ascii="仿宋_GB2312" w:hAnsi="仿宋_GB2312" w:eastAsia="仿宋_GB2312" w:cs="仿宋_GB2312"/>
                <w:b/>
                <w:bCs/>
                <w:sz w:val="24"/>
                <w:vertAlign w:val="baseline"/>
                <w:lang w:val="en-US" w:eastAsia="zh-CN"/>
              </w:rPr>
            </w:pPr>
          </w:p>
        </w:tc>
      </w:tr>
    </w:tbl>
    <w:p>
      <w:pPr>
        <w:ind w:firstLine="480" w:firstLineChars="200"/>
        <w:rPr>
          <w:rFonts w:hint="eastAsia" w:ascii="楷体_GB2312" w:hAnsi="楷体_GB2312" w:eastAsia="楷体_GB2312" w:cs="楷体_GB2312"/>
          <w:sz w:val="24"/>
          <w:lang w:val="en-US" w:eastAsia="zh-CN"/>
        </w:rPr>
      </w:pPr>
      <w:r>
        <w:rPr>
          <w:rFonts w:hint="eastAsia" w:ascii="楷体_GB2312" w:hAnsi="楷体_GB2312" w:eastAsia="楷体_GB2312" w:cs="楷体_GB2312"/>
          <w:sz w:val="24"/>
          <w:lang w:val="en-US" w:eastAsia="zh-CN"/>
        </w:rPr>
        <w:t>（二）响应说明</w:t>
      </w:r>
    </w:p>
    <w:p>
      <w:pPr>
        <w:ind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w:t>
      </w:r>
    </w:p>
    <w:p>
      <w:pPr>
        <w:ind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w:t>
      </w:r>
    </w:p>
    <w:p>
      <w:pPr>
        <w:ind w:firstLine="480" w:firstLineChars="200"/>
        <w:rPr>
          <w:rFonts w:ascii="楷体_GB2312" w:hAnsi="楷体_GB2312" w:eastAsia="楷体_GB2312" w:cs="楷体_GB2312"/>
          <w:sz w:val="24"/>
        </w:rPr>
      </w:pPr>
      <w:r>
        <w:rPr>
          <w:rFonts w:hint="eastAsia" w:ascii="楷体_GB2312" w:hAnsi="楷体_GB2312" w:eastAsia="楷体_GB2312" w:cs="楷体_GB2312"/>
          <w:sz w:val="24"/>
          <w:lang w:val="en-US" w:eastAsia="zh-CN"/>
        </w:rPr>
        <w:t>三</w:t>
      </w:r>
      <w:r>
        <w:rPr>
          <w:rFonts w:hint="eastAsia" w:ascii="楷体_GB2312" w:hAnsi="楷体_GB2312" w:eastAsia="楷体_GB2312" w:cs="楷体_GB2312"/>
          <w:sz w:val="24"/>
        </w:rPr>
        <w:t>、知识产权</w:t>
      </w:r>
    </w:p>
    <w:p>
      <w:pPr>
        <w:ind w:firstLine="480" w:firstLineChars="200"/>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4F2"/>
    <w:rsid w:val="00347FAE"/>
    <w:rsid w:val="004C3911"/>
    <w:rsid w:val="004D16A0"/>
    <w:rsid w:val="004F14F2"/>
    <w:rsid w:val="007218AB"/>
    <w:rsid w:val="00AA20F3"/>
    <w:rsid w:val="00AE242B"/>
    <w:rsid w:val="010105C7"/>
    <w:rsid w:val="01101645"/>
    <w:rsid w:val="030D1612"/>
    <w:rsid w:val="074103B7"/>
    <w:rsid w:val="0ED85095"/>
    <w:rsid w:val="14D90EE3"/>
    <w:rsid w:val="1ADB6BED"/>
    <w:rsid w:val="1CB267A9"/>
    <w:rsid w:val="261E30FF"/>
    <w:rsid w:val="282B6E1C"/>
    <w:rsid w:val="2C6C20D9"/>
    <w:rsid w:val="2D6634CC"/>
    <w:rsid w:val="383C2232"/>
    <w:rsid w:val="39606D49"/>
    <w:rsid w:val="47466D5F"/>
    <w:rsid w:val="4B160838"/>
    <w:rsid w:val="4E757CE6"/>
    <w:rsid w:val="52E41932"/>
    <w:rsid w:val="58705B51"/>
    <w:rsid w:val="620F2423"/>
    <w:rsid w:val="68371987"/>
    <w:rsid w:val="69EE6317"/>
    <w:rsid w:val="6BDA1F57"/>
    <w:rsid w:val="6CFB08BF"/>
    <w:rsid w:val="7B4D62F3"/>
    <w:rsid w:val="7D4330A0"/>
    <w:rsid w:val="7F8B4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4">
    <w:name w:val="Normal (Web)"/>
    <w:basedOn w:val="1"/>
    <w:uiPriority w:val="0"/>
    <w:rPr>
      <w:sz w:val="24"/>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322</Words>
  <Characters>1837</Characters>
  <Lines>15</Lines>
  <Paragraphs>4</Paragraphs>
  <TotalTime>4</TotalTime>
  <ScaleCrop>false</ScaleCrop>
  <LinksUpToDate>false</LinksUpToDate>
  <CharactersWithSpaces>2155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2026-06-24T09:00:00Z</dcterms:created>
  <dc:creator>NHDL</dc:creator>
  <cp:lastModifiedBy>Administrator</cp:lastModifiedBy>
  <dcterms:modified xsi:type="dcterms:W3CDTF">2026-06-29T06:35:26Z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2E71470C04154F93BEDDE0F57F4B186A</vt:lpwstr>
  </property>
</Properties>
</file>