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eastAsia="宋体" w:cs="Times New Roman"/>
          <w:b/>
          <w:sz w:val="44"/>
          <w:szCs w:val="44"/>
        </w:rPr>
      </w:pPr>
      <w:r>
        <w:rPr>
          <w:rFonts w:hint="eastAsia" w:ascii="黑体" w:hAnsi="黑体" w:eastAsia="黑体" w:cs="黑体"/>
          <w:b w:val="0"/>
          <w:bCs w:val="0"/>
          <w:color w:val="auto"/>
          <w:sz w:val="32"/>
          <w:szCs w:val="32"/>
          <w:lang w:val="en-US" w:eastAsia="zh-CN"/>
        </w:rPr>
        <w:drawing>
          <wp:anchor distT="0" distB="0" distL="114300" distR="114300" simplePos="0" relativeHeight="251659264" behindDoc="1" locked="0" layoutInCell="1" allowOverlap="1">
            <wp:simplePos x="0" y="0"/>
            <wp:positionH relativeFrom="column">
              <wp:posOffset>-1354455</wp:posOffset>
            </wp:positionH>
            <wp:positionV relativeFrom="paragraph">
              <wp:posOffset>-914400</wp:posOffset>
            </wp:positionV>
            <wp:extent cx="7765415" cy="10979150"/>
            <wp:effectExtent l="0" t="0" r="6985" b="0"/>
            <wp:wrapNone/>
            <wp:docPr id="5"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15"/>
                    <a:srcRect/>
                    <a:stretch>
                      <a:fillRect/>
                    </a:stretch>
                  </pic:blipFill>
                  <pic:spPr>
                    <a:xfrm>
                      <a:off x="0" y="0"/>
                      <a:ext cx="7765415" cy="10979150"/>
                    </a:xfrm>
                    <a:prstGeom prst="rect">
                      <a:avLst/>
                    </a:prstGeom>
                    <a:noFill/>
                    <a:ln w="9525">
                      <a:noFill/>
                      <a:miter lim="800000"/>
                      <a:headEnd/>
                      <a:tailEnd/>
                    </a:ln>
                  </pic:spPr>
                </pic:pic>
              </a:graphicData>
            </a:graphic>
          </wp:anchor>
        </w:drawing>
      </w:r>
    </w:p>
    <w:p>
      <w:pPr>
        <w:jc w:val="center"/>
        <w:rPr>
          <w:rFonts w:ascii="宋体" w:hAnsi="宋体" w:eastAsia="宋体" w:cs="Times New Roman"/>
          <w:b/>
          <w:sz w:val="44"/>
          <w:szCs w:val="44"/>
        </w:rPr>
      </w:pPr>
    </w:p>
    <w:p>
      <w:pPr>
        <w:jc w:val="center"/>
        <w:rPr>
          <w:rFonts w:ascii="宋体" w:hAnsi="宋体" w:eastAsia="宋体" w:cs="Times New Roman"/>
          <w:b/>
          <w:sz w:val="44"/>
          <w:szCs w:val="44"/>
        </w:rPr>
      </w:pPr>
    </w:p>
    <w:p>
      <w:pPr>
        <w:jc w:val="center"/>
        <w:rPr>
          <w:rFonts w:hint="eastAsia" w:ascii="黑体" w:hAnsi="黑体" w:eastAsia="黑体" w:cs="Times New Roman"/>
          <w:b/>
          <w:sz w:val="44"/>
          <w:szCs w:val="44"/>
          <w:lang w:val="en-US" w:eastAsia="zh-CN"/>
        </w:rPr>
      </w:pPr>
    </w:p>
    <w:p>
      <w:pPr>
        <w:jc w:val="center"/>
        <w:rPr>
          <w:rFonts w:hint="eastAsia" w:ascii="黑体" w:hAnsi="黑体" w:eastAsia="黑体" w:cs="Times New Roman"/>
          <w:b/>
          <w:sz w:val="44"/>
          <w:szCs w:val="44"/>
          <w:lang w:val="en-US" w:eastAsia="zh-CN"/>
        </w:rPr>
      </w:pPr>
    </w:p>
    <w:p>
      <w:pPr>
        <w:jc w:val="center"/>
        <w:rPr>
          <w:rFonts w:hint="eastAsia" w:ascii="黑体" w:hAnsi="黑体" w:eastAsia="黑体" w:cs="Times New Roman"/>
          <w:b/>
          <w:sz w:val="44"/>
          <w:szCs w:val="44"/>
          <w:lang w:val="en-US" w:eastAsia="zh-CN"/>
        </w:rPr>
      </w:pPr>
    </w:p>
    <w:p>
      <w:pPr>
        <w:spacing w:line="560" w:lineRule="exact"/>
        <w:jc w:val="center"/>
        <w:outlineLvl w:val="9"/>
        <w:rPr>
          <w:rFonts w:eastAsia="黑体"/>
          <w:b/>
          <w:color w:val="auto"/>
          <w:sz w:val="52"/>
        </w:rPr>
      </w:pPr>
      <w:r>
        <w:rPr>
          <w:rFonts w:hint="eastAsia" w:ascii="黑体" w:hAnsi="黑体" w:eastAsia="黑体" w:cs="黑体"/>
          <w:b/>
          <w:color w:val="auto"/>
          <w:sz w:val="52"/>
          <w:szCs w:val="52"/>
          <w:highlight w:val="none"/>
          <w:lang w:val="en-US" w:eastAsia="zh-CN"/>
        </w:rPr>
        <w:t>南网超高压公司南宁局平果基地2026-2028年三栋危旧楼位移倾斜沉降监测项目技术规范书</w:t>
      </w:r>
      <w:r>
        <w:rPr>
          <w:rFonts w:hint="eastAsia" w:ascii="Times New Roman" w:hAnsi="Times New Roman" w:eastAsia="黑体" w:cs="Times New Roman"/>
          <w:b/>
          <w:color w:val="auto"/>
          <w:kern w:val="2"/>
          <w:sz w:val="52"/>
          <w:szCs w:val="20"/>
          <w:lang w:val="en-US" w:bidi="ar-SA"/>
        </w:rPr>
        <w:t>（</w:t>
      </w:r>
      <w:r>
        <w:rPr>
          <w:rFonts w:hint="eastAsia" w:ascii="Times New Roman" w:hAnsi="Times New Roman" w:eastAsia="黑体" w:cs="Times New Roman"/>
          <w:b/>
          <w:color w:val="auto"/>
          <w:kern w:val="2"/>
          <w:sz w:val="52"/>
          <w:szCs w:val="20"/>
          <w:lang w:val="en-US" w:eastAsia="zh-CN" w:bidi="ar-SA"/>
        </w:rPr>
        <w:t>通用</w:t>
      </w:r>
      <w:r>
        <w:rPr>
          <w:rFonts w:hint="eastAsia" w:ascii="Times New Roman" w:hAnsi="Times New Roman" w:eastAsia="黑体" w:cs="Times New Roman"/>
          <w:b/>
          <w:color w:val="auto"/>
          <w:kern w:val="2"/>
          <w:sz w:val="52"/>
          <w:szCs w:val="20"/>
          <w:lang w:val="en-US" w:bidi="ar-SA"/>
        </w:rPr>
        <w:t>部分）</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eastAsia="黑体"/>
          <w:b/>
          <w:sz w:val="36"/>
        </w:rPr>
      </w:pP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黑体" w:cs="Times New Roman"/>
          <w:b/>
          <w:color w:val="auto"/>
          <w:sz w:val="52"/>
        </w:rPr>
      </w:pPr>
      <w:r>
        <w:rPr>
          <w:rFonts w:eastAsia="黑体"/>
          <w:b/>
          <w:sz w:val="36"/>
        </w:rPr>
        <w:t>版本号：202</w:t>
      </w:r>
      <w:r>
        <w:rPr>
          <w:rFonts w:hint="eastAsia" w:eastAsia="黑体"/>
          <w:b/>
          <w:sz w:val="36"/>
          <w:lang w:val="en-US" w:eastAsia="zh-CN"/>
        </w:rPr>
        <w:t>6</w:t>
      </w:r>
      <w:r>
        <w:rPr>
          <w:rFonts w:eastAsia="黑体"/>
          <w:b/>
          <w:sz w:val="36"/>
        </w:rPr>
        <w:t>版</w:t>
      </w:r>
    </w:p>
    <w:p>
      <w:pPr>
        <w:keepNext w:val="0"/>
        <w:keepLines w:val="0"/>
        <w:pageBreakBefore w:val="0"/>
        <w:widowControl w:val="0"/>
        <w:kinsoku/>
        <w:wordWrap/>
        <w:overflowPunct/>
        <w:topLinePunct w:val="0"/>
        <w:autoSpaceDE/>
        <w:autoSpaceDN/>
        <w:bidi w:val="0"/>
        <w:adjustRightInd/>
        <w:snapToGrid/>
        <w:ind w:firstLine="1928" w:firstLineChars="600"/>
        <w:textAlignment w:val="auto"/>
        <w:rPr>
          <w:rFonts w:hAnsi="宋体"/>
          <w:b/>
          <w:bCs/>
          <w:sz w:val="32"/>
          <w:highlight w:val="none"/>
        </w:rPr>
      </w:pPr>
    </w:p>
    <w:p>
      <w:pPr>
        <w:keepNext w:val="0"/>
        <w:keepLines w:val="0"/>
        <w:pageBreakBefore w:val="0"/>
        <w:widowControl w:val="0"/>
        <w:kinsoku/>
        <w:wordWrap/>
        <w:overflowPunct/>
        <w:topLinePunct w:val="0"/>
        <w:autoSpaceDE/>
        <w:autoSpaceDN/>
        <w:bidi w:val="0"/>
        <w:adjustRightInd/>
        <w:snapToGrid w:val="0"/>
        <w:spacing w:line="600" w:lineRule="auto"/>
        <w:ind w:firstLine="1928" w:firstLineChars="600"/>
        <w:textAlignment w:val="auto"/>
        <w:rPr>
          <w:rFonts w:hAnsi="宋体"/>
          <w:b/>
          <w:bCs/>
          <w:sz w:val="32"/>
          <w:highlight w:val="none"/>
        </w:rPr>
      </w:pPr>
    </w:p>
    <w:p>
      <w:pPr>
        <w:keepNext w:val="0"/>
        <w:keepLines w:val="0"/>
        <w:pageBreakBefore w:val="0"/>
        <w:widowControl w:val="0"/>
        <w:kinsoku/>
        <w:wordWrap/>
        <w:overflowPunct/>
        <w:topLinePunct w:val="0"/>
        <w:autoSpaceDE/>
        <w:autoSpaceDN/>
        <w:bidi w:val="0"/>
        <w:adjustRightInd w:val="0"/>
        <w:snapToGrid w:val="0"/>
        <w:spacing w:line="600" w:lineRule="auto"/>
        <w:ind w:firstLine="1928" w:firstLineChars="600"/>
        <w:textAlignment w:val="auto"/>
        <w:rPr>
          <w:rFonts w:hint="eastAsia"/>
          <w:b/>
          <w:bCs/>
          <w:sz w:val="32"/>
          <w:highlight w:val="none"/>
        </w:rPr>
      </w:pPr>
      <w:r>
        <w:rPr>
          <w:rFonts w:hAnsi="宋体"/>
          <w:b/>
          <w:bCs/>
          <w:sz w:val="32"/>
          <w:highlight w:val="none"/>
        </w:rPr>
        <w:t>批</w:t>
      </w:r>
      <w:r>
        <w:rPr>
          <w:b/>
          <w:bCs/>
          <w:sz w:val="32"/>
          <w:highlight w:val="none"/>
        </w:rPr>
        <w:t xml:space="preserve">  </w:t>
      </w:r>
      <w:r>
        <w:rPr>
          <w:rFonts w:hAnsi="宋体"/>
          <w:b/>
          <w:bCs/>
          <w:sz w:val="32"/>
          <w:highlight w:val="none"/>
        </w:rPr>
        <w:t>准</w:t>
      </w:r>
      <w:r>
        <w:rPr>
          <w:rFonts w:hint="eastAsia" w:hAnsi="宋体"/>
          <w:b/>
          <w:bCs/>
          <w:sz w:val="32"/>
          <w:highlight w:val="none"/>
        </w:rPr>
        <w:t>：</w:t>
      </w:r>
    </w:p>
    <w:p>
      <w:pPr>
        <w:keepNext w:val="0"/>
        <w:keepLines w:val="0"/>
        <w:pageBreakBefore w:val="0"/>
        <w:widowControl w:val="0"/>
        <w:kinsoku/>
        <w:wordWrap/>
        <w:overflowPunct/>
        <w:topLinePunct w:val="0"/>
        <w:autoSpaceDE/>
        <w:autoSpaceDN/>
        <w:bidi w:val="0"/>
        <w:adjustRightInd w:val="0"/>
        <w:snapToGrid w:val="0"/>
        <w:spacing w:line="600" w:lineRule="auto"/>
        <w:ind w:firstLine="1928" w:firstLineChars="600"/>
        <w:textAlignment w:val="auto"/>
        <w:rPr>
          <w:rFonts w:hint="eastAsia"/>
          <w:b/>
          <w:bCs/>
          <w:sz w:val="32"/>
          <w:highlight w:val="none"/>
        </w:rPr>
      </w:pPr>
      <w:r>
        <w:rPr>
          <w:rFonts w:hint="eastAsia"/>
          <w:b/>
          <w:bCs/>
          <w:sz w:val="32"/>
          <w:highlight w:val="none"/>
        </w:rPr>
        <w:t>审  定：</w:t>
      </w:r>
    </w:p>
    <w:p>
      <w:pPr>
        <w:keepNext w:val="0"/>
        <w:keepLines w:val="0"/>
        <w:pageBreakBefore w:val="0"/>
        <w:widowControl w:val="0"/>
        <w:kinsoku/>
        <w:wordWrap/>
        <w:overflowPunct/>
        <w:topLinePunct w:val="0"/>
        <w:autoSpaceDE/>
        <w:autoSpaceDN/>
        <w:bidi w:val="0"/>
        <w:adjustRightInd w:val="0"/>
        <w:snapToGrid w:val="0"/>
        <w:spacing w:line="600" w:lineRule="auto"/>
        <w:ind w:firstLine="1928" w:firstLineChars="600"/>
        <w:textAlignment w:val="auto"/>
        <w:rPr>
          <w:rFonts w:hint="eastAsia" w:hAnsi="宋体"/>
          <w:b/>
          <w:bCs/>
          <w:sz w:val="32"/>
          <w:highlight w:val="none"/>
        </w:rPr>
      </w:pPr>
      <w:r>
        <w:rPr>
          <w:rFonts w:hint="eastAsia" w:hAnsi="宋体"/>
          <w:b/>
          <w:bCs/>
          <w:sz w:val="32"/>
          <w:highlight w:val="none"/>
        </w:rPr>
        <w:t xml:space="preserve">审  </w:t>
      </w:r>
      <w:r>
        <w:rPr>
          <w:rFonts w:hAnsi="宋体"/>
          <w:b/>
          <w:bCs/>
          <w:sz w:val="32"/>
          <w:highlight w:val="none"/>
        </w:rPr>
        <w:t>核：</w:t>
      </w:r>
    </w:p>
    <w:p>
      <w:pPr>
        <w:keepNext w:val="0"/>
        <w:keepLines w:val="0"/>
        <w:pageBreakBefore w:val="0"/>
        <w:widowControl w:val="0"/>
        <w:kinsoku/>
        <w:wordWrap/>
        <w:overflowPunct/>
        <w:topLinePunct w:val="0"/>
        <w:autoSpaceDE/>
        <w:autoSpaceDN/>
        <w:bidi w:val="0"/>
        <w:adjustRightInd w:val="0"/>
        <w:snapToGrid w:val="0"/>
        <w:spacing w:line="600" w:lineRule="auto"/>
        <w:ind w:firstLine="1928" w:firstLineChars="600"/>
        <w:textAlignment w:val="auto"/>
        <w:rPr>
          <w:rFonts w:hint="eastAsia" w:hAnsi="宋体"/>
          <w:b/>
          <w:bCs/>
          <w:sz w:val="32"/>
          <w:highlight w:val="none"/>
        </w:rPr>
      </w:pPr>
      <w:r>
        <w:rPr>
          <w:rFonts w:hint="eastAsia" w:hAnsi="宋体"/>
          <w:b/>
          <w:bCs/>
          <w:sz w:val="32"/>
          <w:highlight w:val="none"/>
        </w:rPr>
        <w:t>编  写：</w:t>
      </w:r>
    </w:p>
    <w:p>
      <w:pPr>
        <w:pStyle w:val="2"/>
        <w:rPr>
          <w:rFonts w:hint="eastAsia"/>
        </w:rPr>
      </w:pPr>
    </w:p>
    <w:p>
      <w:pPr>
        <w:wordWrap/>
        <w:spacing w:line="360" w:lineRule="auto"/>
        <w:ind w:firstLine="964" w:firstLineChars="300"/>
        <w:jc w:val="both"/>
        <w:rPr>
          <w:rFonts w:hint="eastAsia" w:ascii="黑体" w:hAnsi="黑体" w:eastAsia="黑体" w:cs="黑体"/>
          <w:b/>
          <w:color w:val="auto"/>
          <w:sz w:val="32"/>
          <w:szCs w:val="32"/>
          <w:lang w:eastAsia="zh-CN"/>
        </w:rPr>
      </w:pPr>
      <w:r>
        <w:rPr>
          <w:rFonts w:hint="eastAsia" w:ascii="黑体" w:hAnsi="黑体" w:eastAsia="黑体" w:cs="黑体"/>
          <w:b/>
          <w:color w:val="auto"/>
          <w:sz w:val="32"/>
          <w:szCs w:val="32"/>
        </w:rPr>
        <w:t>中国南方电网有限责任公司超高压输电公司</w:t>
      </w:r>
    </w:p>
    <w:p>
      <w:pPr>
        <w:wordWrap/>
        <w:spacing w:line="360" w:lineRule="auto"/>
        <w:jc w:val="center"/>
        <w:rPr>
          <w:rFonts w:eastAsia="黑体"/>
          <w:b/>
          <w:color w:val="auto"/>
          <w:sz w:val="30"/>
          <w:szCs w:val="24"/>
        </w:rPr>
      </w:pPr>
      <w:r>
        <w:rPr>
          <w:rFonts w:hint="eastAsia" w:ascii="黑体" w:hAnsi="黑体" w:eastAsia="黑体" w:cs="黑体"/>
          <w:sz w:val="32"/>
          <w:szCs w:val="28"/>
          <w:lang w:val="en-US" w:eastAsia="zh-CN"/>
        </w:rPr>
        <w:t>二〇二六</w:t>
      </w:r>
      <w:r>
        <w:rPr>
          <w:rFonts w:hint="eastAsia" w:ascii="黑体" w:hAnsi="黑体" w:eastAsia="黑体" w:cs="黑体"/>
          <w:b/>
          <w:color w:val="auto"/>
          <w:sz w:val="32"/>
          <w:szCs w:val="32"/>
        </w:rPr>
        <w:t>年</w:t>
      </w:r>
      <w:r>
        <w:rPr>
          <w:rFonts w:hint="eastAsia" w:ascii="黑体" w:hAnsi="黑体" w:eastAsia="黑体" w:cs="黑体"/>
          <w:b/>
          <w:color w:val="auto"/>
          <w:sz w:val="32"/>
          <w:szCs w:val="32"/>
          <w:lang w:val="en-US" w:eastAsia="zh-CN"/>
        </w:rPr>
        <w:t>三</w:t>
      </w:r>
      <w:r>
        <w:rPr>
          <w:rFonts w:hint="eastAsia" w:ascii="黑体" w:hAnsi="黑体" w:eastAsia="黑体" w:cs="黑体"/>
          <w:b/>
          <w:color w:val="auto"/>
          <w:sz w:val="32"/>
          <w:szCs w:val="32"/>
        </w:rPr>
        <w:t>月</w:t>
      </w:r>
    </w:p>
    <w:p>
      <w:pPr>
        <w:ind w:left="0" w:leftChars="0" w:firstLine="0" w:firstLineChars="0"/>
        <w:jc w:val="center"/>
        <w:rPr>
          <w:rFonts w:hint="eastAsia"/>
          <w:color w:val="auto"/>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NumType w:fmt="decimal"/>
          <w:cols w:space="720" w:num="1"/>
          <w:docGrid w:type="lines" w:linePitch="312" w:charSpace="0"/>
        </w:sectPr>
      </w:pPr>
    </w:p>
    <w:p>
      <w:pPr>
        <w:wordWrap/>
        <w:spacing w:beforeLines="100" w:line="560" w:lineRule="exact"/>
        <w:jc w:val="center"/>
        <w:rPr>
          <w:rFonts w:hint="eastAsia" w:ascii="方正小标宋_GBK" w:hAnsi="方正小标宋_GBK" w:eastAsia="方正小标宋_GBK" w:cs="方正小标宋_GBK"/>
          <w:bCs/>
          <w:sz w:val="44"/>
          <w:szCs w:val="44"/>
        </w:rPr>
      </w:pPr>
    </w:p>
    <w:p>
      <w:pPr>
        <w:wordWrap/>
        <w:spacing w:beforeLines="100" w:line="560" w:lineRule="exact"/>
        <w:jc w:val="center"/>
        <w:rPr>
          <w:rFonts w:ascii="Arial" w:hAnsi="Arial"/>
          <w:bCs/>
          <w:sz w:val="44"/>
          <w:szCs w:val="44"/>
        </w:rPr>
      </w:pPr>
      <w:r>
        <w:rPr>
          <w:rFonts w:hint="eastAsia" w:ascii="方正小标宋_GBK" w:hAnsi="方正小标宋_GBK" w:eastAsia="方正小标宋_GBK" w:cs="方正小标宋_GBK"/>
          <w:bCs/>
          <w:sz w:val="44"/>
          <w:szCs w:val="44"/>
        </w:rPr>
        <w:t>知识产权声明</w:t>
      </w:r>
    </w:p>
    <w:p>
      <w:pPr>
        <w:wordWrap/>
        <w:spacing w:line="560" w:lineRule="exact"/>
        <w:jc w:val="center"/>
        <w:rPr>
          <w:rFonts w:ascii="Arial" w:hAnsi="Arial"/>
          <w:b/>
          <w:sz w:val="32"/>
          <w:szCs w:val="32"/>
        </w:rPr>
      </w:pPr>
    </w:p>
    <w:p>
      <w:pPr>
        <w:wordWrap/>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南方电网公司拥有本作品的知识产权，未经南方电网公司书面许可，任何单位和个人不得擅自</w:t>
      </w:r>
      <w:r>
        <w:rPr>
          <w:rFonts w:hint="eastAsia" w:ascii="仿宋_GB2312" w:hAnsi="仿宋_GB2312" w:eastAsia="仿宋_GB2312" w:cs="仿宋_GB2312"/>
          <w:color w:val="333333"/>
          <w:sz w:val="32"/>
          <w:szCs w:val="32"/>
        </w:rPr>
        <w:t>使用（包括但不限于复制、发行、转载、通过信息网络传播等）</w:t>
      </w:r>
      <w:r>
        <w:rPr>
          <w:rFonts w:hint="eastAsia" w:ascii="仿宋_GB2312" w:hAnsi="仿宋_GB2312" w:eastAsia="仿宋_GB2312" w:cs="仿宋_GB2312"/>
          <w:sz w:val="32"/>
          <w:szCs w:val="32"/>
        </w:rPr>
        <w:t>，否则，南方电网公司将依法追究法律责任。</w:t>
      </w:r>
    </w:p>
    <w:p>
      <w:pPr>
        <w:wordWrap/>
        <w:spacing w:line="560" w:lineRule="exact"/>
        <w:rPr>
          <w:rFonts w:ascii="Arial" w:hAnsi="Arial"/>
          <w:szCs w:val="28"/>
        </w:rPr>
      </w:pPr>
    </w:p>
    <w:p>
      <w:pPr>
        <w:wordWrap/>
        <w:spacing w:line="560" w:lineRule="exact"/>
        <w:ind w:firstLine="560"/>
        <w:rPr>
          <w:rFonts w:ascii="Arial" w:hAnsi="Arial"/>
          <w:szCs w:val="28"/>
        </w:rPr>
      </w:pPr>
    </w:p>
    <w:p>
      <w:pPr>
        <w:wordWrap/>
        <w:spacing w:line="560" w:lineRule="exact"/>
        <w:jc w:val="center"/>
        <w:rPr>
          <w:rFonts w:ascii="Trebuchet MS" w:hAnsi="Trebuchet MS" w:cs="Trebuchet MS"/>
          <w:sz w:val="44"/>
          <w:szCs w:val="44"/>
        </w:rPr>
      </w:pPr>
      <w:r>
        <w:rPr>
          <w:rFonts w:ascii="Trebuchet MS" w:hAnsi="Trebuchet MS" w:cs="Trebuchet MS"/>
          <w:sz w:val="44"/>
          <w:szCs w:val="44"/>
        </w:rPr>
        <w:t>Intellectual Property Rights Statement</w:t>
      </w:r>
    </w:p>
    <w:p>
      <w:pPr>
        <w:wordWrap/>
        <w:spacing w:line="560" w:lineRule="exact"/>
        <w:ind w:firstLine="640"/>
        <w:rPr>
          <w:rFonts w:ascii="Arial" w:hAnsi="Arial"/>
          <w:sz w:val="32"/>
          <w:szCs w:val="32"/>
        </w:rPr>
      </w:pPr>
    </w:p>
    <w:p>
      <w:pPr>
        <w:wordWrap/>
        <w:spacing w:line="560" w:lineRule="exact"/>
        <w:ind w:firstLine="640"/>
        <w:rPr>
          <w:sz w:val="32"/>
          <w:szCs w:val="32"/>
        </w:rPr>
      </w:pPr>
      <w:r>
        <w:rPr>
          <w:sz w:val="32"/>
          <w:szCs w:val="32"/>
        </w:rPr>
        <w:t>China Southern Power Grid is the owner of the intellectual property rights of this work. Any person or organization shall not utilize (including but not limited to reproduce, distribute, transmit or disseminate through the internet) without the prior written permission of the owner and will be held legally responsible otherwise by China Southern Power Grid.</w:t>
      </w:r>
    </w:p>
    <w:p>
      <w:pPr>
        <w:pStyle w:val="17"/>
        <w:rPr>
          <w:rFonts w:hint="eastAsia" w:ascii="宋体" w:hAnsi="宋体" w:eastAsia="宋体" w:cs="Times New Roman"/>
          <w:sz w:val="28"/>
          <w:szCs w:val="28"/>
        </w:rPr>
        <w:sectPr>
          <w:headerReference r:id="rId9" w:type="default"/>
          <w:footerReference r:id="rId10" w:type="default"/>
          <w:pgSz w:w="11906" w:h="16838"/>
          <w:pgMar w:top="1247" w:right="1247" w:bottom="1247" w:left="1418" w:header="851" w:footer="782" w:gutter="0"/>
          <w:pgNumType w:fmt="upperRoman" w:start="1"/>
          <w:cols w:space="720" w:num="1"/>
        </w:sectPr>
      </w:pPr>
    </w:p>
    <w:p>
      <w:pPr>
        <w:pStyle w:val="17"/>
        <w:rPr>
          <w:rFonts w:hint="eastAsia" w:ascii="宋体" w:hAnsi="宋体" w:eastAsia="宋体" w:cs="Times New Roman"/>
          <w:sz w:val="28"/>
          <w:szCs w:val="28"/>
        </w:rPr>
      </w:pPr>
    </w:p>
    <w:p>
      <w:pPr>
        <w:pStyle w:val="17"/>
        <w:rPr>
          <w:rFonts w:hint="eastAsia" w:ascii="宋体" w:hAnsi="宋体" w:eastAsia="宋体" w:cs="Times New Roman"/>
          <w:sz w:val="28"/>
          <w:szCs w:val="28"/>
        </w:rPr>
      </w:pPr>
    </w:p>
    <w:p>
      <w:pPr>
        <w:pStyle w:val="9"/>
        <w:tabs>
          <w:tab w:val="right" w:leader="dot" w:pos="9241"/>
          <w:tab w:val="clear" w:pos="9540"/>
        </w:tabs>
        <w:jc w:val="center"/>
        <w:outlineLvl w:val="0"/>
        <w:rPr>
          <w:rFonts w:hint="eastAsia" w:ascii="黑体" w:hAnsi="黑体" w:eastAsia="黑体" w:cs="黑体"/>
          <w:b/>
          <w:bCs w:val="0"/>
          <w:sz w:val="36"/>
          <w:szCs w:val="36"/>
          <w:highlight w:val="none"/>
        </w:rPr>
      </w:pPr>
      <w:bookmarkStart w:id="0" w:name="_Toc26822"/>
      <w:bookmarkStart w:id="1" w:name="_Toc6854"/>
      <w:bookmarkStart w:id="2" w:name="_Toc10947"/>
      <w:bookmarkStart w:id="3" w:name="_Toc11278"/>
      <w:bookmarkStart w:id="4" w:name="_Toc1765097922"/>
      <w:bookmarkStart w:id="5" w:name="_Toc21957"/>
      <w:r>
        <w:rPr>
          <w:rFonts w:hint="eastAsia" w:ascii="黑体" w:hAnsi="黑体" w:eastAsia="黑体" w:cs="黑体"/>
          <w:b/>
          <w:bCs w:val="0"/>
          <w:sz w:val="36"/>
          <w:szCs w:val="36"/>
          <w:highlight w:val="none"/>
        </w:rPr>
        <w:t>目</w:t>
      </w:r>
      <w:r>
        <w:rPr>
          <w:rFonts w:hint="eastAsia" w:ascii="黑体" w:hAnsi="黑体" w:eastAsia="黑体" w:cs="黑体"/>
          <w:b/>
          <w:bCs w:val="0"/>
          <w:sz w:val="36"/>
          <w:szCs w:val="36"/>
          <w:highlight w:val="none"/>
          <w:lang w:val="en-US" w:eastAsia="zh-CN"/>
        </w:rPr>
        <w:t xml:space="preserve">  </w:t>
      </w:r>
      <w:r>
        <w:rPr>
          <w:rFonts w:hint="eastAsia" w:ascii="黑体" w:hAnsi="黑体" w:eastAsia="黑体" w:cs="黑体"/>
          <w:b/>
          <w:bCs w:val="0"/>
          <w:sz w:val="36"/>
          <w:szCs w:val="36"/>
          <w:highlight w:val="none"/>
        </w:rPr>
        <w:t>录</w:t>
      </w:r>
      <w:bookmarkEnd w:id="0"/>
      <w:bookmarkEnd w:id="1"/>
      <w:bookmarkEnd w:id="2"/>
      <w:bookmarkEnd w:id="3"/>
      <w:bookmarkEnd w:id="4"/>
      <w:bookmarkEnd w:id="5"/>
    </w:p>
    <w:p>
      <w:pPr>
        <w:pStyle w:val="9"/>
        <w:tabs>
          <w:tab w:val="right" w:leader="dot" w:pos="9241"/>
          <w:tab w:val="clear" w:pos="954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000000"/>
          <w:kern w:val="2"/>
          <w:sz w:val="28"/>
          <w:szCs w:val="28"/>
          <w:lang w:val="en-US" w:eastAsia="zh-CN" w:bidi="ar-SA"/>
        </w:rPr>
        <w:fldChar w:fldCharType="begin"/>
      </w:r>
      <w:r>
        <w:rPr>
          <w:rFonts w:hint="eastAsia" w:asciiTheme="minorEastAsia" w:hAnsiTheme="minorEastAsia" w:eastAsiaTheme="minorEastAsia" w:cstheme="minorEastAsia"/>
          <w:color w:val="000000"/>
          <w:kern w:val="2"/>
          <w:sz w:val="28"/>
          <w:szCs w:val="28"/>
          <w:lang w:val="en-US" w:eastAsia="zh-CN" w:bidi="ar-SA"/>
        </w:rPr>
        <w:instrText xml:space="preserve">TOC \o "1-3" \h \u </w:instrText>
      </w:r>
      <w:r>
        <w:rPr>
          <w:rFonts w:hint="eastAsia" w:asciiTheme="minorEastAsia" w:hAnsiTheme="minorEastAsia" w:eastAsiaTheme="minorEastAsia" w:cstheme="minorEastAsia"/>
          <w:color w:val="000000"/>
          <w:kern w:val="2"/>
          <w:sz w:val="28"/>
          <w:szCs w:val="28"/>
          <w:lang w:val="en-US" w:eastAsia="zh-CN" w:bidi="ar-SA"/>
        </w:rPr>
        <w:fldChar w:fldCharType="separate"/>
      </w:r>
      <w:r>
        <w:rPr>
          <w:rFonts w:hint="eastAsia" w:asciiTheme="minorEastAsia" w:hAnsiTheme="minorEastAsia" w:eastAsiaTheme="minorEastAsia" w:cstheme="minorEastAsia"/>
          <w:color w:val="000000"/>
          <w:kern w:val="2"/>
          <w:sz w:val="28"/>
          <w:szCs w:val="28"/>
          <w:lang w:val="en-US" w:eastAsia="zh-CN" w:bidi="ar-SA"/>
        </w:rPr>
        <w:fldChar w:fldCharType="begin"/>
      </w:r>
      <w:r>
        <w:rPr>
          <w:rFonts w:hint="eastAsia" w:asciiTheme="minorEastAsia" w:hAnsiTheme="minorEastAsia" w:eastAsiaTheme="minorEastAsia" w:cstheme="minorEastAsia"/>
          <w:kern w:val="2"/>
          <w:sz w:val="28"/>
          <w:szCs w:val="28"/>
          <w:lang w:val="en-US" w:eastAsia="zh-CN" w:bidi="ar-SA"/>
        </w:rPr>
        <w:instrText xml:space="preserve"> HYPERLINK \l _Toc1449142027 </w:instrText>
      </w:r>
      <w:r>
        <w:rPr>
          <w:rFonts w:hint="eastAsia" w:asciiTheme="minorEastAsia" w:hAnsiTheme="minorEastAsia" w:eastAsiaTheme="minorEastAsia" w:cstheme="minorEastAsia"/>
          <w:kern w:val="2"/>
          <w:sz w:val="28"/>
          <w:szCs w:val="28"/>
          <w:lang w:val="en-US" w:eastAsia="zh-CN" w:bidi="ar-SA"/>
        </w:rPr>
        <w:fldChar w:fldCharType="separate"/>
      </w:r>
      <w:r>
        <w:rPr>
          <w:rFonts w:hint="eastAsia" w:asciiTheme="minorEastAsia" w:hAnsiTheme="minorEastAsia" w:eastAsiaTheme="minorEastAsia" w:cstheme="minorEastAsia"/>
          <w:bCs/>
          <w:sz w:val="28"/>
          <w:szCs w:val="28"/>
          <w:highlight w:val="none"/>
          <w:lang w:val="en-US" w:eastAsia="zh-CN"/>
        </w:rPr>
        <w:t>1 总则</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_Toc1449142027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000000"/>
          <w:kern w:val="2"/>
          <w:sz w:val="28"/>
          <w:szCs w:val="28"/>
          <w:lang w:val="en-US" w:eastAsia="zh-CN" w:bidi="ar-SA"/>
        </w:rPr>
        <w:fldChar w:fldCharType="end"/>
      </w:r>
    </w:p>
    <w:p>
      <w:pPr>
        <w:pStyle w:val="9"/>
        <w:tabs>
          <w:tab w:val="right" w:leader="dot" w:pos="9241"/>
          <w:tab w:val="clear" w:pos="954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000000"/>
          <w:kern w:val="2"/>
          <w:sz w:val="28"/>
          <w:szCs w:val="28"/>
          <w:lang w:val="en-US" w:eastAsia="zh-CN" w:bidi="ar-SA"/>
        </w:rPr>
        <w:fldChar w:fldCharType="begin"/>
      </w:r>
      <w:r>
        <w:rPr>
          <w:rFonts w:hint="eastAsia" w:asciiTheme="minorEastAsia" w:hAnsiTheme="minorEastAsia" w:eastAsiaTheme="minorEastAsia" w:cstheme="minorEastAsia"/>
          <w:kern w:val="2"/>
          <w:sz w:val="28"/>
          <w:szCs w:val="28"/>
          <w:lang w:val="en-US" w:eastAsia="zh-CN" w:bidi="ar-SA"/>
        </w:rPr>
        <w:instrText xml:space="preserve"> HYPERLINK \l _Toc2004656844 </w:instrText>
      </w:r>
      <w:r>
        <w:rPr>
          <w:rFonts w:hint="eastAsia" w:asciiTheme="minorEastAsia" w:hAnsiTheme="minorEastAsia" w:eastAsiaTheme="minorEastAsia" w:cstheme="minorEastAsia"/>
          <w:kern w:val="2"/>
          <w:sz w:val="28"/>
          <w:szCs w:val="28"/>
          <w:lang w:val="en-US" w:eastAsia="zh-CN" w:bidi="ar-SA"/>
        </w:rPr>
        <w:fldChar w:fldCharType="separate"/>
      </w:r>
      <w:r>
        <w:rPr>
          <w:rFonts w:hint="eastAsia" w:asciiTheme="minorEastAsia" w:hAnsiTheme="minorEastAsia" w:eastAsiaTheme="minorEastAsia" w:cstheme="minorEastAsia"/>
          <w:bCs/>
          <w:sz w:val="28"/>
          <w:szCs w:val="28"/>
          <w:highlight w:val="none"/>
          <w:lang w:val="en-US" w:eastAsia="zh-CN"/>
        </w:rPr>
        <w:t>2 应遵循的主要标准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_Toc2004656844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000000"/>
          <w:kern w:val="2"/>
          <w:sz w:val="28"/>
          <w:szCs w:val="28"/>
          <w:lang w:val="en-US" w:eastAsia="zh-CN" w:bidi="ar-SA"/>
        </w:rPr>
        <w:fldChar w:fldCharType="end"/>
      </w:r>
    </w:p>
    <w:p>
      <w:pPr>
        <w:pStyle w:val="9"/>
        <w:tabs>
          <w:tab w:val="right" w:leader="dot" w:pos="9241"/>
          <w:tab w:val="clear" w:pos="954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000000"/>
          <w:kern w:val="2"/>
          <w:sz w:val="28"/>
          <w:szCs w:val="28"/>
          <w:lang w:val="en-US" w:eastAsia="zh-CN" w:bidi="ar-SA"/>
        </w:rPr>
        <w:fldChar w:fldCharType="begin"/>
      </w:r>
      <w:r>
        <w:rPr>
          <w:rFonts w:hint="eastAsia" w:asciiTheme="minorEastAsia" w:hAnsiTheme="minorEastAsia" w:eastAsiaTheme="minorEastAsia" w:cstheme="minorEastAsia"/>
          <w:kern w:val="2"/>
          <w:sz w:val="28"/>
          <w:szCs w:val="28"/>
          <w:lang w:val="en-US" w:eastAsia="zh-CN" w:bidi="ar-SA"/>
        </w:rPr>
        <w:instrText xml:space="preserve"> HYPERLINK \l _Toc1291544439 </w:instrText>
      </w:r>
      <w:r>
        <w:rPr>
          <w:rFonts w:hint="eastAsia" w:asciiTheme="minorEastAsia" w:hAnsiTheme="minorEastAsia" w:eastAsiaTheme="minorEastAsia" w:cstheme="minorEastAsia"/>
          <w:kern w:val="2"/>
          <w:sz w:val="28"/>
          <w:szCs w:val="28"/>
          <w:lang w:val="en-US" w:eastAsia="zh-CN" w:bidi="ar-SA"/>
        </w:rPr>
        <w:fldChar w:fldCharType="separate"/>
      </w:r>
      <w:r>
        <w:rPr>
          <w:rFonts w:hint="eastAsia" w:asciiTheme="minorEastAsia" w:hAnsiTheme="minorEastAsia" w:eastAsiaTheme="minorEastAsia" w:cstheme="minorEastAsia"/>
          <w:bCs/>
          <w:sz w:val="28"/>
          <w:szCs w:val="28"/>
          <w:highlight w:val="none"/>
          <w:lang w:val="en-US" w:eastAsia="zh-CN"/>
        </w:rPr>
        <w:t>3 项目概述</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_Toc1291544439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000000"/>
          <w:kern w:val="2"/>
          <w:sz w:val="28"/>
          <w:szCs w:val="28"/>
          <w:lang w:val="en-US" w:eastAsia="zh-CN" w:bidi="ar-SA"/>
        </w:rPr>
        <w:fldChar w:fldCharType="end"/>
      </w:r>
    </w:p>
    <w:p>
      <w:pPr>
        <w:pStyle w:val="9"/>
        <w:tabs>
          <w:tab w:val="right" w:leader="dot" w:pos="9241"/>
          <w:tab w:val="clear" w:pos="954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000000"/>
          <w:kern w:val="2"/>
          <w:sz w:val="28"/>
          <w:szCs w:val="28"/>
          <w:lang w:val="en-US" w:eastAsia="zh-CN" w:bidi="ar-SA"/>
        </w:rPr>
        <w:fldChar w:fldCharType="begin"/>
      </w:r>
      <w:r>
        <w:rPr>
          <w:rFonts w:hint="eastAsia" w:asciiTheme="minorEastAsia" w:hAnsiTheme="minorEastAsia" w:eastAsiaTheme="minorEastAsia" w:cstheme="minorEastAsia"/>
          <w:kern w:val="2"/>
          <w:sz w:val="28"/>
          <w:szCs w:val="28"/>
          <w:lang w:val="en-US" w:eastAsia="zh-CN" w:bidi="ar-SA"/>
        </w:rPr>
        <w:instrText xml:space="preserve"> HYPERLINK \l _Toc1343396252 </w:instrText>
      </w:r>
      <w:r>
        <w:rPr>
          <w:rFonts w:hint="eastAsia" w:asciiTheme="minorEastAsia" w:hAnsiTheme="minorEastAsia" w:eastAsiaTheme="minorEastAsia" w:cstheme="minorEastAsia"/>
          <w:kern w:val="2"/>
          <w:sz w:val="28"/>
          <w:szCs w:val="28"/>
          <w:lang w:val="en-US" w:eastAsia="zh-CN" w:bidi="ar-SA"/>
        </w:rPr>
        <w:fldChar w:fldCharType="separate"/>
      </w:r>
      <w:r>
        <w:rPr>
          <w:rFonts w:hint="eastAsia" w:asciiTheme="minorEastAsia" w:hAnsiTheme="minorEastAsia" w:eastAsiaTheme="minorEastAsia" w:cstheme="minorEastAsia"/>
          <w:bCs/>
          <w:sz w:val="28"/>
          <w:szCs w:val="28"/>
          <w:highlight w:val="none"/>
          <w:lang w:val="en-US" w:eastAsia="zh-CN"/>
        </w:rPr>
        <w:t>4 服务区域</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_Toc1343396252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000000"/>
          <w:kern w:val="2"/>
          <w:sz w:val="28"/>
          <w:szCs w:val="28"/>
          <w:lang w:val="en-US" w:eastAsia="zh-CN" w:bidi="ar-SA"/>
        </w:rPr>
        <w:fldChar w:fldCharType="end"/>
      </w:r>
    </w:p>
    <w:p>
      <w:pPr>
        <w:pStyle w:val="9"/>
        <w:tabs>
          <w:tab w:val="right" w:leader="dot" w:pos="9241"/>
          <w:tab w:val="clear" w:pos="954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000000"/>
          <w:kern w:val="2"/>
          <w:sz w:val="28"/>
          <w:szCs w:val="28"/>
          <w:lang w:val="en-US" w:eastAsia="zh-CN" w:bidi="ar-SA"/>
        </w:rPr>
        <w:fldChar w:fldCharType="begin"/>
      </w:r>
      <w:r>
        <w:rPr>
          <w:rFonts w:hint="eastAsia" w:asciiTheme="minorEastAsia" w:hAnsiTheme="minorEastAsia" w:eastAsiaTheme="minorEastAsia" w:cstheme="minorEastAsia"/>
          <w:kern w:val="2"/>
          <w:sz w:val="28"/>
          <w:szCs w:val="28"/>
          <w:lang w:val="en-US" w:eastAsia="zh-CN" w:bidi="ar-SA"/>
        </w:rPr>
        <w:instrText xml:space="preserve"> HYPERLINK \l _Toc2140008509 </w:instrText>
      </w:r>
      <w:r>
        <w:rPr>
          <w:rFonts w:hint="eastAsia" w:asciiTheme="minorEastAsia" w:hAnsiTheme="minorEastAsia" w:eastAsiaTheme="minorEastAsia" w:cstheme="minorEastAsia"/>
          <w:kern w:val="2"/>
          <w:sz w:val="28"/>
          <w:szCs w:val="28"/>
          <w:lang w:val="en-US" w:eastAsia="zh-CN" w:bidi="ar-SA"/>
        </w:rPr>
        <w:fldChar w:fldCharType="separate"/>
      </w:r>
      <w:r>
        <w:rPr>
          <w:rFonts w:hint="eastAsia" w:asciiTheme="minorEastAsia" w:hAnsiTheme="minorEastAsia" w:eastAsiaTheme="minorEastAsia" w:cstheme="minorEastAsia"/>
          <w:bCs/>
          <w:sz w:val="28"/>
          <w:szCs w:val="28"/>
          <w:highlight w:val="none"/>
          <w:lang w:val="en-US" w:eastAsia="zh-CN"/>
        </w:rPr>
        <w:t>5 服务内容</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_Toc2140008509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000000"/>
          <w:kern w:val="2"/>
          <w:sz w:val="28"/>
          <w:szCs w:val="28"/>
          <w:lang w:val="en-US" w:eastAsia="zh-CN" w:bidi="ar-SA"/>
        </w:rPr>
        <w:fldChar w:fldCharType="end"/>
      </w:r>
    </w:p>
    <w:p>
      <w:pPr>
        <w:pStyle w:val="9"/>
        <w:tabs>
          <w:tab w:val="right" w:leader="dot" w:pos="9241"/>
          <w:tab w:val="clear" w:pos="954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000000"/>
          <w:kern w:val="2"/>
          <w:sz w:val="28"/>
          <w:szCs w:val="28"/>
          <w:lang w:val="en-US" w:eastAsia="zh-CN" w:bidi="ar-SA"/>
        </w:rPr>
        <w:fldChar w:fldCharType="begin"/>
      </w:r>
      <w:r>
        <w:rPr>
          <w:rFonts w:hint="eastAsia" w:asciiTheme="minorEastAsia" w:hAnsiTheme="minorEastAsia" w:eastAsiaTheme="minorEastAsia" w:cstheme="minorEastAsia"/>
          <w:kern w:val="2"/>
          <w:sz w:val="28"/>
          <w:szCs w:val="28"/>
          <w:lang w:val="en-US" w:eastAsia="zh-CN" w:bidi="ar-SA"/>
        </w:rPr>
        <w:instrText xml:space="preserve"> HYPERLINK \l _Toc441931968 </w:instrText>
      </w:r>
      <w:r>
        <w:rPr>
          <w:rFonts w:hint="eastAsia" w:asciiTheme="minorEastAsia" w:hAnsiTheme="minorEastAsia" w:eastAsiaTheme="minorEastAsia" w:cstheme="minorEastAsia"/>
          <w:kern w:val="2"/>
          <w:sz w:val="28"/>
          <w:szCs w:val="28"/>
          <w:lang w:val="en-US" w:eastAsia="zh-CN" w:bidi="ar-SA"/>
        </w:rPr>
        <w:fldChar w:fldCharType="separate"/>
      </w:r>
      <w:r>
        <w:rPr>
          <w:rFonts w:hint="eastAsia" w:asciiTheme="minorEastAsia" w:hAnsiTheme="minorEastAsia" w:eastAsiaTheme="minorEastAsia" w:cstheme="minorEastAsia"/>
          <w:bCs/>
          <w:sz w:val="28"/>
          <w:szCs w:val="28"/>
          <w:highlight w:val="none"/>
          <w:lang w:val="en-US" w:eastAsia="zh-CN"/>
        </w:rPr>
        <w:t>6 服务管理要求</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_Toc441931968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3</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000000"/>
          <w:kern w:val="2"/>
          <w:sz w:val="28"/>
          <w:szCs w:val="28"/>
          <w:lang w:val="en-US" w:eastAsia="zh-CN" w:bidi="ar-SA"/>
        </w:rPr>
        <w:fldChar w:fldCharType="end"/>
      </w:r>
    </w:p>
    <w:p>
      <w:pPr>
        <w:pStyle w:val="9"/>
        <w:tabs>
          <w:tab w:val="right" w:leader="dot" w:pos="9241"/>
          <w:tab w:val="clear" w:pos="954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000000"/>
          <w:kern w:val="2"/>
          <w:sz w:val="28"/>
          <w:szCs w:val="28"/>
          <w:lang w:val="en-US" w:eastAsia="zh-CN" w:bidi="ar-SA"/>
        </w:rPr>
        <w:fldChar w:fldCharType="begin"/>
      </w:r>
      <w:r>
        <w:rPr>
          <w:rFonts w:hint="eastAsia" w:asciiTheme="minorEastAsia" w:hAnsiTheme="minorEastAsia" w:eastAsiaTheme="minorEastAsia" w:cstheme="minorEastAsia"/>
          <w:kern w:val="2"/>
          <w:sz w:val="28"/>
          <w:szCs w:val="28"/>
          <w:lang w:val="en-US" w:eastAsia="zh-CN" w:bidi="ar-SA"/>
        </w:rPr>
        <w:instrText xml:space="preserve"> HYPERLINK \l _Toc1452234199 </w:instrText>
      </w:r>
      <w:r>
        <w:rPr>
          <w:rFonts w:hint="eastAsia" w:asciiTheme="minorEastAsia" w:hAnsiTheme="minorEastAsia" w:eastAsiaTheme="minorEastAsia" w:cstheme="minorEastAsia"/>
          <w:kern w:val="2"/>
          <w:sz w:val="28"/>
          <w:szCs w:val="28"/>
          <w:lang w:val="en-US" w:eastAsia="zh-CN" w:bidi="ar-SA"/>
        </w:rPr>
        <w:fldChar w:fldCharType="separate"/>
      </w:r>
      <w:r>
        <w:rPr>
          <w:rFonts w:hint="eastAsia" w:asciiTheme="minorEastAsia" w:hAnsiTheme="minorEastAsia" w:eastAsiaTheme="minorEastAsia" w:cstheme="minorEastAsia"/>
          <w:bCs/>
          <w:sz w:val="28"/>
          <w:szCs w:val="28"/>
          <w:highlight w:val="none"/>
          <w:lang w:val="en-US" w:eastAsia="zh-CN"/>
        </w:rPr>
        <w:t>7 服务质量要求</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color w:val="000000"/>
          <w:kern w:val="2"/>
          <w:sz w:val="28"/>
          <w:szCs w:val="28"/>
          <w:lang w:val="en-US" w:eastAsia="zh-CN" w:bidi="ar-SA"/>
        </w:rPr>
        <w:fldChar w:fldCharType="end"/>
      </w:r>
    </w:p>
    <w:p>
      <w:pPr>
        <w:pStyle w:val="9"/>
        <w:tabs>
          <w:tab w:val="right" w:leader="dot" w:pos="9241"/>
          <w:tab w:val="clear" w:pos="954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000000"/>
          <w:kern w:val="2"/>
          <w:sz w:val="28"/>
          <w:szCs w:val="28"/>
          <w:lang w:val="en-US" w:eastAsia="zh-CN" w:bidi="ar-SA"/>
        </w:rPr>
        <w:fldChar w:fldCharType="begin"/>
      </w:r>
      <w:r>
        <w:rPr>
          <w:rFonts w:hint="eastAsia" w:asciiTheme="minorEastAsia" w:hAnsiTheme="minorEastAsia" w:eastAsiaTheme="minorEastAsia" w:cstheme="minorEastAsia"/>
          <w:kern w:val="2"/>
          <w:sz w:val="28"/>
          <w:szCs w:val="28"/>
          <w:lang w:val="en-US" w:eastAsia="zh-CN" w:bidi="ar-SA"/>
        </w:rPr>
        <w:instrText xml:space="preserve"> HYPERLINK \l _Toc355889452 </w:instrText>
      </w:r>
      <w:r>
        <w:rPr>
          <w:rFonts w:hint="eastAsia" w:asciiTheme="minorEastAsia" w:hAnsiTheme="minorEastAsia" w:eastAsiaTheme="minorEastAsia" w:cstheme="minorEastAsia"/>
          <w:kern w:val="2"/>
          <w:sz w:val="28"/>
          <w:szCs w:val="28"/>
          <w:lang w:val="en-US" w:eastAsia="zh-CN" w:bidi="ar-SA"/>
        </w:rPr>
        <w:fldChar w:fldCharType="separate"/>
      </w:r>
      <w:r>
        <w:rPr>
          <w:rFonts w:hint="eastAsia" w:asciiTheme="minorEastAsia" w:hAnsiTheme="minorEastAsia" w:eastAsiaTheme="minorEastAsia" w:cstheme="minorEastAsia"/>
          <w:bCs/>
          <w:sz w:val="28"/>
          <w:szCs w:val="28"/>
          <w:highlight w:val="none"/>
          <w:lang w:val="en-US" w:eastAsia="zh-CN"/>
        </w:rPr>
        <w:t>8 服务人员要求</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eastAsiaTheme="minorEastAsia" w:cstheme="minorEastAsia"/>
          <w:color w:val="000000"/>
          <w:kern w:val="2"/>
          <w:sz w:val="28"/>
          <w:szCs w:val="28"/>
          <w:lang w:val="en-US" w:eastAsia="zh-CN" w:bidi="ar-SA"/>
        </w:rPr>
        <w:fldChar w:fldCharType="end"/>
      </w:r>
    </w:p>
    <w:p>
      <w:pPr>
        <w:pStyle w:val="9"/>
        <w:tabs>
          <w:tab w:val="right" w:leader="dot" w:pos="9241"/>
          <w:tab w:val="clear" w:pos="954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000000"/>
          <w:kern w:val="2"/>
          <w:sz w:val="28"/>
          <w:szCs w:val="28"/>
          <w:lang w:val="en-US" w:eastAsia="zh-CN" w:bidi="ar-SA"/>
        </w:rPr>
        <w:fldChar w:fldCharType="begin"/>
      </w:r>
      <w:r>
        <w:rPr>
          <w:rFonts w:hint="eastAsia" w:asciiTheme="minorEastAsia" w:hAnsiTheme="minorEastAsia" w:eastAsiaTheme="minorEastAsia" w:cstheme="minorEastAsia"/>
          <w:kern w:val="2"/>
          <w:sz w:val="28"/>
          <w:szCs w:val="28"/>
          <w:lang w:val="en-US" w:eastAsia="zh-CN" w:bidi="ar-SA"/>
        </w:rPr>
        <w:instrText xml:space="preserve"> HYPERLINK \l _Toc697605208 </w:instrText>
      </w:r>
      <w:r>
        <w:rPr>
          <w:rFonts w:hint="eastAsia" w:asciiTheme="minorEastAsia" w:hAnsiTheme="minorEastAsia" w:eastAsiaTheme="minorEastAsia" w:cstheme="minorEastAsia"/>
          <w:kern w:val="2"/>
          <w:sz w:val="28"/>
          <w:szCs w:val="28"/>
          <w:lang w:val="en-US" w:eastAsia="zh-CN" w:bidi="ar-SA"/>
        </w:rPr>
        <w:fldChar w:fldCharType="separate"/>
      </w:r>
      <w:r>
        <w:rPr>
          <w:rFonts w:hint="eastAsia" w:asciiTheme="minorEastAsia" w:hAnsiTheme="minorEastAsia" w:eastAsiaTheme="minorEastAsia" w:cstheme="minorEastAsia"/>
          <w:bCs/>
          <w:sz w:val="28"/>
          <w:szCs w:val="28"/>
          <w:highlight w:val="none"/>
          <w:lang w:val="en-US" w:eastAsia="zh-CN"/>
        </w:rPr>
        <w:t>9 服务衔接与要求</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eastAsiaTheme="minorEastAsia" w:cstheme="minorEastAsia"/>
          <w:color w:val="000000"/>
          <w:kern w:val="2"/>
          <w:sz w:val="28"/>
          <w:szCs w:val="28"/>
          <w:lang w:val="en-US" w:eastAsia="zh-CN" w:bidi="ar-SA"/>
        </w:rPr>
        <w:fldChar w:fldCharType="end"/>
      </w:r>
    </w:p>
    <w:p>
      <w:pPr>
        <w:pStyle w:val="9"/>
        <w:tabs>
          <w:tab w:val="right" w:leader="dot" w:pos="9241"/>
          <w:tab w:val="clear" w:pos="954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000000"/>
          <w:kern w:val="2"/>
          <w:sz w:val="28"/>
          <w:szCs w:val="28"/>
          <w:lang w:val="en-US" w:eastAsia="zh-CN" w:bidi="ar-SA"/>
        </w:rPr>
        <w:fldChar w:fldCharType="begin"/>
      </w:r>
      <w:r>
        <w:rPr>
          <w:rFonts w:hint="eastAsia" w:asciiTheme="minorEastAsia" w:hAnsiTheme="minorEastAsia" w:eastAsiaTheme="minorEastAsia" w:cstheme="minorEastAsia"/>
          <w:kern w:val="2"/>
          <w:sz w:val="28"/>
          <w:szCs w:val="28"/>
          <w:lang w:val="en-US" w:eastAsia="zh-CN" w:bidi="ar-SA"/>
        </w:rPr>
        <w:instrText xml:space="preserve"> HYPERLINK \l _Toc1128321572 </w:instrText>
      </w:r>
      <w:r>
        <w:rPr>
          <w:rFonts w:hint="eastAsia" w:asciiTheme="minorEastAsia" w:hAnsiTheme="minorEastAsia" w:eastAsiaTheme="minorEastAsia" w:cstheme="minorEastAsia"/>
          <w:kern w:val="2"/>
          <w:sz w:val="28"/>
          <w:szCs w:val="28"/>
          <w:lang w:val="en-US" w:eastAsia="zh-CN" w:bidi="ar-SA"/>
        </w:rPr>
        <w:fldChar w:fldCharType="separate"/>
      </w:r>
      <w:r>
        <w:rPr>
          <w:rFonts w:hint="eastAsia" w:asciiTheme="minorEastAsia" w:hAnsiTheme="minorEastAsia" w:eastAsiaTheme="minorEastAsia" w:cstheme="minorEastAsia"/>
          <w:bCs/>
          <w:sz w:val="28"/>
          <w:szCs w:val="28"/>
          <w:highlight w:val="none"/>
          <w:lang w:val="en-US" w:eastAsia="zh-CN"/>
        </w:rPr>
        <w:t>10 其他</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eastAsiaTheme="minorEastAsia" w:cstheme="minorEastAsia"/>
          <w:color w:val="000000"/>
          <w:kern w:val="2"/>
          <w:sz w:val="28"/>
          <w:szCs w:val="28"/>
          <w:lang w:val="en-US" w:eastAsia="zh-CN" w:bidi="ar-SA"/>
        </w:rPr>
        <w:fldChar w:fldCharType="end"/>
      </w:r>
    </w:p>
    <w:p>
      <w:pPr>
        <w:pStyle w:val="10"/>
        <w:keepNext w:val="0"/>
        <w:keepLines w:val="0"/>
        <w:pageBreakBefore w:val="0"/>
        <w:widowControl w:val="0"/>
        <w:tabs>
          <w:tab w:val="right" w:leader="dot" w:pos="8312"/>
        </w:tabs>
        <w:kinsoku/>
        <w:wordWrap w:val="0"/>
        <w:overflowPunct/>
        <w:topLinePunct w:val="0"/>
        <w:autoSpaceDE/>
        <w:autoSpaceDN/>
        <w:bidi w:val="0"/>
        <w:adjustRightInd w:val="0"/>
        <w:snapToGrid w:val="0"/>
        <w:spacing w:line="240" w:lineRule="auto"/>
        <w:ind w:firstLine="1120" w:firstLineChars="400"/>
        <w:textAlignment w:val="auto"/>
        <w:rPr>
          <w:rFonts w:ascii="宋体" w:hAnsi="宋体" w:eastAsia="宋体" w:cs="Times New Roman"/>
          <w:szCs w:val="28"/>
        </w:rPr>
      </w:pPr>
      <w:r>
        <w:rPr>
          <w:rFonts w:hint="eastAsia" w:asciiTheme="minorEastAsia" w:hAnsiTheme="minorEastAsia" w:eastAsiaTheme="minorEastAsia" w:cstheme="minorEastAsia"/>
          <w:color w:val="000000"/>
          <w:kern w:val="2"/>
          <w:sz w:val="28"/>
          <w:szCs w:val="28"/>
          <w:lang w:val="en-US" w:eastAsia="zh-CN" w:bidi="ar-SA"/>
        </w:rPr>
        <w:fldChar w:fldCharType="end"/>
      </w:r>
    </w:p>
    <w:p>
      <w:pPr>
        <w:pStyle w:val="9"/>
        <w:tabs>
          <w:tab w:val="right" w:leader="dot" w:pos="8306"/>
          <w:tab w:val="clear" w:pos="9540"/>
        </w:tabs>
        <w:spacing w:before="240" w:line="240" w:lineRule="exact"/>
        <w:ind w:left="473" w:leftChars="225"/>
        <w:jc w:val="distribute"/>
        <w:rPr>
          <w:rFonts w:ascii="宋体" w:hAnsi="宋体" w:eastAsia="宋体" w:cs="Times New Roman"/>
          <w:szCs w:val="28"/>
        </w:rPr>
      </w:pPr>
    </w:p>
    <w:p>
      <w:pPr>
        <w:rPr>
          <w:rFonts w:ascii="宋体" w:hAnsi="宋体" w:eastAsia="宋体" w:cs="Times New Roman"/>
          <w:szCs w:val="28"/>
        </w:rPr>
      </w:pPr>
    </w:p>
    <w:p>
      <w:pPr>
        <w:rPr>
          <w:rFonts w:ascii="宋体" w:hAnsi="宋体" w:eastAsia="宋体" w:cs="Times New Roman"/>
          <w:szCs w:val="28"/>
        </w:rPr>
      </w:pPr>
    </w:p>
    <w:p>
      <w:pPr>
        <w:rPr>
          <w:rFonts w:ascii="宋体" w:hAnsi="宋体" w:eastAsia="宋体" w:cs="Times New Roman"/>
          <w:szCs w:val="28"/>
        </w:rPr>
      </w:pPr>
    </w:p>
    <w:p>
      <w:pPr>
        <w:tabs>
          <w:tab w:val="center" w:pos="4620"/>
        </w:tabs>
        <w:jc w:val="left"/>
        <w:sectPr>
          <w:footerReference r:id="rId11" w:type="default"/>
          <w:pgSz w:w="11906" w:h="16838"/>
          <w:pgMar w:top="1247" w:right="1247" w:bottom="1247" w:left="1418" w:header="851" w:footer="782" w:gutter="0"/>
          <w:pgNumType w:fmt="upperRoman" w:start="1"/>
          <w:cols w:space="720" w:num="1"/>
        </w:sect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48" w:lineRule="auto"/>
        <w:ind w:firstLine="560" w:firstLineChars="200"/>
        <w:jc w:val="both"/>
        <w:textAlignment w:val="auto"/>
        <w:outlineLvl w:val="0"/>
        <w:rPr>
          <w:rFonts w:hint="eastAsia" w:ascii="黑体" w:hAnsi="黑体" w:eastAsia="黑体" w:cs="黑体"/>
          <w:b w:val="0"/>
          <w:bCs/>
          <w:color w:val="auto"/>
          <w:sz w:val="28"/>
          <w:szCs w:val="28"/>
          <w:highlight w:val="none"/>
          <w:lang w:val="en-US" w:eastAsia="zh-CN"/>
        </w:rPr>
      </w:pPr>
      <w:bookmarkStart w:id="6" w:name="_Toc1449142027"/>
      <w:r>
        <w:rPr>
          <w:rFonts w:hint="eastAsia" w:ascii="黑体" w:hAnsi="黑体" w:eastAsia="黑体" w:cs="黑体"/>
          <w:b w:val="0"/>
          <w:bCs/>
          <w:color w:val="auto"/>
          <w:sz w:val="28"/>
          <w:szCs w:val="28"/>
          <w:highlight w:val="none"/>
          <w:lang w:val="en-US" w:eastAsia="zh-CN"/>
        </w:rPr>
        <w:t>1 总则</w:t>
      </w:r>
      <w:bookmarkEnd w:id="6"/>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bookmarkStart w:id="7" w:name="_Toc14218"/>
      <w:bookmarkStart w:id="8" w:name="_Toc25363"/>
      <w:bookmarkStart w:id="9" w:name="_Toc9979"/>
      <w:bookmarkStart w:id="10" w:name="_Toc20997"/>
      <w:bookmarkStart w:id="11" w:name="_Toc10149"/>
      <w:bookmarkStart w:id="12" w:name="_Toc18338"/>
      <w:bookmarkStart w:id="13" w:name="_Toc25822"/>
      <w:bookmarkStart w:id="14" w:name="_Toc23022"/>
      <w:bookmarkStart w:id="15" w:name="_Toc3786"/>
      <w:r>
        <w:rPr>
          <w:rFonts w:hint="eastAsia" w:ascii="宋体" w:hAnsi="宋体" w:eastAsia="宋体" w:cs="宋体"/>
          <w:color w:val="auto"/>
          <w:sz w:val="28"/>
          <w:szCs w:val="28"/>
          <w:highlight w:val="none"/>
          <w:lang w:val="en-US" w:eastAsia="zh-CN"/>
        </w:rPr>
        <w:t>1.1</w:t>
      </w:r>
      <w:r>
        <w:rPr>
          <w:rFonts w:hint="default" w:ascii="宋体" w:hAnsi="宋体" w:eastAsia="宋体" w:cs="宋体"/>
          <w:color w:val="auto"/>
          <w:sz w:val="28"/>
          <w:szCs w:val="28"/>
          <w:highlight w:val="none"/>
          <w:lang w:val="en-US" w:eastAsia="zh-CN"/>
        </w:rPr>
        <w:t>本技术规范书适用于</w:t>
      </w:r>
      <w:r>
        <w:rPr>
          <w:rFonts w:hint="eastAsia" w:ascii="宋体" w:hAnsi="宋体" w:eastAsia="宋体" w:cs="宋体"/>
          <w:color w:val="auto"/>
          <w:sz w:val="28"/>
          <w:szCs w:val="28"/>
          <w:highlight w:val="none"/>
          <w:lang w:val="en-US" w:eastAsia="zh-CN"/>
        </w:rPr>
        <w:t>南网超高压公司</w:t>
      </w:r>
      <w:r>
        <w:rPr>
          <w:rFonts w:hint="eastAsia" w:ascii="宋体" w:hAnsi="宋体" w:eastAsia="宋体" w:cs="宋体"/>
          <w:color w:val="FF0000"/>
          <w:sz w:val="28"/>
          <w:szCs w:val="28"/>
          <w:highlight w:val="none"/>
          <w:lang w:val="en-US" w:eastAsia="zh-CN"/>
        </w:rPr>
        <w:t>南宁局平果基地2026-2028年三栋危旧楼位移倾斜沉降监测</w:t>
      </w:r>
      <w:r>
        <w:rPr>
          <w:rFonts w:hint="default" w:ascii="宋体" w:hAnsi="宋体" w:eastAsia="宋体" w:cs="宋体"/>
          <w:color w:val="FF0000"/>
          <w:sz w:val="28"/>
          <w:szCs w:val="28"/>
          <w:highlight w:val="none"/>
          <w:lang w:val="en-US" w:eastAsia="zh-CN"/>
        </w:rPr>
        <w:t>项目</w:t>
      </w:r>
      <w:r>
        <w:rPr>
          <w:rFonts w:hint="default" w:ascii="宋体" w:hAnsi="宋体" w:eastAsia="宋体" w:cs="宋体"/>
          <w:color w:val="auto"/>
          <w:sz w:val="28"/>
          <w:szCs w:val="28"/>
          <w:highlight w:val="none"/>
          <w:lang w:val="en-US" w:eastAsia="zh-CN"/>
        </w:rPr>
        <w:t>。本技术规范书提出了项目的</w:t>
      </w:r>
      <w:r>
        <w:rPr>
          <w:rFonts w:hint="eastAsia" w:ascii="宋体" w:hAnsi="宋体" w:eastAsia="宋体" w:cs="宋体"/>
          <w:color w:val="auto"/>
          <w:sz w:val="28"/>
          <w:szCs w:val="28"/>
          <w:highlight w:val="none"/>
          <w:lang w:val="en-US" w:eastAsia="zh-CN"/>
        </w:rPr>
        <w:t>服务内容、质量</w:t>
      </w:r>
      <w:r>
        <w:rPr>
          <w:rFonts w:hint="default" w:ascii="宋体" w:hAnsi="宋体" w:eastAsia="宋体" w:cs="宋体"/>
          <w:color w:val="auto"/>
          <w:sz w:val="28"/>
          <w:szCs w:val="28"/>
          <w:highlight w:val="none"/>
          <w:lang w:val="en-US" w:eastAsia="zh-CN"/>
        </w:rPr>
        <w:t>等要求，</w:t>
      </w:r>
      <w:r>
        <w:rPr>
          <w:rFonts w:hint="eastAsia" w:ascii="宋体" w:hAnsi="宋体" w:eastAsia="宋体" w:cs="宋体"/>
          <w:color w:val="auto"/>
          <w:sz w:val="28"/>
          <w:szCs w:val="28"/>
          <w:highlight w:val="none"/>
          <w:lang w:val="en-US" w:eastAsia="zh-CN"/>
        </w:rPr>
        <w:t>规范书的所有解释权归南网超高压公司</w:t>
      </w:r>
      <w:r>
        <w:rPr>
          <w:rFonts w:hint="eastAsia" w:ascii="宋体" w:hAnsi="宋体" w:eastAsia="宋体" w:cs="宋体"/>
          <w:color w:val="FF0000"/>
          <w:sz w:val="28"/>
          <w:szCs w:val="28"/>
          <w:highlight w:val="none"/>
          <w:lang w:val="en-US" w:eastAsia="zh-CN"/>
        </w:rPr>
        <w:t>南宁局</w:t>
      </w:r>
      <w:r>
        <w:rPr>
          <w:rFonts w:hint="eastAsia" w:ascii="宋体" w:hAnsi="宋体" w:eastAsia="宋体" w:cs="宋体"/>
          <w:color w:val="auto"/>
          <w:sz w:val="28"/>
          <w:szCs w:val="28"/>
          <w:highlight w:val="none"/>
          <w:lang w:val="en-US" w:eastAsia="zh-CN"/>
        </w:rPr>
        <w:t>（以下简称“招标方”）所有</w:t>
      </w:r>
      <w:r>
        <w:rPr>
          <w:rFonts w:hint="default" w:ascii="宋体" w:hAnsi="宋体" w:eastAsia="宋体" w:cs="宋体"/>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bookmarkStart w:id="16" w:name="_Toc23326"/>
      <w:bookmarkStart w:id="17" w:name="_Toc13202"/>
      <w:bookmarkStart w:id="18" w:name="_Toc369559709"/>
      <w:bookmarkStart w:id="19" w:name="_Toc11596"/>
      <w:bookmarkStart w:id="20" w:name="_Toc16643"/>
      <w:bookmarkStart w:id="21" w:name="_Toc6188"/>
      <w:bookmarkStart w:id="22" w:name="_Toc29332"/>
      <w:bookmarkStart w:id="23" w:name="_Toc369561312"/>
      <w:r>
        <w:rPr>
          <w:rFonts w:hint="eastAsia" w:ascii="宋体" w:hAnsi="宋体" w:eastAsia="宋体" w:cs="宋体"/>
          <w:color w:val="auto"/>
          <w:sz w:val="28"/>
          <w:szCs w:val="28"/>
          <w:highlight w:val="none"/>
          <w:lang w:val="en-US" w:eastAsia="zh-CN"/>
        </w:rPr>
        <w:t>1.2本技术规范书提出的是最低限度的技术要求，并未对一切技术细节做出规定，投标方应提供符合本技术规范书的项目成果。</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1.3如果投标方没有以书面形式对本技术规范书的条款提出异议，则意味着投标方提供的服务完全满足本技术规范书的要求。如有异议，不管是多么微小，都应在投标书中以“对规范书的意见和与规范书的差异（表）”为标题的专门章节加以详细描述，并说明原因。</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1.4在根据本技术规范书签订协议之后，招标方有权提出因标准或规程规范发生变化而产生的一些补充，具体项目由双方共同商定。</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1.5本技术规范书所使用的标准如遇与投标方所执行的标准发生矛盾时，按较高标准执行，本技术规范书未全部引用应用标准，凡是本技术规范书牵涉的各项内容均按最新标准实施。</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1.6本技术规范书经双方确认后作为签订合同的技术附件，与合同正文具有同等法律效力。同时，技术规范书未尽事宜，由双方协商确定。</w:t>
      </w:r>
    </w:p>
    <w:p>
      <w:pPr>
        <w:keepNext w:val="0"/>
        <w:keepLines w:val="0"/>
        <w:pageBreakBefore w:val="0"/>
        <w:widowControl w:val="0"/>
        <w:numPr>
          <w:ilvl w:val="0"/>
          <w:numId w:val="0"/>
        </w:numPr>
        <w:kinsoku/>
        <w:wordWrap/>
        <w:overflowPunct/>
        <w:topLinePunct w:val="0"/>
        <w:autoSpaceDE/>
        <w:autoSpaceDN/>
        <w:bidi w:val="0"/>
        <w:adjustRightInd w:val="0"/>
        <w:snapToGrid w:val="0"/>
        <w:spacing w:line="348" w:lineRule="auto"/>
        <w:ind w:firstLine="560" w:firstLineChars="200"/>
        <w:jc w:val="both"/>
        <w:textAlignment w:val="auto"/>
        <w:outlineLvl w:val="0"/>
        <w:rPr>
          <w:rFonts w:hint="eastAsia" w:ascii="黑体" w:hAnsi="黑体" w:eastAsia="黑体" w:cs="黑体"/>
          <w:b w:val="0"/>
          <w:bCs/>
          <w:color w:val="auto"/>
          <w:sz w:val="28"/>
          <w:szCs w:val="28"/>
          <w:highlight w:val="none"/>
          <w:lang w:val="en-US" w:eastAsia="zh-CN"/>
        </w:rPr>
      </w:pPr>
      <w:bookmarkStart w:id="24" w:name="_Toc2004656844"/>
      <w:r>
        <w:rPr>
          <w:rFonts w:hint="eastAsia" w:ascii="黑体" w:hAnsi="黑体" w:eastAsia="黑体" w:cs="黑体"/>
          <w:b w:val="0"/>
          <w:bCs/>
          <w:color w:val="auto"/>
          <w:sz w:val="28"/>
          <w:szCs w:val="28"/>
          <w:highlight w:val="none"/>
          <w:lang w:val="en-US" w:eastAsia="zh-CN"/>
        </w:rPr>
        <w:t>2 应遵循的主要标准</w:t>
      </w:r>
      <w:bookmarkEnd w:id="16"/>
      <w:bookmarkEnd w:id="17"/>
      <w:bookmarkEnd w:id="18"/>
      <w:bookmarkEnd w:id="19"/>
      <w:bookmarkEnd w:id="20"/>
      <w:bookmarkEnd w:id="21"/>
      <w:bookmarkEnd w:id="22"/>
      <w:bookmarkEnd w:id="23"/>
      <w:bookmarkEnd w:id="24"/>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南网超高压公司</w:t>
      </w:r>
      <w:r>
        <w:rPr>
          <w:rFonts w:hint="eastAsia" w:ascii="宋体" w:hAnsi="宋体" w:eastAsia="宋体" w:cs="宋体"/>
          <w:color w:val="FF0000"/>
          <w:sz w:val="28"/>
          <w:szCs w:val="28"/>
          <w:highlight w:val="none"/>
          <w:lang w:val="en-US" w:eastAsia="zh-CN"/>
        </w:rPr>
        <w:t>南宁局平果基地2026-2028年三栋危旧楼位移倾斜沉降监测</w:t>
      </w:r>
      <w:r>
        <w:rPr>
          <w:rFonts w:hint="eastAsia" w:ascii="宋体" w:hAnsi="宋体" w:eastAsia="宋体" w:cs="宋体"/>
          <w:color w:val="auto"/>
          <w:sz w:val="28"/>
          <w:szCs w:val="28"/>
          <w:highlight w:val="none"/>
          <w:lang w:val="zh-CN" w:eastAsia="zh-CN"/>
        </w:rPr>
        <w:t>服务</w:t>
      </w:r>
      <w:r>
        <w:rPr>
          <w:rFonts w:hint="eastAsia" w:ascii="宋体" w:hAnsi="宋体" w:eastAsia="宋体" w:cs="宋体"/>
          <w:bCs/>
          <w:color w:val="auto"/>
          <w:sz w:val="28"/>
          <w:szCs w:val="28"/>
          <w:highlight w:val="none"/>
          <w:lang w:val="en-US" w:eastAsia="zh-CN"/>
        </w:rPr>
        <w:t>应严格遵循但不限于以下现行国家、行业及地方标准规范（如存在更新版本，以最新有效版本为准）</w:t>
      </w:r>
      <w:r>
        <w:rPr>
          <w:rFonts w:hint="eastAsia" w:ascii="宋体" w:hAnsi="宋体" w:eastAsia="宋体" w:cs="宋体"/>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《中华人民共和国合同法》</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《中华人民共和国消费者权益保护法》</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《中华人民共和国价格法》</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《建筑变形测量规范》</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《工程测量规范》</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《建筑地基基础设计规范》</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《广西壮族自治区建设工程质量管理条例》</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bookmarkStart w:id="25" w:name="_Toc1291544439"/>
      <w:r>
        <w:rPr>
          <w:rFonts w:hint="eastAsia" w:ascii="宋体" w:hAnsi="宋体" w:eastAsia="宋体" w:cs="宋体"/>
          <w:color w:val="auto"/>
          <w:sz w:val="28"/>
          <w:szCs w:val="28"/>
          <w:highlight w:val="none"/>
          <w:lang w:val="en-US" w:eastAsia="zh-CN"/>
        </w:rPr>
        <w:t>其他相关专业规范及地方性技术规程，均应执行最新有效版本。</w:t>
      </w:r>
    </w:p>
    <w:p>
      <w:pPr>
        <w:keepNext w:val="0"/>
        <w:keepLines w:val="0"/>
        <w:pageBreakBefore w:val="0"/>
        <w:widowControl w:val="0"/>
        <w:numPr>
          <w:ilvl w:val="0"/>
          <w:numId w:val="0"/>
        </w:numPr>
        <w:kinsoku/>
        <w:wordWrap/>
        <w:overflowPunct/>
        <w:topLinePunct w:val="0"/>
        <w:autoSpaceDE/>
        <w:autoSpaceDN/>
        <w:bidi w:val="0"/>
        <w:adjustRightInd w:val="0"/>
        <w:snapToGrid w:val="0"/>
        <w:spacing w:line="348" w:lineRule="auto"/>
        <w:ind w:firstLine="560" w:firstLineChars="200"/>
        <w:jc w:val="both"/>
        <w:textAlignment w:val="auto"/>
        <w:outlineLvl w:val="0"/>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3 项目概述</w:t>
      </w:r>
      <w:bookmarkEnd w:id="7"/>
      <w:bookmarkEnd w:id="8"/>
      <w:bookmarkEnd w:id="9"/>
      <w:bookmarkEnd w:id="10"/>
      <w:bookmarkEnd w:id="11"/>
      <w:bookmarkEnd w:id="12"/>
      <w:bookmarkEnd w:id="13"/>
      <w:bookmarkEnd w:id="14"/>
      <w:bookmarkEnd w:id="15"/>
      <w:bookmarkEnd w:id="25"/>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bookmarkStart w:id="26" w:name="_Toc27052"/>
      <w:r>
        <w:rPr>
          <w:rFonts w:hint="eastAsia" w:ascii="宋体" w:hAnsi="宋体" w:eastAsia="宋体" w:cs="宋体"/>
          <w:color w:val="auto"/>
          <w:sz w:val="28"/>
          <w:szCs w:val="28"/>
          <w:highlight w:val="none"/>
          <w:lang w:val="en-US" w:eastAsia="zh-CN"/>
        </w:rPr>
        <w:t>南宁局平果基地2026-2028年三栋危旧楼位移倾斜沉降监测项目（以下简称“本项目”），南宁局平果基地位于平果市上马头街219号，宗地面积26128.84㎡（约39亩</w:t>
      </w:r>
      <w:bookmarkStart w:id="46" w:name="_GoBack"/>
      <w:bookmarkEnd w:id="46"/>
      <w:r>
        <w:rPr>
          <w:rFonts w:hint="eastAsia" w:ascii="宋体" w:hAnsi="宋体" w:eastAsia="宋体" w:cs="宋体"/>
          <w:color w:val="auto"/>
          <w:sz w:val="28"/>
          <w:szCs w:val="28"/>
          <w:highlight w:val="none"/>
          <w:lang w:val="en-US" w:eastAsia="zh-CN"/>
        </w:rPr>
        <w:t>）。大院内三栋住宅楼为近30年的预制板混合型结构，地基下沉、墙体开裂现象明显。2018年3月，经广西区建筑工程质量检测中心开展鉴定，出具的鉴定报告结论为：平果基地大院1#-3#栋老旧预制板楼房危险等级为Dsu（最危险等级）。为加强对三栋危楼监测，拟邀请专业的监测机构对1-3栋危楼定期开展沉降、倾斜、位移监测工作。</w:t>
      </w:r>
    </w:p>
    <w:bookmarkEnd w:id="26"/>
    <w:p>
      <w:pPr>
        <w:keepNext w:val="0"/>
        <w:keepLines w:val="0"/>
        <w:pageBreakBefore w:val="0"/>
        <w:widowControl w:val="0"/>
        <w:numPr>
          <w:ilvl w:val="0"/>
          <w:numId w:val="0"/>
        </w:numPr>
        <w:kinsoku/>
        <w:wordWrap/>
        <w:overflowPunct/>
        <w:topLinePunct w:val="0"/>
        <w:autoSpaceDE/>
        <w:autoSpaceDN/>
        <w:bidi w:val="0"/>
        <w:adjustRightInd w:val="0"/>
        <w:snapToGrid w:val="0"/>
        <w:spacing w:line="348" w:lineRule="auto"/>
        <w:ind w:firstLine="560" w:firstLineChars="200"/>
        <w:jc w:val="both"/>
        <w:textAlignment w:val="auto"/>
        <w:outlineLvl w:val="0"/>
        <w:rPr>
          <w:rFonts w:hint="eastAsia" w:ascii="黑体" w:hAnsi="黑体" w:eastAsia="黑体" w:cs="黑体"/>
          <w:b w:val="0"/>
          <w:bCs/>
          <w:color w:val="auto"/>
          <w:sz w:val="28"/>
          <w:szCs w:val="28"/>
          <w:highlight w:val="none"/>
          <w:lang w:val="en-US" w:eastAsia="zh-CN"/>
        </w:rPr>
      </w:pPr>
      <w:bookmarkStart w:id="27" w:name="_Toc1343396252"/>
      <w:r>
        <w:rPr>
          <w:rFonts w:hint="eastAsia" w:ascii="黑体" w:hAnsi="黑体" w:eastAsia="黑体" w:cs="黑体"/>
          <w:b w:val="0"/>
          <w:bCs/>
          <w:color w:val="auto"/>
          <w:sz w:val="28"/>
          <w:szCs w:val="28"/>
          <w:highlight w:val="none"/>
          <w:lang w:val="en-US" w:eastAsia="zh-CN"/>
        </w:rPr>
        <w:t xml:space="preserve">4 </w:t>
      </w:r>
      <w:bookmarkStart w:id="28" w:name="_Toc24506"/>
      <w:bookmarkStart w:id="29" w:name="_Toc13765"/>
      <w:bookmarkStart w:id="30" w:name="_Toc17693"/>
      <w:bookmarkStart w:id="31" w:name="_Toc27840"/>
      <w:r>
        <w:rPr>
          <w:rFonts w:hint="eastAsia" w:ascii="黑体" w:hAnsi="黑体" w:eastAsia="黑体" w:cs="黑体"/>
          <w:b w:val="0"/>
          <w:bCs/>
          <w:color w:val="auto"/>
          <w:sz w:val="28"/>
          <w:szCs w:val="28"/>
          <w:highlight w:val="none"/>
          <w:lang w:val="en-US" w:eastAsia="zh-CN"/>
        </w:rPr>
        <w:t>服务区域</w:t>
      </w:r>
      <w:bookmarkEnd w:id="27"/>
      <w:bookmarkEnd w:id="28"/>
      <w:bookmarkEnd w:id="29"/>
      <w:bookmarkEnd w:id="30"/>
      <w:bookmarkEnd w:id="31"/>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default" w:ascii="宋体" w:hAnsi="宋体" w:eastAsia="宋体" w:cs="宋体"/>
          <w:color w:val="FF0000"/>
          <w:sz w:val="28"/>
          <w:szCs w:val="28"/>
          <w:highlight w:val="none"/>
          <w:lang w:val="en-US" w:eastAsia="zh-CN"/>
        </w:rPr>
      </w:pPr>
      <w:r>
        <w:rPr>
          <w:rFonts w:hint="eastAsia" w:ascii="宋体" w:hAnsi="宋体" w:eastAsia="宋体" w:cs="宋体"/>
          <w:color w:val="auto"/>
          <w:sz w:val="28"/>
          <w:szCs w:val="28"/>
          <w:highlight w:val="none"/>
          <w:lang w:val="zh-CN" w:eastAsia="zh-CN"/>
        </w:rPr>
        <w:t>三栋旧危楼监测服务</w:t>
      </w:r>
      <w:r>
        <w:rPr>
          <w:rFonts w:hint="eastAsia" w:ascii="宋体" w:hAnsi="宋体" w:eastAsia="宋体" w:cs="宋体"/>
          <w:color w:val="auto"/>
          <w:sz w:val="28"/>
          <w:szCs w:val="28"/>
          <w:highlight w:val="none"/>
          <w:lang w:val="en-US" w:eastAsia="zh-CN"/>
        </w:rPr>
        <w:t>区域：</w:t>
      </w:r>
      <w:bookmarkStart w:id="32" w:name="_Toc2140008509"/>
      <w:r>
        <w:rPr>
          <w:rFonts w:hint="eastAsia" w:ascii="宋体" w:hAnsi="宋体" w:eastAsia="宋体" w:cs="宋体"/>
          <w:color w:val="FF0000"/>
          <w:sz w:val="28"/>
          <w:szCs w:val="28"/>
          <w:highlight w:val="none"/>
          <w:lang w:val="en-US" w:eastAsia="zh-CN"/>
        </w:rPr>
        <w:t>广西壮族自治区平果市上马头街219号1-3栋危旧楼及附属公共区域</w:t>
      </w:r>
    </w:p>
    <w:p>
      <w:pPr>
        <w:keepNext w:val="0"/>
        <w:keepLines w:val="0"/>
        <w:pageBreakBefore w:val="0"/>
        <w:widowControl w:val="0"/>
        <w:numPr>
          <w:ilvl w:val="0"/>
          <w:numId w:val="0"/>
        </w:numPr>
        <w:kinsoku/>
        <w:wordWrap/>
        <w:overflowPunct/>
        <w:topLinePunct w:val="0"/>
        <w:autoSpaceDE/>
        <w:autoSpaceDN/>
        <w:bidi w:val="0"/>
        <w:adjustRightInd w:val="0"/>
        <w:snapToGrid w:val="0"/>
        <w:spacing w:line="348" w:lineRule="auto"/>
        <w:ind w:firstLine="560" w:firstLineChars="200"/>
        <w:jc w:val="both"/>
        <w:textAlignment w:val="auto"/>
        <w:outlineLvl w:val="0"/>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5 服务内容</w:t>
      </w:r>
      <w:bookmarkEnd w:id="32"/>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5.1服务内容：对南宁局平果基地大院内1-3栋危旧楼进行建筑物沉降监测、建筑物水平位移监测、建筑物倾斜监测、建筑物裂缝监测。服务周期为2026-2028年。</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5.2服务要求：（1）定期开展监测：每半年开展一次对南宁局平果基地大院内1-3栋危旧楼进行沉降观测、水平位移观测、倾斜监测，为了解危楼状态提供信息支持与服务,每年出具一份监测成果报告；（2）不定期开展监测：①遇强台风、地震等自然灾害开展一次1-3栋危旧楼沉降、水平位移、倾斜监测；②特级保供电任务期间开展1-3栋危旧楼沉降、水平位移、倾斜监测；③遇国家、政府重大政治活动或地方政府要求下开展1-3栋危旧楼沉降、水平位移、倾斜监测。 不定期监测后出具一份监测成果报告。 </w:t>
      </w:r>
    </w:p>
    <w:p>
      <w:pPr>
        <w:keepNext w:val="0"/>
        <w:keepLines w:val="0"/>
        <w:pageBreakBefore w:val="0"/>
        <w:widowControl w:val="0"/>
        <w:numPr>
          <w:ilvl w:val="0"/>
          <w:numId w:val="0"/>
        </w:numPr>
        <w:kinsoku/>
        <w:wordWrap/>
        <w:overflowPunct/>
        <w:topLinePunct w:val="0"/>
        <w:autoSpaceDE/>
        <w:autoSpaceDN/>
        <w:bidi w:val="0"/>
        <w:adjustRightInd w:val="0"/>
        <w:snapToGrid w:val="0"/>
        <w:spacing w:line="348" w:lineRule="auto"/>
        <w:ind w:firstLine="560" w:firstLineChars="200"/>
        <w:jc w:val="both"/>
        <w:textAlignment w:val="auto"/>
        <w:outlineLvl w:val="0"/>
        <w:rPr>
          <w:rFonts w:hint="eastAsia" w:ascii="黑体" w:hAnsi="黑体" w:eastAsia="黑体" w:cs="黑体"/>
          <w:b w:val="0"/>
          <w:bCs/>
          <w:color w:val="auto"/>
          <w:sz w:val="28"/>
          <w:szCs w:val="28"/>
          <w:highlight w:val="none"/>
          <w:lang w:val="en-US" w:eastAsia="zh-CN"/>
        </w:rPr>
      </w:pPr>
      <w:bookmarkStart w:id="33" w:name="_Toc441931968"/>
      <w:r>
        <w:rPr>
          <w:rFonts w:hint="eastAsia" w:ascii="黑体" w:hAnsi="黑体" w:eastAsia="黑体" w:cs="黑体"/>
          <w:b w:val="0"/>
          <w:bCs/>
          <w:color w:val="auto"/>
          <w:sz w:val="28"/>
          <w:szCs w:val="28"/>
          <w:highlight w:val="none"/>
          <w:lang w:val="en-US" w:eastAsia="zh-CN"/>
        </w:rPr>
        <w:t xml:space="preserve">6 </w:t>
      </w:r>
      <w:bookmarkStart w:id="34" w:name="_Toc7372"/>
      <w:r>
        <w:rPr>
          <w:rFonts w:hint="eastAsia" w:ascii="黑体" w:hAnsi="黑体" w:eastAsia="黑体" w:cs="黑体"/>
          <w:b w:val="0"/>
          <w:bCs/>
          <w:color w:val="auto"/>
          <w:sz w:val="28"/>
          <w:szCs w:val="28"/>
          <w:highlight w:val="none"/>
          <w:lang w:val="en-US" w:eastAsia="zh-CN"/>
        </w:rPr>
        <w:t>服务管理要求</w:t>
      </w:r>
      <w:bookmarkEnd w:id="33"/>
      <w:bookmarkEnd w:id="34"/>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6.1投标方应严格遵守《建筑变形测量规范》、《工程测量规范》、《建筑地基基础设计规范》、《广西壮族自治区建设工程质量管理条例》等法律法规和卫生规范标准及招标方有关规定。</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6.2投标方须遵守国家有关法律、法规政策及本技术规范书的约定，自主开展各项管理经营活动，但不得损害招标方的合法权益，获取不当利益。</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6.3投标方应提供专责联系人及次责联系人等有效联系电话不少于两个。</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6.4投标方不可外包本项目，使用设备需在有效期内。</w:t>
      </w:r>
    </w:p>
    <w:p>
      <w:pPr>
        <w:keepNext w:val="0"/>
        <w:keepLines w:val="0"/>
        <w:pageBreakBefore w:val="0"/>
        <w:widowControl w:val="0"/>
        <w:numPr>
          <w:ilvl w:val="0"/>
          <w:numId w:val="0"/>
        </w:numPr>
        <w:kinsoku/>
        <w:wordWrap/>
        <w:overflowPunct/>
        <w:topLinePunct w:val="0"/>
        <w:autoSpaceDE/>
        <w:autoSpaceDN/>
        <w:bidi w:val="0"/>
        <w:adjustRightInd w:val="0"/>
        <w:snapToGrid w:val="0"/>
        <w:spacing w:line="348" w:lineRule="auto"/>
        <w:ind w:firstLine="560" w:firstLineChars="200"/>
        <w:jc w:val="both"/>
        <w:textAlignment w:val="auto"/>
        <w:outlineLvl w:val="0"/>
        <w:rPr>
          <w:rFonts w:hint="eastAsia" w:ascii="黑体" w:hAnsi="黑体" w:eastAsia="黑体" w:cs="黑体"/>
          <w:b w:val="0"/>
          <w:bCs/>
          <w:color w:val="auto"/>
          <w:sz w:val="28"/>
          <w:szCs w:val="28"/>
          <w:highlight w:val="none"/>
          <w:lang w:val="en-US" w:eastAsia="zh-CN"/>
        </w:rPr>
      </w:pPr>
      <w:bookmarkStart w:id="35" w:name="_Toc1452234199"/>
      <w:bookmarkStart w:id="36" w:name="_Toc24761"/>
      <w:r>
        <w:rPr>
          <w:rFonts w:hint="eastAsia" w:ascii="黑体" w:hAnsi="黑体" w:eastAsia="黑体" w:cs="黑体"/>
          <w:b w:val="0"/>
          <w:bCs/>
          <w:color w:val="auto"/>
          <w:sz w:val="28"/>
          <w:szCs w:val="28"/>
          <w:highlight w:val="none"/>
          <w:lang w:val="en-US" w:eastAsia="zh-CN"/>
        </w:rPr>
        <w:t>7 服务质量要求</w:t>
      </w:r>
      <w:bookmarkEnd w:id="35"/>
      <w:bookmarkEnd w:id="36"/>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7.1投标方必须严格按照相关法律、法规、建筑工程规章、监测规定为招标方提供危旧楼监测服务，出具的监测成果报告必须科学、规范、合法、客观、真实有效。</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7.2投标方必须承诺赴南宁局平果基地开展1-3栋危旧楼监测工作，投标方报价应包含服务内容的全部内容及税费、管理费，且包含服务人员准备过程中发生的差旅、住宿费等所有费用。</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7.3投标方承诺保证检测的仪器设备均符合国家计量检定要求；技术人员持证上岗；采用的监测方法标准均满足本次项目要求，检测数据科学、公正、准确，并就监测报告的有关内容接受招标方的咨询。</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7.4监测方法、精度等级要求：（1）监测方法：水准测量法、视准线法结合极坐标法、全站仪投点法；（2）监测精度等级：二等。</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7.5建筑倾斜监测要求：周边建筑倾斜采用全站仪投点法进行，测站点选择在与建筑物倾斜方向成正交方向的方向线上，测站点距离照准目标不宜小于1.5倍目标高度。底部观测点宜安置水平读数尺，全站仪应瞄准上部观测点标志，将上部观测点投影到底部，通过水平读数尺直接读取偏移量，正、倒镜各观测一次取平均值，并根据上、下观测点高度差计算倾斜度。</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7.6建筑物裂缝监测要求：对已存在的裂缝的长度及宽度进行标识并记录在案。采用游标卡尺等工具量测裂缝宽度值，绘出裂缝的位置、形态和尺寸。</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7.7监测周期及频率：监测周期暂定为3年（若监测期间内该三栋危楼建筑物拆除，则终止监测服务），若监测期间出现异常情况或沉降未达到稳定要求，加密观测周期及增加测量次数。</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7.8</w:t>
      </w:r>
      <w:bookmarkStart w:id="37" w:name="_Toc4964"/>
      <w:r>
        <w:rPr>
          <w:rFonts w:hint="eastAsia" w:ascii="宋体" w:hAnsi="宋体" w:eastAsia="宋体" w:cs="宋体"/>
          <w:color w:val="auto"/>
          <w:sz w:val="28"/>
          <w:szCs w:val="28"/>
          <w:highlight w:val="none"/>
          <w:lang w:val="en-US" w:eastAsia="zh-CN"/>
        </w:rPr>
        <w:t>测量技术要求</w:t>
      </w:r>
      <w:bookmarkEnd w:id="37"/>
      <w:r>
        <w:rPr>
          <w:rFonts w:hint="eastAsia" w:ascii="宋体" w:hAnsi="宋体" w:eastAsia="宋体" w:cs="宋体"/>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7.8.1 在标尺分划线呈像清晰和稳定的条件下进行观测。</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7.8.2作业中经常对水准仪及水准标尺的水准器和ｉ角进行检查。当发现监测成果出现异常情况并认为与仪器有关时，应及时进行检验与校正。</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7.8.3在同一测站上监测时，不得两次调焦。转动仪器的倾斜螺旋和测微鼓时，其最后旋转方向，均应为旋进。</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7.8.4每次监测对施工进度、增加荷载量、建筑物倾斜裂缝等各种影响沉降变化和异常的情况进行详细记录。</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lang w:val="en-US" w:eastAsia="zh-CN"/>
        </w:rPr>
      </w:pPr>
      <w:r>
        <w:rPr>
          <w:rFonts w:hint="eastAsia" w:ascii="宋体" w:hAnsi="宋体" w:eastAsia="宋体" w:cs="宋体"/>
          <w:color w:val="auto"/>
          <w:sz w:val="28"/>
          <w:szCs w:val="28"/>
          <w:highlight w:val="none"/>
          <w:lang w:val="en-US" w:eastAsia="zh-CN"/>
        </w:rPr>
        <w:t>7.8.5配备的检测仪器设备如下表：</w:t>
      </w:r>
    </w:p>
    <w:tbl>
      <w:tblPr>
        <w:tblStyle w:val="12"/>
        <w:tblW w:w="786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075"/>
        <w:gridCol w:w="2892"/>
        <w:gridCol w:w="290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07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序号</w:t>
            </w:r>
          </w:p>
        </w:tc>
        <w:tc>
          <w:tcPr>
            <w:tcW w:w="289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计量仪器设备</w:t>
            </w:r>
          </w:p>
        </w:tc>
        <w:tc>
          <w:tcPr>
            <w:tcW w:w="2902" w:type="dxa"/>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型号规格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07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p>
        </w:tc>
        <w:tc>
          <w:tcPr>
            <w:tcW w:w="289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电子水准仪</w:t>
            </w:r>
          </w:p>
        </w:tc>
        <w:tc>
          <w:tcPr>
            <w:tcW w:w="2902" w:type="dxa"/>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DiNi</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8" w:hRule="exact"/>
          <w:jc w:val="center"/>
        </w:trPr>
        <w:tc>
          <w:tcPr>
            <w:tcW w:w="207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w:t>
            </w:r>
          </w:p>
        </w:tc>
        <w:tc>
          <w:tcPr>
            <w:tcW w:w="289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铟瓦标尺</w:t>
            </w:r>
          </w:p>
        </w:tc>
        <w:tc>
          <w:tcPr>
            <w:tcW w:w="2902" w:type="dxa"/>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2m</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8" w:hRule="exact"/>
          <w:jc w:val="center"/>
        </w:trPr>
        <w:tc>
          <w:tcPr>
            <w:tcW w:w="207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w:t>
            </w:r>
          </w:p>
        </w:tc>
        <w:tc>
          <w:tcPr>
            <w:tcW w:w="289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全站仪</w:t>
            </w:r>
          </w:p>
        </w:tc>
        <w:tc>
          <w:tcPr>
            <w:tcW w:w="2902" w:type="dxa"/>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RTS-822RR8X</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8" w:hRule="exact"/>
          <w:jc w:val="center"/>
        </w:trPr>
        <w:tc>
          <w:tcPr>
            <w:tcW w:w="207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p>
        </w:tc>
        <w:tc>
          <w:tcPr>
            <w:tcW w:w="289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游标卡尺</w:t>
            </w:r>
          </w:p>
        </w:tc>
        <w:tc>
          <w:tcPr>
            <w:tcW w:w="2902" w:type="dxa"/>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（0-150）mm</w:t>
            </w:r>
          </w:p>
        </w:tc>
      </w:tr>
    </w:tbl>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7.9年度监测成果报告（一式三份）包含以下资料：观测点位布置图及基准点位布置图、沉降观测成果表、水平位移观测成果表、观测点时间-荷载-沉降量曲线图、倾斜观测成果表及倾斜趋势图、建筑物沉降是否趋于稳定判断。</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default"/>
          <w:lang w:val="en-US" w:eastAsia="zh-CN"/>
        </w:rPr>
      </w:pPr>
      <w:r>
        <w:rPr>
          <w:rFonts w:hint="eastAsia" w:ascii="宋体" w:hAnsi="宋体" w:eastAsia="宋体" w:cs="宋体"/>
          <w:color w:val="auto"/>
          <w:sz w:val="28"/>
          <w:szCs w:val="28"/>
          <w:highlight w:val="none"/>
          <w:lang w:val="en-US" w:eastAsia="zh-CN"/>
        </w:rPr>
        <w:t>7.10信息保密要求：投标方应确保涉及南宁局的文件、照片、站点位置不会以任何方式外泄给任何组织和个人。</w:t>
      </w:r>
    </w:p>
    <w:p>
      <w:pPr>
        <w:keepNext w:val="0"/>
        <w:keepLines w:val="0"/>
        <w:pageBreakBefore w:val="0"/>
        <w:widowControl w:val="0"/>
        <w:numPr>
          <w:ilvl w:val="0"/>
          <w:numId w:val="0"/>
        </w:numPr>
        <w:kinsoku/>
        <w:wordWrap/>
        <w:overflowPunct/>
        <w:topLinePunct w:val="0"/>
        <w:autoSpaceDE/>
        <w:autoSpaceDN/>
        <w:bidi w:val="0"/>
        <w:adjustRightInd w:val="0"/>
        <w:snapToGrid w:val="0"/>
        <w:spacing w:line="348" w:lineRule="auto"/>
        <w:ind w:firstLine="560" w:firstLineChars="200"/>
        <w:jc w:val="both"/>
        <w:textAlignment w:val="auto"/>
        <w:outlineLvl w:val="0"/>
        <w:rPr>
          <w:rFonts w:hint="eastAsia" w:ascii="黑体" w:hAnsi="黑体" w:eastAsia="黑体" w:cs="黑体"/>
          <w:b w:val="0"/>
          <w:bCs/>
          <w:color w:val="auto"/>
          <w:sz w:val="28"/>
          <w:szCs w:val="28"/>
          <w:highlight w:val="none"/>
          <w:lang w:val="en-US" w:eastAsia="zh-CN"/>
        </w:rPr>
      </w:pPr>
      <w:bookmarkStart w:id="38" w:name="_Toc355889452"/>
      <w:bookmarkStart w:id="39" w:name="_Toc19588"/>
      <w:r>
        <w:rPr>
          <w:rFonts w:hint="eastAsia" w:ascii="黑体" w:hAnsi="黑体" w:eastAsia="黑体" w:cs="黑体"/>
          <w:b w:val="0"/>
          <w:bCs/>
          <w:color w:val="auto"/>
          <w:sz w:val="28"/>
          <w:szCs w:val="28"/>
          <w:highlight w:val="none"/>
          <w:lang w:val="en-US" w:eastAsia="zh-CN"/>
        </w:rPr>
        <w:t>8 服务人员要求</w:t>
      </w:r>
      <w:bookmarkEnd w:id="38"/>
      <w:bookmarkEnd w:id="39"/>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现场监测人员：技术人员持证上岗，每次开展监测工作不少于2人。</w:t>
      </w:r>
    </w:p>
    <w:p>
      <w:pPr>
        <w:keepNext w:val="0"/>
        <w:keepLines w:val="0"/>
        <w:pageBreakBefore w:val="0"/>
        <w:widowControl w:val="0"/>
        <w:numPr>
          <w:ilvl w:val="0"/>
          <w:numId w:val="0"/>
        </w:numPr>
        <w:kinsoku/>
        <w:wordWrap/>
        <w:overflowPunct/>
        <w:topLinePunct w:val="0"/>
        <w:autoSpaceDE/>
        <w:autoSpaceDN/>
        <w:bidi w:val="0"/>
        <w:adjustRightInd w:val="0"/>
        <w:snapToGrid w:val="0"/>
        <w:spacing w:line="348" w:lineRule="auto"/>
        <w:ind w:firstLine="560" w:firstLineChars="200"/>
        <w:jc w:val="both"/>
        <w:textAlignment w:val="auto"/>
        <w:outlineLvl w:val="0"/>
        <w:rPr>
          <w:rFonts w:hint="eastAsia" w:ascii="黑体" w:hAnsi="黑体" w:eastAsia="黑体" w:cs="黑体"/>
          <w:b w:val="0"/>
          <w:bCs/>
          <w:color w:val="auto"/>
          <w:sz w:val="28"/>
          <w:szCs w:val="28"/>
          <w:highlight w:val="none"/>
          <w:lang w:val="en-US" w:eastAsia="zh-CN"/>
        </w:rPr>
      </w:pPr>
      <w:bookmarkStart w:id="40" w:name="_Toc30883"/>
      <w:bookmarkStart w:id="41" w:name="_Toc30200"/>
      <w:bookmarkStart w:id="42" w:name="_Toc697605208"/>
      <w:r>
        <w:rPr>
          <w:rFonts w:hint="eastAsia" w:ascii="黑体" w:hAnsi="黑体" w:eastAsia="黑体" w:cs="黑体"/>
          <w:b w:val="0"/>
          <w:bCs/>
          <w:color w:val="auto"/>
          <w:sz w:val="28"/>
          <w:szCs w:val="28"/>
          <w:highlight w:val="none"/>
          <w:lang w:val="en-US" w:eastAsia="zh-CN"/>
        </w:rPr>
        <w:t>9 服务衔接与要求</w:t>
      </w:r>
      <w:bookmarkEnd w:id="40"/>
      <w:bookmarkEnd w:id="41"/>
      <w:bookmarkEnd w:id="42"/>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bookmarkStart w:id="43" w:name="_Toc17239"/>
      <w:r>
        <w:rPr>
          <w:rFonts w:hint="eastAsia" w:ascii="宋体" w:hAnsi="宋体" w:eastAsia="宋体" w:cs="宋体"/>
          <w:color w:val="auto"/>
          <w:sz w:val="28"/>
          <w:szCs w:val="28"/>
          <w:highlight w:val="none"/>
          <w:lang w:val="en-US" w:eastAsia="zh-CN"/>
        </w:rPr>
        <w:t>中标单位接到中标通知后，应及时与招标方了解相关项目情况，根据项目要求做好检测方案提交与招标方审核。</w:t>
      </w:r>
    </w:p>
    <w:p>
      <w:pPr>
        <w:keepNext w:val="0"/>
        <w:keepLines w:val="0"/>
        <w:pageBreakBefore w:val="0"/>
        <w:widowControl w:val="0"/>
        <w:numPr>
          <w:ilvl w:val="0"/>
          <w:numId w:val="0"/>
        </w:numPr>
        <w:kinsoku/>
        <w:wordWrap/>
        <w:overflowPunct/>
        <w:topLinePunct w:val="0"/>
        <w:autoSpaceDE/>
        <w:autoSpaceDN/>
        <w:bidi w:val="0"/>
        <w:adjustRightInd w:val="0"/>
        <w:snapToGrid w:val="0"/>
        <w:spacing w:line="348" w:lineRule="auto"/>
        <w:ind w:firstLine="560" w:firstLineChars="200"/>
        <w:jc w:val="both"/>
        <w:textAlignment w:val="auto"/>
        <w:outlineLvl w:val="0"/>
        <w:rPr>
          <w:rFonts w:hint="eastAsia" w:ascii="黑体" w:hAnsi="黑体" w:eastAsia="黑体" w:cs="黑体"/>
          <w:b w:val="0"/>
          <w:bCs/>
          <w:color w:val="auto"/>
          <w:sz w:val="28"/>
          <w:szCs w:val="28"/>
          <w:highlight w:val="none"/>
          <w:lang w:val="en-US" w:eastAsia="zh-CN"/>
        </w:rPr>
      </w:pPr>
      <w:bookmarkStart w:id="44" w:name="_Toc1128321572"/>
      <w:bookmarkStart w:id="45" w:name="_Toc9013"/>
      <w:r>
        <w:rPr>
          <w:rFonts w:hint="eastAsia" w:ascii="黑体" w:hAnsi="黑体" w:eastAsia="黑体" w:cs="黑体"/>
          <w:b w:val="0"/>
          <w:bCs/>
          <w:color w:val="auto"/>
          <w:sz w:val="28"/>
          <w:szCs w:val="28"/>
          <w:highlight w:val="none"/>
          <w:lang w:val="en-US" w:eastAsia="zh-CN"/>
        </w:rPr>
        <w:t xml:space="preserve">10 </w:t>
      </w:r>
      <w:bookmarkEnd w:id="43"/>
      <w:bookmarkEnd w:id="44"/>
      <w:bookmarkEnd w:id="45"/>
      <w:r>
        <w:rPr>
          <w:rFonts w:hint="eastAsia" w:ascii="黑体" w:hAnsi="黑体" w:eastAsia="黑体" w:cs="黑体"/>
          <w:b w:val="0"/>
          <w:bCs/>
          <w:color w:val="auto"/>
          <w:sz w:val="28"/>
          <w:szCs w:val="28"/>
          <w:highlight w:val="none"/>
          <w:lang w:val="en-US" w:eastAsia="zh-CN"/>
        </w:rPr>
        <w:t>其他</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10.1投标方出具有效的监测报告作为合同服务费用支付的依据。监测工作每年12月验收，南宁局根据监测内容（监测成果、监测记录）等组织验收，监测报告资料不齐全的，验收不通过，投标方应按照南宁局验收情况进行整改，直至验收合格为止。</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10.2如因投标方合同履约过程中管理不善或失误，给招标方造成较大不良影响、重大安全问题或重大经济损失，招标方有权终止合同并由投标方承担相应的赔偿责任。</w:t>
      </w:r>
    </w:p>
    <w:sectPr>
      <w:headerReference r:id="rId12" w:type="default"/>
      <w:footerReference r:id="rId13" w:type="default"/>
      <w:pgSz w:w="11906" w:h="16838"/>
      <w:pgMar w:top="1440" w:right="1803" w:bottom="1440" w:left="1803" w:header="851" w:footer="992" w:gutter="0"/>
      <w:pgNumType w:fmt="decimal" w:start="1"/>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方正书宋简体">
    <w:altName w:val="宋体"/>
    <w:panose1 w:val="00000000000000000000"/>
    <w:charset w:val="86"/>
    <w:family w:val="auto"/>
    <w:pitch w:val="default"/>
    <w:sig w:usb0="00000000" w:usb1="00000000" w:usb2="00000010" w:usb3="00000000" w:csb0="00040000"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Trebuchet MS">
    <w:panose1 w:val="020B0603020202020204"/>
    <w:charset w:val="00"/>
    <w:family w:val="swiss"/>
    <w:pitch w:val="default"/>
    <w:sig w:usb0="00000287" w:usb1="00000000" w:usb2="00000000" w:usb3="00000000" w:csb0="2000009F" w:csb1="00000000"/>
  </w:font>
  <w:font w:name="方正仿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7"/>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5"/>
      </w:rPr>
    </w:pPr>
    <w:r>
      <w:fldChar w:fldCharType="begin"/>
    </w:r>
    <w:r>
      <w:rPr>
        <w:rStyle w:val="15"/>
      </w:rPr>
      <w:instrText xml:space="preserve">PAGE  </w:instrText>
    </w:r>
    <w:r>
      <w:fldChar w:fldCharType="end"/>
    </w:r>
  </w:p>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ind w:right="360"/>
      <w:jc w:val="center"/>
      <w:rPr>
        <w:rStyle w:val="15"/>
        <w:rFonts w:ascii="方正仿宋_GBK" w:hAnsi="Calibri" w:eastAsia="方正仿宋_GBK" w:cs="Times New Roman"/>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ind w:right="360"/>
      <w:jc w:val="center"/>
      <w:rPr>
        <w:rStyle w:val="15"/>
        <w:rFonts w:ascii="方正仿宋_GBK" w:hAnsi="Calibri" w:eastAsia="方正仿宋_GBK" w:cs="Times New Roman"/>
        <w:szCs w:val="18"/>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ind w:right="360"/>
      <w:jc w:val="center"/>
      <w:rPr>
        <w:rStyle w:val="15"/>
        <w:rFonts w:ascii="方正仿宋_GBK" w:hAnsi="Calibri" w:eastAsia="方正仿宋_GBK" w:cs="Times New Roman"/>
        <w:szCs w:val="18"/>
      </w:rPr>
    </w:pPr>
    <w:r>
      <w:rPr>
        <w:rFonts w:ascii="Calibri" w:hAnsi="Calibri" w:eastAsia="宋体" w:cs="Times New Roman"/>
        <w:sz w:val="18"/>
        <w:szCs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jc w:val="left"/>
                            <w:rPr>
                              <w:rStyle w:val="15"/>
                              <w:rFonts w:ascii="Calibri" w:hAnsi="Calibri" w:eastAsia="宋体" w:cs="Times New Roman"/>
                              <w:sz w:val="18"/>
                              <w:szCs w:val="18"/>
                            </w:rPr>
                          </w:pPr>
                          <w:r>
                            <w:rPr>
                              <w:rFonts w:ascii="Calibri" w:hAnsi="Calibri" w:eastAsia="宋体" w:cs="Times New Roman"/>
                              <w:sz w:val="18"/>
                              <w:szCs w:val="18"/>
                            </w:rPr>
                            <w:fldChar w:fldCharType="begin"/>
                          </w:r>
                          <w:r>
                            <w:rPr>
                              <w:rStyle w:val="15"/>
                              <w:rFonts w:ascii="Calibri" w:hAnsi="Calibri" w:eastAsia="宋体" w:cs="Times New Roman"/>
                              <w:sz w:val="18"/>
                              <w:szCs w:val="18"/>
                            </w:rPr>
                            <w:instrText xml:space="preserve">PAGE  </w:instrText>
                          </w:r>
                          <w:r>
                            <w:rPr>
                              <w:rFonts w:ascii="Calibri" w:hAnsi="Calibri" w:eastAsia="宋体" w:cs="Times New Roman"/>
                              <w:sz w:val="18"/>
                              <w:szCs w:val="18"/>
                            </w:rPr>
                            <w:fldChar w:fldCharType="separate"/>
                          </w:r>
                          <w:r>
                            <w:rPr>
                              <w:rStyle w:val="15"/>
                              <w:rFonts w:ascii="Calibri" w:hAnsi="Calibri" w:eastAsia="宋体" w:cs="Times New Roman"/>
                              <w:sz w:val="18"/>
                              <w:szCs w:val="18"/>
                            </w:rPr>
                            <w:t>2</w:t>
                          </w:r>
                          <w:r>
                            <w:rPr>
                              <w:rFonts w:ascii="Calibri" w:hAnsi="Calibri" w:eastAsia="宋体" w:cs="Times New Roman"/>
                              <w:sz w:val="18"/>
                              <w:szCs w:val="18"/>
                            </w:rPr>
                            <w:fldChar w:fldCharType="end"/>
                          </w:r>
                        </w:p>
                        <w:p>
                          <w:pPr>
                            <w:rPr>
                              <w:rFonts w:ascii="Calibri" w:hAnsi="Calibri" w:eastAsia="宋体" w:cs="Times New Roman"/>
                              <w:szCs w:val="24"/>
                            </w:rPr>
                          </w:pP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JFlysIBAACN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iRZcrCAQAAjQMAAA4AAAAAAAAAAQAgAAAAHgEAAGRycy9lMm9Eb2MueG1sUEsF&#10;BgAAAAAGAAYAWQEAAFIFAAAAAA==&#10;">
              <v:fill on="f" focussize="0,0"/>
              <v:stroke on="f"/>
              <v:imagedata o:title=""/>
              <o:lock v:ext="edit" aspectratio="f"/>
              <v:textbox inset="0mm,0mm,0mm,0mm" style="mso-fit-shape-to-text:t;">
                <w:txbxContent>
                  <w:p>
                    <w:pPr>
                      <w:snapToGrid w:val="0"/>
                      <w:jc w:val="left"/>
                      <w:rPr>
                        <w:rStyle w:val="15"/>
                        <w:rFonts w:ascii="Calibri" w:hAnsi="Calibri" w:eastAsia="宋体" w:cs="Times New Roman"/>
                        <w:sz w:val="18"/>
                        <w:szCs w:val="18"/>
                      </w:rPr>
                    </w:pPr>
                    <w:r>
                      <w:rPr>
                        <w:rFonts w:ascii="Calibri" w:hAnsi="Calibri" w:eastAsia="宋体" w:cs="Times New Roman"/>
                        <w:sz w:val="18"/>
                        <w:szCs w:val="18"/>
                      </w:rPr>
                      <w:fldChar w:fldCharType="begin"/>
                    </w:r>
                    <w:r>
                      <w:rPr>
                        <w:rStyle w:val="15"/>
                        <w:rFonts w:ascii="Calibri" w:hAnsi="Calibri" w:eastAsia="宋体" w:cs="Times New Roman"/>
                        <w:sz w:val="18"/>
                        <w:szCs w:val="18"/>
                      </w:rPr>
                      <w:instrText xml:space="preserve">PAGE  </w:instrText>
                    </w:r>
                    <w:r>
                      <w:rPr>
                        <w:rFonts w:ascii="Calibri" w:hAnsi="Calibri" w:eastAsia="宋体" w:cs="Times New Roman"/>
                        <w:sz w:val="18"/>
                        <w:szCs w:val="18"/>
                      </w:rPr>
                      <w:fldChar w:fldCharType="separate"/>
                    </w:r>
                    <w:r>
                      <w:rPr>
                        <w:rStyle w:val="15"/>
                        <w:rFonts w:ascii="Calibri" w:hAnsi="Calibri" w:eastAsia="宋体" w:cs="Times New Roman"/>
                        <w:sz w:val="18"/>
                        <w:szCs w:val="18"/>
                      </w:rPr>
                      <w:t>2</w:t>
                    </w:r>
                    <w:r>
                      <w:rPr>
                        <w:rFonts w:ascii="Calibri" w:hAnsi="Calibri" w:eastAsia="宋体" w:cs="Times New Roman"/>
                        <w:sz w:val="18"/>
                        <w:szCs w:val="18"/>
                      </w:rPr>
                      <w:fldChar w:fldCharType="end"/>
                    </w:r>
                  </w:p>
                  <w:p>
                    <w:pPr>
                      <w:rPr>
                        <w:rFonts w:ascii="Calibri" w:hAnsi="Calibri" w:eastAsia="宋体" w:cs="Times New Roman"/>
                        <w:szCs w:val="24"/>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1"/>
      </w:pBdr>
      <w:snapToGrid w:val="0"/>
      <w:rPr>
        <w:rFonts w:ascii="Calibri" w:hAnsi="Calibri" w:eastAsia="宋体" w:cs="Times New Roman"/>
        <w:sz w:val="18"/>
        <w:szCs w:val="1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1"/>
      </w:pBdr>
      <w:snapToGrid w:val="0"/>
      <w:rPr>
        <w:rFonts w:ascii="Calibri" w:hAnsi="Calibri" w:eastAsia="宋体" w:cs="Times New Roman"/>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MyMzYyMjE4OGEyYmU0NGU4OWM3NGNlZDgzMmNmZWUifQ=="/>
  </w:docVars>
  <w:rsids>
    <w:rsidRoot w:val="68FB06A1"/>
    <w:rsid w:val="02764F46"/>
    <w:rsid w:val="062D0413"/>
    <w:rsid w:val="07E437E0"/>
    <w:rsid w:val="0A227EC1"/>
    <w:rsid w:val="0BB342DB"/>
    <w:rsid w:val="0BD30473"/>
    <w:rsid w:val="0CCF6888"/>
    <w:rsid w:val="10A976E1"/>
    <w:rsid w:val="113F0BFC"/>
    <w:rsid w:val="12F33DA3"/>
    <w:rsid w:val="13697265"/>
    <w:rsid w:val="144A465D"/>
    <w:rsid w:val="15872E11"/>
    <w:rsid w:val="161D6A2D"/>
    <w:rsid w:val="213C5E63"/>
    <w:rsid w:val="23356E77"/>
    <w:rsid w:val="248E0DE5"/>
    <w:rsid w:val="26EB4B0A"/>
    <w:rsid w:val="2A01093B"/>
    <w:rsid w:val="2F657B5A"/>
    <w:rsid w:val="32A43AB4"/>
    <w:rsid w:val="3AFB444F"/>
    <w:rsid w:val="3C8666B4"/>
    <w:rsid w:val="3F3423F7"/>
    <w:rsid w:val="407C15D8"/>
    <w:rsid w:val="48267327"/>
    <w:rsid w:val="48891E43"/>
    <w:rsid w:val="4BB864C9"/>
    <w:rsid w:val="4E456916"/>
    <w:rsid w:val="55EB40C3"/>
    <w:rsid w:val="58241804"/>
    <w:rsid w:val="58CA5CE1"/>
    <w:rsid w:val="5BE45D53"/>
    <w:rsid w:val="5DE3742D"/>
    <w:rsid w:val="5FEC93C8"/>
    <w:rsid w:val="68FB06A1"/>
    <w:rsid w:val="6A482430"/>
    <w:rsid w:val="6C737CFB"/>
    <w:rsid w:val="6ECF74A6"/>
    <w:rsid w:val="70117F4C"/>
    <w:rsid w:val="71435060"/>
    <w:rsid w:val="767143B4"/>
    <w:rsid w:val="77572958"/>
    <w:rsid w:val="7A0433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tabs>
        <w:tab w:val="left" w:pos="0"/>
      </w:tabs>
    </w:pPr>
    <w:rPr>
      <w:rFonts w:ascii="Times New Roman" w:hAnsi="Times New Roman" w:eastAsia="宋体" w:cs="Times New Roman"/>
      <w:sz w:val="26"/>
      <w:szCs w:val="20"/>
    </w:rPr>
  </w:style>
  <w:style w:type="paragraph" w:styleId="3">
    <w:name w:val="Title"/>
    <w:basedOn w:val="1"/>
    <w:next w:val="1"/>
    <w:qFormat/>
    <w:uiPriority w:val="0"/>
    <w:pPr>
      <w:tabs>
        <w:tab w:val="left" w:pos="0"/>
      </w:tabs>
      <w:spacing w:before="240" w:after="60" w:line="60" w:lineRule="auto"/>
      <w:jc w:val="center"/>
      <w:outlineLvl w:val="0"/>
    </w:pPr>
    <w:rPr>
      <w:rFonts w:ascii="华文中宋" w:hAnsi="华文中宋" w:eastAsia="华文中宋"/>
      <w:b/>
      <w:kern w:val="0"/>
      <w:sz w:val="48"/>
      <w:szCs w:val="48"/>
    </w:rPr>
  </w:style>
  <w:style w:type="paragraph" w:styleId="4">
    <w:name w:val="Normal Indent"/>
    <w:basedOn w:val="1"/>
    <w:next w:val="1"/>
    <w:qFormat/>
    <w:uiPriority w:val="0"/>
    <w:pPr>
      <w:ind w:firstLine="420" w:firstLineChars="200"/>
    </w:pPr>
  </w:style>
  <w:style w:type="paragraph" w:styleId="5">
    <w:name w:val="annotation text"/>
    <w:basedOn w:val="1"/>
    <w:uiPriority w:val="0"/>
    <w:pPr>
      <w:jc w:val="left"/>
    </w:pPr>
  </w:style>
  <w:style w:type="paragraph" w:styleId="6">
    <w:name w:val="Body Text Indent"/>
    <w:basedOn w:val="1"/>
    <w:qFormat/>
    <w:uiPriority w:val="0"/>
    <w:pPr>
      <w:spacing w:after="120" w:afterLines="0" w:afterAutospacing="0"/>
      <w:ind w:left="420"/>
    </w:pPr>
    <w:rPr>
      <w:kern w:val="2"/>
      <w:sz w:val="21"/>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qFormat/>
    <w:uiPriority w:val="39"/>
    <w:pPr>
      <w:widowControl w:val="0"/>
      <w:tabs>
        <w:tab w:val="right" w:leader="dot" w:pos="9540"/>
      </w:tabs>
      <w:spacing w:before="120" w:after="120" w:line="360" w:lineRule="auto"/>
    </w:pPr>
    <w:rPr>
      <w:rFonts w:ascii="宋体" w:hAnsi="宋体" w:eastAsia="宋体" w:cs="Times New Roman"/>
      <w:bCs/>
      <w:caps/>
      <w:kern w:val="2"/>
      <w:sz w:val="24"/>
      <w:szCs w:val="24"/>
      <w:lang w:val="en-US" w:eastAsia="zh-CN" w:bidi="ar-SA"/>
    </w:rPr>
  </w:style>
  <w:style w:type="paragraph" w:styleId="10">
    <w:name w:val="toc 2"/>
    <w:basedOn w:val="1"/>
    <w:next w:val="1"/>
    <w:qFormat/>
    <w:uiPriority w:val="39"/>
    <w:pPr>
      <w:snapToGrid w:val="0"/>
      <w:ind w:firstLine="200" w:firstLineChars="200"/>
    </w:pPr>
  </w:style>
  <w:style w:type="paragraph" w:styleId="11">
    <w:name w:val="Body Text First Indent 2"/>
    <w:basedOn w:val="6"/>
    <w:qFormat/>
    <w:uiPriority w:val="0"/>
    <w:pPr>
      <w:ind w:firstLine="420"/>
    </w:pPr>
    <w:rPr>
      <w:kern w:val="2"/>
      <w:sz w:val="21"/>
    </w:rPr>
  </w:style>
  <w:style w:type="table" w:styleId="13">
    <w:name w:val="Table Grid"/>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page number"/>
    <w:basedOn w:val="14"/>
    <w:qFormat/>
    <w:uiPriority w:val="0"/>
  </w:style>
  <w:style w:type="paragraph" w:customStyle="1" w:styleId="16">
    <w:name w:val="首行缩进"/>
    <w:basedOn w:val="1"/>
    <w:qFormat/>
    <w:uiPriority w:val="0"/>
    <w:pPr>
      <w:spacing w:line="300" w:lineRule="auto"/>
      <w:ind w:firstLine="420" w:firstLineChars="200"/>
    </w:pPr>
    <w:rPr>
      <w:rFonts w:eastAsia="方正书宋简体"/>
    </w:rPr>
  </w:style>
  <w:style w:type="paragraph" w:customStyle="1" w:styleId="17">
    <w:name w:val="_Style 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8">
    <w:name w:val="p0"/>
    <w:basedOn w:val="1"/>
    <w:qFormat/>
    <w:uiPriority w:val="0"/>
    <w:pPr>
      <w:widowControl/>
      <w:ind w:left="851"/>
    </w:pPr>
    <w:rPr>
      <w:rFonts w:ascii="Arial" w:hAnsi="Arial" w:cs="Arial"/>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2087</Words>
  <Characters>2485</Characters>
  <Lines>0</Lines>
  <Paragraphs>0</Paragraphs>
  <TotalTime>2</TotalTime>
  <ScaleCrop>false</ScaleCrop>
  <LinksUpToDate>false</LinksUpToDate>
  <CharactersWithSpaces>2581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2025-11-20T18:47:00Z</dcterms:created>
  <dc:creator>彭圣乐</dc:creator>
  <cp:lastModifiedBy>彭圣乐</cp:lastModifiedBy>
  <dcterms:modified xsi:type="dcterms:W3CDTF">2026-03-05T03:12:25Z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2679C1AF27EF445DADE48D3B659F5A05</vt:lpwstr>
  </property>
  <property fmtid="{D5CDD505-2E9C-101B-9397-08002B2CF9AE}" pid="4" name="KSOTemplateDocerSaveRecord">
    <vt:lpwstr>eyJoZGlkIjoiMWQ4NTkwNmFiY2M5MGQzMzUyYmZkYTI0Zjg4Nzk3MmQiLCJ1c2VySWQiOiIxNTE4MTUzMjQ3In0=</vt:lpwstr>
  </property>
</Properties>
</file>