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center"/>
        <w:rPr>
          <w:rFonts w:hint="eastAsia" w:ascii="仿宋_GB2312" w:eastAsia="仿宋_GB2312"/>
          <w:b/>
          <w:bCs w:val="0"/>
          <w:sz w:val="32"/>
          <w:szCs w:val="32"/>
          <w:highlight w:val="none"/>
        </w:rPr>
      </w:pPr>
    </w:p>
    <w:p>
      <w:pPr>
        <w:spacing w:line="560" w:lineRule="exact"/>
        <w:jc w:val="center"/>
        <w:rPr>
          <w:rFonts w:hint="eastAsia" w:ascii="仿宋_GB2312" w:eastAsia="仿宋_GB2312"/>
          <w:b/>
          <w:bCs w:val="0"/>
          <w:sz w:val="32"/>
          <w:szCs w:val="32"/>
          <w:highlight w:val="none"/>
        </w:rPr>
      </w:pPr>
    </w:p>
    <w:p>
      <w:pPr>
        <w:spacing w:line="560" w:lineRule="exact"/>
        <w:jc w:val="center"/>
        <w:rPr>
          <w:rFonts w:hint="eastAsia" w:ascii="仿宋_GB2312" w:eastAsia="仿宋_GB2312"/>
          <w:b/>
          <w:bCs w:val="0"/>
          <w:sz w:val="32"/>
          <w:szCs w:val="32"/>
          <w:highlight w:val="none"/>
        </w:rPr>
      </w:pPr>
    </w:p>
    <w:p>
      <w:pPr>
        <w:spacing w:line="560" w:lineRule="exact"/>
        <w:jc w:val="center"/>
        <w:rPr>
          <w:rFonts w:hint="eastAsia" w:ascii="仿宋_GB2312" w:eastAsia="仿宋_GB2312"/>
          <w:b/>
          <w:bCs w:val="0"/>
          <w:sz w:val="32"/>
          <w:szCs w:val="32"/>
          <w:highlight w:val="none"/>
        </w:rPr>
      </w:pPr>
    </w:p>
    <w:p>
      <w:pPr>
        <w:pStyle w:val="12"/>
        <w:jc w:val="center"/>
        <w:rPr>
          <w:rFonts w:ascii="宋体" w:hAnsi="宋体"/>
          <w:b/>
          <w:bCs w:val="0"/>
          <w:sz w:val="28"/>
          <w:szCs w:val="24"/>
          <w:highlight w:val="none"/>
        </w:rPr>
      </w:pPr>
      <w:r>
        <w:rPr>
          <w:rFonts w:hint="eastAsia" w:ascii="仿宋_GB2312" w:eastAsia="仿宋_GB2312"/>
          <w:b/>
          <w:bCs w:val="0"/>
          <w:sz w:val="36"/>
          <w:szCs w:val="36"/>
          <w:highlight w:val="none"/>
        </w:rPr>
        <w:t>数字电网公司2026年产品碳足迹核算、绿色物流评价等专项认证评价零星采购项目</w:t>
      </w:r>
    </w:p>
    <w:p>
      <w:pPr>
        <w:spacing w:line="560" w:lineRule="exact"/>
        <w:jc w:val="center"/>
        <w:rPr>
          <w:rFonts w:hint="eastAsia" w:ascii="仿宋_GB2312" w:eastAsia="仿宋_GB2312"/>
          <w:b/>
          <w:bCs w:val="0"/>
          <w:sz w:val="32"/>
          <w:szCs w:val="32"/>
          <w:highlight w:val="none"/>
          <w:lang w:eastAsia="zh-CN"/>
        </w:rPr>
      </w:pPr>
      <w:r>
        <w:rPr>
          <w:rFonts w:hint="eastAsia" w:ascii="仿宋_GB2312" w:eastAsia="仿宋_GB2312"/>
          <w:b/>
          <w:bCs w:val="0"/>
          <w:sz w:val="36"/>
          <w:szCs w:val="36"/>
          <w:highlight w:val="none"/>
          <w:lang w:eastAsia="zh-CN"/>
        </w:rPr>
        <w:t>技术规范书</w:t>
      </w:r>
    </w:p>
    <w:p>
      <w:pPr>
        <w:spacing w:line="560" w:lineRule="exact"/>
        <w:jc w:val="center"/>
        <w:rPr>
          <w:rFonts w:ascii="宋体" w:hAnsi="宋体"/>
          <w:b/>
          <w:sz w:val="24"/>
          <w:highlight w:val="none"/>
        </w:rPr>
      </w:pPr>
    </w:p>
    <w:p>
      <w:pPr>
        <w:spacing w:line="560" w:lineRule="exact"/>
        <w:jc w:val="center"/>
        <w:rPr>
          <w:rFonts w:ascii="宋体" w:hAnsi="宋体"/>
          <w:b/>
          <w:sz w:val="24"/>
          <w:highlight w:val="none"/>
        </w:rPr>
      </w:pPr>
    </w:p>
    <w:p>
      <w:pPr>
        <w:spacing w:line="560" w:lineRule="exact"/>
        <w:jc w:val="center"/>
        <w:rPr>
          <w:rFonts w:ascii="宋体" w:hAnsi="宋体"/>
          <w:b/>
          <w:sz w:val="24"/>
          <w:highlight w:val="none"/>
        </w:rPr>
      </w:pPr>
    </w:p>
    <w:p>
      <w:pPr>
        <w:spacing w:line="560" w:lineRule="exact"/>
        <w:jc w:val="center"/>
        <w:rPr>
          <w:rFonts w:ascii="宋体" w:hAnsi="宋体"/>
          <w:b/>
          <w:sz w:val="24"/>
          <w:highlight w:val="none"/>
        </w:rPr>
      </w:pPr>
    </w:p>
    <w:p>
      <w:pPr>
        <w:spacing w:line="560" w:lineRule="exact"/>
        <w:jc w:val="center"/>
        <w:rPr>
          <w:rFonts w:ascii="宋体" w:hAnsi="宋体"/>
          <w:b/>
          <w:sz w:val="24"/>
          <w:highlight w:val="none"/>
        </w:rPr>
      </w:pPr>
    </w:p>
    <w:p>
      <w:pPr>
        <w:spacing w:line="560" w:lineRule="exact"/>
        <w:jc w:val="center"/>
        <w:rPr>
          <w:rFonts w:ascii="宋体" w:hAnsi="宋体"/>
          <w:sz w:val="24"/>
          <w:highlight w:val="none"/>
          <w:u w:val="single"/>
        </w:rPr>
      </w:pPr>
    </w:p>
    <w:p>
      <w:pPr>
        <w:spacing w:line="560" w:lineRule="exact"/>
        <w:jc w:val="center"/>
        <w:rPr>
          <w:rFonts w:ascii="宋体" w:hAnsi="宋体"/>
          <w:sz w:val="24"/>
          <w:highlight w:val="none"/>
          <w:u w:val="single"/>
        </w:rPr>
      </w:pPr>
    </w:p>
    <w:p>
      <w:pPr>
        <w:spacing w:line="560" w:lineRule="exact"/>
        <w:jc w:val="center"/>
        <w:rPr>
          <w:rFonts w:ascii="宋体" w:hAnsi="宋体"/>
          <w:sz w:val="24"/>
          <w:highlight w:val="none"/>
          <w:u w:val="single"/>
        </w:rPr>
      </w:pPr>
    </w:p>
    <w:p>
      <w:pPr>
        <w:spacing w:line="560" w:lineRule="exact"/>
        <w:jc w:val="center"/>
        <w:rPr>
          <w:rFonts w:ascii="宋体" w:hAnsi="宋体"/>
          <w:sz w:val="24"/>
          <w:highlight w:val="none"/>
          <w:u w:val="single"/>
        </w:rPr>
      </w:pPr>
    </w:p>
    <w:p>
      <w:pPr>
        <w:spacing w:line="560" w:lineRule="exact"/>
        <w:jc w:val="center"/>
        <w:rPr>
          <w:rFonts w:ascii="宋体" w:hAnsi="宋体"/>
          <w:sz w:val="24"/>
          <w:highlight w:val="none"/>
          <w:u w:val="single"/>
        </w:rPr>
      </w:pPr>
    </w:p>
    <w:p>
      <w:pPr>
        <w:spacing w:line="560" w:lineRule="exact"/>
        <w:jc w:val="center"/>
        <w:rPr>
          <w:rFonts w:ascii="宋体" w:hAnsi="宋体"/>
          <w:sz w:val="24"/>
          <w:highlight w:val="none"/>
          <w:u w:val="single"/>
        </w:rPr>
      </w:pPr>
    </w:p>
    <w:p>
      <w:pPr>
        <w:spacing w:line="560" w:lineRule="exact"/>
        <w:jc w:val="center"/>
        <w:rPr>
          <w:rFonts w:ascii="宋体" w:hAnsi="宋体"/>
          <w:sz w:val="24"/>
          <w:highlight w:val="none"/>
          <w:u w:val="single"/>
        </w:rPr>
      </w:pPr>
    </w:p>
    <w:p>
      <w:pPr>
        <w:spacing w:line="560" w:lineRule="exact"/>
        <w:jc w:val="center"/>
        <w:rPr>
          <w:rFonts w:ascii="宋体" w:hAnsi="宋体"/>
          <w:sz w:val="24"/>
          <w:highlight w:val="none"/>
          <w:u w:val="single"/>
        </w:rPr>
      </w:pPr>
    </w:p>
    <w:p>
      <w:pPr>
        <w:spacing w:line="560" w:lineRule="exact"/>
        <w:jc w:val="center"/>
        <w:rPr>
          <w:rFonts w:hint="eastAsia" w:ascii="仿宋_GB2312" w:eastAsia="仿宋_GB2312"/>
          <w:bCs/>
          <w:sz w:val="32"/>
          <w:szCs w:val="32"/>
          <w:highlight w:val="none"/>
        </w:rPr>
      </w:pPr>
      <w:r>
        <w:rPr>
          <w:rFonts w:hint="eastAsia" w:ascii="仿宋_GB2312" w:eastAsia="仿宋_GB2312"/>
          <w:bCs/>
          <w:sz w:val="32"/>
          <w:szCs w:val="32"/>
          <w:highlight w:val="none"/>
        </w:rPr>
        <w:t>单位名称：南方电网数字电网科技（广东）有限公司</w:t>
      </w:r>
    </w:p>
    <w:p>
      <w:pPr>
        <w:bidi w:val="0"/>
        <w:jc w:val="center"/>
        <w:rPr>
          <w:rFonts w:hint="eastAsia" w:ascii="仿宋_GB2312" w:eastAsia="仿宋_GB2312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_GB2312" w:eastAsia="仿宋_GB2312"/>
          <w:bCs/>
          <w:sz w:val="32"/>
          <w:szCs w:val="32"/>
          <w:highlight w:val="none"/>
          <w:lang w:val="en-US" w:eastAsia="zh-CN"/>
        </w:rPr>
        <w:t>2026年7月</w:t>
      </w:r>
    </w:p>
    <w:p>
      <w:pPr>
        <w:bidi w:val="0"/>
        <w:jc w:val="center"/>
        <w:rPr>
          <w:rFonts w:hint="eastAsia" w:ascii="仿宋_GB2312" w:eastAsia="仿宋_GB2312"/>
          <w:bCs/>
          <w:sz w:val="32"/>
          <w:szCs w:val="32"/>
          <w:highlight w:val="none"/>
          <w:lang w:val="en-US" w:eastAsia="zh-CN"/>
        </w:rPr>
      </w:pPr>
    </w:p>
    <w:p>
      <w:pPr>
        <w:spacing w:line="560" w:lineRule="exact"/>
        <w:jc w:val="center"/>
        <w:rPr>
          <w:rFonts w:hint="eastAsia" w:ascii="方正仿宋_GB2312" w:hAnsi="方正仿宋_GB2312" w:eastAsia="方正仿宋_GB2312" w:cs="方正仿宋_GB2312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32"/>
          <w:szCs w:val="32"/>
          <w:highlight w:val="none"/>
          <w:lang w:val="en-US" w:eastAsia="zh-CN"/>
        </w:rPr>
        <w:t>数字电网公司2026年产品碳足迹核算、绿色物流评价等专项认证评价零星采购项目</w:t>
      </w:r>
    </w:p>
    <w:p>
      <w:pPr>
        <w:spacing w:line="560" w:lineRule="exact"/>
        <w:jc w:val="center"/>
        <w:rPr>
          <w:rFonts w:hint="eastAsia" w:ascii="方正仿宋_GB2312" w:hAnsi="方正仿宋_GB2312" w:eastAsia="方正仿宋_GB2312" w:cs="方正仿宋_GB2312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32"/>
          <w:szCs w:val="32"/>
          <w:highlight w:val="none"/>
          <w:lang w:val="en-US" w:eastAsia="zh-CN"/>
        </w:rPr>
        <w:t>技术要求</w:t>
      </w:r>
    </w:p>
    <w:p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  <w:highlight w:val="none"/>
        </w:rPr>
      </w:pPr>
    </w:p>
    <w:p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sz w:val="32"/>
          <w:szCs w:val="32"/>
          <w:highlight w:val="none"/>
        </w:rPr>
        <w:t>一、项目内容</w:t>
      </w:r>
    </w:p>
    <w:p>
      <w:pPr>
        <w:spacing w:line="560" w:lineRule="exact"/>
        <w:ind w:firstLine="640" w:firstLineChars="200"/>
        <w:jc w:val="left"/>
        <w:rPr>
          <w:rFonts w:hint="default" w:ascii="仿宋_GB2312" w:eastAsia="仿宋_GB2312"/>
          <w:bCs/>
          <w:sz w:val="32"/>
          <w:szCs w:val="32"/>
          <w:highlight w:val="none"/>
          <w:lang w:val="en-US"/>
        </w:rPr>
      </w:pPr>
      <w:r>
        <w:rPr>
          <w:rFonts w:hint="eastAsia" w:ascii="仿宋_GB2312" w:eastAsia="仿宋_GB2312"/>
          <w:bCs/>
          <w:sz w:val="32"/>
          <w:szCs w:val="32"/>
          <w:highlight w:val="none"/>
        </w:rPr>
        <w:t>根据</w:t>
      </w:r>
      <w:r>
        <w:rPr>
          <w:rFonts w:hint="eastAsia" w:ascii="仿宋_GB2312" w:eastAsia="仿宋_GB2312"/>
          <w:bCs/>
          <w:sz w:val="32"/>
          <w:szCs w:val="32"/>
          <w:highlight w:val="none"/>
          <w:lang w:val="en-US" w:eastAsia="zh-CN"/>
        </w:rPr>
        <w:t>公司业务需要开展2026 年南方电网数字电网科技（广东）有限公司温室气体盘查报告、绿色制造能力报告、企业绿色物流评价报告、能耗降低报告及部分产品碳足迹核算认证证书及报告相关服务工作。</w:t>
      </w:r>
    </w:p>
    <w:p>
      <w:pPr>
        <w:spacing w:line="560" w:lineRule="exact"/>
        <w:ind w:firstLine="640" w:firstLineChars="200"/>
        <w:rPr>
          <w:rFonts w:hint="eastAsia" w:ascii="黑体" w:hAnsi="黑体" w:eastAsia="黑体" w:cs="黑体"/>
          <w:sz w:val="32"/>
          <w:szCs w:val="32"/>
          <w:highlight w:val="none"/>
          <w:lang w:eastAsia="zh-Hans"/>
        </w:rPr>
      </w:pPr>
      <w:r>
        <w:rPr>
          <w:rFonts w:hint="eastAsia" w:ascii="黑体" w:hAnsi="黑体" w:eastAsia="黑体" w:cs="黑体"/>
          <w:sz w:val="32"/>
          <w:szCs w:val="32"/>
          <w:highlight w:val="none"/>
        </w:rPr>
        <w:t>二、项目要</w:t>
      </w:r>
      <w:r>
        <w:rPr>
          <w:rFonts w:hint="eastAsia" w:ascii="黑体" w:hAnsi="黑体" w:eastAsia="黑体" w:cs="黑体"/>
          <w:sz w:val="32"/>
          <w:szCs w:val="32"/>
          <w:highlight w:val="none"/>
          <w:lang w:eastAsia="zh-Hans"/>
        </w:rPr>
        <w:t>求</w:t>
      </w:r>
    </w:p>
    <w:p>
      <w:pPr>
        <w:spacing w:line="360" w:lineRule="auto"/>
        <w:ind w:firstLine="640" w:firstLineChars="200"/>
        <w:jc w:val="left"/>
        <w:rPr>
          <w:rFonts w:hint="eastAsia" w:ascii="仿宋_GB2312" w:eastAsia="仿宋_GB2312" w:cs="Times New Roman"/>
          <w:bCs/>
          <w:sz w:val="32"/>
          <w:szCs w:val="32"/>
          <w:highlight w:val="none"/>
        </w:rPr>
      </w:pPr>
      <w:r>
        <w:rPr>
          <w:rFonts w:hint="eastAsia" w:ascii="仿宋_GB2312" w:eastAsia="仿宋_GB2312" w:cs="Times New Roman"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eastAsia="仿宋_GB2312" w:cs="Times New Roman"/>
          <w:bCs/>
          <w:sz w:val="32"/>
          <w:szCs w:val="32"/>
          <w:highlight w:val="none"/>
          <w:lang w:val="en-US" w:eastAsia="zh-CN"/>
        </w:rPr>
        <w:t>1</w:t>
      </w:r>
      <w:r>
        <w:rPr>
          <w:rFonts w:hint="eastAsia" w:ascii="仿宋_GB2312" w:eastAsia="仿宋_GB2312" w:cs="Times New Roman"/>
          <w:bCs/>
          <w:sz w:val="32"/>
          <w:szCs w:val="32"/>
          <w:highlight w:val="none"/>
          <w:lang w:eastAsia="zh-CN"/>
        </w:rPr>
        <w:t>）</w:t>
      </w:r>
      <w:r>
        <w:rPr>
          <w:rFonts w:hint="eastAsia" w:ascii="仿宋_GB2312" w:eastAsia="仿宋_GB2312" w:cs="Times New Roman"/>
          <w:bCs/>
          <w:sz w:val="32"/>
          <w:szCs w:val="32"/>
          <w:highlight w:val="none"/>
          <w:lang w:val="en-US" w:eastAsia="zh-CN"/>
        </w:rPr>
        <w:t>供应商</w:t>
      </w:r>
      <w:r>
        <w:rPr>
          <w:rFonts w:hint="eastAsia" w:ascii="仿宋_GB2312" w:eastAsia="仿宋_GB2312" w:cs="Times New Roman"/>
          <w:bCs/>
          <w:sz w:val="32"/>
          <w:szCs w:val="32"/>
          <w:highlight w:val="none"/>
        </w:rPr>
        <w:t>需规范、专业的开展技术服务，精心准备申请、维护材料。</w:t>
      </w:r>
    </w:p>
    <w:p>
      <w:pPr>
        <w:spacing w:line="360" w:lineRule="auto"/>
        <w:ind w:firstLine="640" w:firstLineChars="200"/>
        <w:jc w:val="left"/>
        <w:rPr>
          <w:rFonts w:hint="eastAsia" w:ascii="仿宋_GB2312" w:eastAsia="仿宋_GB2312" w:cs="Times New Roman"/>
          <w:bCs/>
          <w:sz w:val="32"/>
          <w:szCs w:val="32"/>
          <w:highlight w:val="none"/>
        </w:rPr>
      </w:pPr>
      <w:r>
        <w:rPr>
          <w:rFonts w:hint="eastAsia" w:ascii="仿宋_GB2312" w:eastAsia="仿宋_GB2312" w:cs="Times New Roman"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eastAsia="仿宋_GB2312" w:cs="Times New Roman"/>
          <w:bCs/>
          <w:sz w:val="32"/>
          <w:szCs w:val="32"/>
          <w:highlight w:val="none"/>
          <w:lang w:val="en-US" w:eastAsia="zh-CN"/>
        </w:rPr>
        <w:t>2</w:t>
      </w:r>
      <w:r>
        <w:rPr>
          <w:rFonts w:hint="eastAsia" w:ascii="仿宋_GB2312" w:eastAsia="仿宋_GB2312" w:cs="Times New Roman"/>
          <w:bCs/>
          <w:sz w:val="32"/>
          <w:szCs w:val="32"/>
          <w:highlight w:val="none"/>
          <w:lang w:eastAsia="zh-CN"/>
        </w:rPr>
        <w:t>）</w:t>
      </w:r>
      <w:r>
        <w:rPr>
          <w:rFonts w:hint="eastAsia" w:ascii="仿宋_GB2312" w:eastAsia="仿宋_GB2312" w:cs="Times New Roman"/>
          <w:bCs/>
          <w:sz w:val="32"/>
          <w:szCs w:val="32"/>
          <w:highlight w:val="none"/>
          <w:lang w:val="en-US" w:eastAsia="zh-CN"/>
        </w:rPr>
        <w:t>供应商</w:t>
      </w:r>
      <w:r>
        <w:rPr>
          <w:rFonts w:hint="eastAsia" w:ascii="仿宋_GB2312" w:eastAsia="仿宋_GB2312" w:cs="Times New Roman"/>
          <w:bCs/>
          <w:sz w:val="32"/>
          <w:szCs w:val="32"/>
          <w:highlight w:val="none"/>
        </w:rPr>
        <w:t>需精通相关政策规定，组织申请材料，系统退回或需补充材料时，</w:t>
      </w:r>
      <w:r>
        <w:rPr>
          <w:rFonts w:hint="eastAsia" w:ascii="仿宋_GB2312" w:eastAsia="仿宋_GB2312" w:cs="Times New Roman"/>
          <w:bCs/>
          <w:sz w:val="32"/>
          <w:szCs w:val="32"/>
          <w:highlight w:val="none"/>
          <w:lang w:val="en-US" w:eastAsia="zh-CN"/>
        </w:rPr>
        <w:t>供应商</w:t>
      </w:r>
      <w:r>
        <w:rPr>
          <w:rFonts w:hint="eastAsia" w:ascii="仿宋_GB2312" w:eastAsia="仿宋_GB2312" w:cs="Times New Roman"/>
          <w:bCs/>
          <w:sz w:val="32"/>
          <w:szCs w:val="32"/>
          <w:highlight w:val="none"/>
        </w:rPr>
        <w:t>应及时完成跟进直至满足要求。</w:t>
      </w:r>
    </w:p>
    <w:p>
      <w:pPr>
        <w:spacing w:line="360" w:lineRule="auto"/>
        <w:ind w:firstLine="640" w:firstLineChars="200"/>
        <w:jc w:val="left"/>
        <w:rPr>
          <w:rFonts w:hint="eastAsia" w:ascii="仿宋_GB2312" w:eastAsia="仿宋_GB2312" w:cs="Times New Roman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_GB2312" w:eastAsia="仿宋_GB2312" w:cs="Times New Roman"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eastAsia="仿宋_GB2312" w:cs="Times New Roman"/>
          <w:bCs/>
          <w:sz w:val="32"/>
          <w:szCs w:val="32"/>
          <w:highlight w:val="none"/>
          <w:lang w:val="en-US" w:eastAsia="zh-CN"/>
        </w:rPr>
        <w:t>3</w:t>
      </w:r>
      <w:r>
        <w:rPr>
          <w:rFonts w:hint="eastAsia" w:ascii="仿宋_GB2312" w:eastAsia="仿宋_GB2312" w:cs="Times New Roman"/>
          <w:bCs/>
          <w:sz w:val="32"/>
          <w:szCs w:val="32"/>
          <w:highlight w:val="none"/>
          <w:lang w:eastAsia="zh-CN"/>
        </w:rPr>
        <w:t>）</w:t>
      </w:r>
      <w:r>
        <w:rPr>
          <w:rFonts w:hint="eastAsia" w:ascii="仿宋_GB2312" w:eastAsia="仿宋_GB2312" w:cs="Times New Roman"/>
          <w:bCs/>
          <w:sz w:val="32"/>
          <w:szCs w:val="32"/>
          <w:highlight w:val="none"/>
          <w:lang w:val="en-US" w:eastAsia="zh-CN"/>
        </w:rPr>
        <w:t>认证</w:t>
      </w:r>
      <w:r>
        <w:rPr>
          <w:rFonts w:hint="eastAsia" w:ascii="仿宋_GB2312" w:eastAsia="仿宋_GB2312" w:cs="Times New Roman"/>
          <w:bCs/>
          <w:sz w:val="32"/>
          <w:szCs w:val="32"/>
          <w:highlight w:val="none"/>
          <w:lang w:eastAsia="zh-CN"/>
        </w:rPr>
        <w:t>证书信息可于国家认监委官方平台公开查询（https://cx.cnca.cn/CertECloud/result/skipResultList）</w:t>
      </w:r>
      <w:r>
        <w:rPr>
          <w:rFonts w:hint="eastAsia" w:ascii="仿宋_GB2312" w:eastAsia="仿宋_GB2312" w:cs="Times New Roman"/>
          <w:bCs/>
          <w:sz w:val="32"/>
          <w:szCs w:val="32"/>
          <w:highlight w:val="none"/>
          <w:lang w:val="en-US" w:eastAsia="zh-CN"/>
        </w:rPr>
        <w:t>。</w:t>
      </w:r>
    </w:p>
    <w:p>
      <w:pPr>
        <w:spacing w:line="360" w:lineRule="auto"/>
        <w:ind w:firstLine="640" w:firstLineChars="200"/>
        <w:jc w:val="left"/>
        <w:rPr>
          <w:rFonts w:hint="default" w:ascii="仿宋_GB2312" w:eastAsia="仿宋_GB2312" w:cs="Times New Roman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_GB2312" w:eastAsia="仿宋_GB2312" w:cs="Times New Roman"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eastAsia="仿宋_GB2312" w:cs="Times New Roman"/>
          <w:bCs/>
          <w:sz w:val="32"/>
          <w:szCs w:val="32"/>
          <w:highlight w:val="none"/>
          <w:lang w:val="en-US" w:eastAsia="zh-CN"/>
        </w:rPr>
        <w:t>4</w:t>
      </w:r>
      <w:r>
        <w:rPr>
          <w:rFonts w:hint="eastAsia" w:ascii="仿宋_GB2312" w:eastAsia="仿宋_GB2312" w:cs="Times New Roman"/>
          <w:bCs/>
          <w:sz w:val="32"/>
          <w:szCs w:val="32"/>
          <w:highlight w:val="none"/>
          <w:lang w:eastAsia="zh-CN"/>
        </w:rPr>
        <w:t>）报告需支持第三方机构官方网站线上查询核验</w:t>
      </w:r>
      <w:r>
        <w:rPr>
          <w:rFonts w:hint="eastAsia" w:ascii="仿宋_GB2312" w:eastAsia="仿宋_GB2312" w:cs="Times New Roman"/>
          <w:bCs/>
          <w:sz w:val="32"/>
          <w:szCs w:val="32"/>
          <w:highlight w:val="none"/>
          <w:lang w:val="en-US" w:eastAsia="zh-CN"/>
        </w:rPr>
        <w:t>。</w:t>
      </w:r>
    </w:p>
    <w:p>
      <w:pPr>
        <w:spacing w:line="360" w:lineRule="auto"/>
        <w:ind w:firstLine="640" w:firstLineChars="200"/>
        <w:jc w:val="left"/>
        <w:rPr>
          <w:rFonts w:hint="eastAsia" w:ascii="仿宋_GB2312" w:eastAsia="仿宋_GB2312" w:cs="Times New Roman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_GB2312" w:eastAsia="仿宋_GB2312" w:cs="Times New Roman"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eastAsia="仿宋_GB2312" w:cs="Times New Roman"/>
          <w:bCs/>
          <w:sz w:val="32"/>
          <w:szCs w:val="32"/>
          <w:highlight w:val="none"/>
          <w:lang w:val="en-US" w:eastAsia="zh-CN"/>
        </w:rPr>
        <w:t>5</w:t>
      </w:r>
      <w:r>
        <w:rPr>
          <w:rFonts w:hint="eastAsia" w:ascii="仿宋_GB2312" w:eastAsia="仿宋_GB2312" w:cs="Times New Roman"/>
          <w:bCs/>
          <w:sz w:val="32"/>
          <w:szCs w:val="32"/>
          <w:highlight w:val="none"/>
          <w:lang w:eastAsia="zh-CN"/>
        </w:rPr>
        <w:t>）</w:t>
      </w:r>
      <w:r>
        <w:rPr>
          <w:rFonts w:hint="eastAsia" w:ascii="仿宋_GB2312" w:eastAsia="仿宋_GB2312" w:cs="Times New Roman"/>
          <w:bCs/>
          <w:sz w:val="32"/>
          <w:szCs w:val="32"/>
          <w:highlight w:val="none"/>
          <w:lang w:val="en-US" w:eastAsia="zh-CN"/>
        </w:rPr>
        <w:t>报告需在2026年7月8日前获得，认证证书需在2026年8月10日前获取。</w:t>
      </w:r>
    </w:p>
    <w:p>
      <w:pPr>
        <w:spacing w:line="360" w:lineRule="auto"/>
        <w:ind w:firstLine="640" w:firstLineChars="200"/>
        <w:jc w:val="left"/>
        <w:rPr>
          <w:rFonts w:hint="eastAsia" w:ascii="仿宋_GB2312" w:eastAsia="仿宋_GB2312" w:cs="Times New Roman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_GB2312" w:eastAsia="仿宋_GB2312" w:cs="Times New Roman"/>
          <w:bCs/>
          <w:sz w:val="32"/>
          <w:szCs w:val="32"/>
          <w:highlight w:val="none"/>
          <w:lang w:val="en-US" w:eastAsia="zh-CN"/>
        </w:rPr>
        <w:t>（6）相关资料类型汇总清单。</w:t>
      </w:r>
    </w:p>
    <w:tbl>
      <w:tblPr>
        <w:tblStyle w:val="8"/>
        <w:tblW w:w="633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90"/>
        <w:gridCol w:w="3093"/>
        <w:gridCol w:w="15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tblHeader/>
          <w:jc w:val="center"/>
        </w:trPr>
        <w:tc>
          <w:tcPr>
            <w:tcW w:w="0" w:type="auto"/>
            <w:vAlign w:val="center"/>
          </w:tcPr>
          <w:p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仿宋_GB2312" w:eastAsia="仿宋_GB2312" w:cs="Times New Roman"/>
                <w:b/>
                <w:bCs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Times New Roman"/>
                <w:b/>
                <w:bCs/>
                <w:sz w:val="32"/>
                <w:szCs w:val="32"/>
                <w:highlight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3093" w:type="dxa"/>
            <w:vAlign w:val="center"/>
          </w:tcPr>
          <w:p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仿宋_GB2312" w:eastAsia="仿宋_GB2312" w:cs="Times New Roman"/>
                <w:b/>
                <w:bCs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Times New Roman"/>
                <w:b/>
                <w:bCs/>
                <w:sz w:val="32"/>
                <w:szCs w:val="32"/>
                <w:highlight w:val="none"/>
                <w:vertAlign w:val="baseline"/>
                <w:lang w:val="en-US" w:eastAsia="zh-CN"/>
              </w:rPr>
              <w:t>资料类型</w:t>
            </w:r>
          </w:p>
        </w:tc>
        <w:tc>
          <w:tcPr>
            <w:tcW w:w="1555" w:type="dxa"/>
            <w:vAlign w:val="center"/>
          </w:tcPr>
          <w:p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仿宋_GB2312" w:eastAsia="仿宋_GB2312" w:cs="Times New Roman"/>
                <w:b/>
                <w:bCs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Times New Roman"/>
                <w:b/>
                <w:bCs/>
                <w:sz w:val="32"/>
                <w:szCs w:val="32"/>
                <w:highlight w:val="none"/>
                <w:vertAlign w:val="baseline"/>
                <w:lang w:val="en-US" w:eastAsia="zh-CN"/>
              </w:rPr>
              <w:t>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0" w:type="auto"/>
            <w:vAlign w:val="center"/>
          </w:tcPr>
          <w:p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仿宋_GB2312" w:eastAsia="仿宋_GB2312" w:cs="Times New Roman"/>
                <w:bCs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Times New Roman"/>
                <w:bCs/>
                <w:sz w:val="32"/>
                <w:szCs w:val="32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3093" w:type="dxa"/>
            <w:vAlign w:val="center"/>
          </w:tcPr>
          <w:p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仿宋_GB2312" w:eastAsia="仿宋_GB2312" w:cs="Times New Roman"/>
                <w:bCs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Times New Roman"/>
                <w:bCs/>
                <w:sz w:val="32"/>
                <w:szCs w:val="32"/>
                <w:highlight w:val="none"/>
                <w:vertAlign w:val="baseline"/>
                <w:lang w:val="en-US" w:eastAsia="zh-CN"/>
              </w:rPr>
              <w:t>报告</w:t>
            </w:r>
          </w:p>
        </w:tc>
        <w:tc>
          <w:tcPr>
            <w:tcW w:w="1555" w:type="dxa"/>
            <w:vAlign w:val="center"/>
          </w:tcPr>
          <w:p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仿宋_GB2312" w:eastAsia="仿宋_GB2312" w:cs="Times New Roman"/>
                <w:bCs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Times New Roman"/>
                <w:bCs/>
                <w:sz w:val="32"/>
                <w:szCs w:val="32"/>
                <w:highlight w:val="none"/>
                <w:vertAlign w:val="baseline"/>
                <w:lang w:val="en-US" w:eastAsia="zh-CN"/>
              </w:rPr>
              <w:t>16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  <w:jc w:val="center"/>
        </w:trPr>
        <w:tc>
          <w:tcPr>
            <w:tcW w:w="1690" w:type="dxa"/>
            <w:vAlign w:val="center"/>
          </w:tcPr>
          <w:p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仿宋_GB2312" w:eastAsia="仿宋_GB2312" w:cs="Times New Roman"/>
                <w:bCs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Times New Roman"/>
                <w:bCs/>
                <w:sz w:val="32"/>
                <w:szCs w:val="32"/>
                <w:highlight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3093" w:type="dxa"/>
            <w:vAlign w:val="center"/>
          </w:tcPr>
          <w:p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仿宋_GB2312" w:eastAsia="仿宋_GB2312" w:cs="Times New Roman"/>
                <w:bCs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Times New Roman"/>
                <w:bCs/>
                <w:sz w:val="32"/>
                <w:szCs w:val="32"/>
                <w:highlight w:val="none"/>
                <w:vertAlign w:val="baseline"/>
                <w:lang w:val="en-US" w:eastAsia="zh-CN"/>
              </w:rPr>
              <w:t>认证证书</w:t>
            </w:r>
          </w:p>
        </w:tc>
        <w:tc>
          <w:tcPr>
            <w:tcW w:w="1555" w:type="dxa"/>
            <w:vAlign w:val="center"/>
          </w:tcPr>
          <w:p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仿宋_GB2312" w:eastAsia="仿宋_GB2312" w:cs="Times New Roman"/>
                <w:bCs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Times New Roman"/>
                <w:bCs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  <w:t>26</w:t>
            </w:r>
          </w:p>
        </w:tc>
      </w:tr>
    </w:tbl>
    <w:p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sz w:val="32"/>
          <w:szCs w:val="32"/>
          <w:highlight w:val="none"/>
        </w:rPr>
        <w:t>三、项目具体工作内容</w:t>
      </w:r>
    </w:p>
    <w:p>
      <w:pPr>
        <w:spacing w:line="560" w:lineRule="exact"/>
        <w:ind w:firstLine="640"/>
        <w:rPr>
          <w:rFonts w:hint="eastAsia" w:ascii="仿宋_GB2312" w:eastAsia="仿宋_GB2312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_GB2312" w:eastAsia="仿宋_GB2312"/>
          <w:bCs/>
          <w:sz w:val="32"/>
          <w:szCs w:val="32"/>
          <w:highlight w:val="none"/>
          <w:lang w:val="en-US" w:eastAsia="zh-CN"/>
        </w:rPr>
        <w:t>为南方电网数字电网科技（广东）有限公司（以下简称“我司”）提供企业上一年度组织温室气体盘查报告、我公司相关产品上一年度产品碳足迹核算报告及认证证书、绿色制造评价报告</w:t>
      </w:r>
      <w:r>
        <w:rPr>
          <w:rFonts w:hint="eastAsia" w:ascii="仿宋_GB2312" w:hAnsi="宋体" w:eastAsia="仿宋_GB2312"/>
          <w:sz w:val="32"/>
          <w:szCs w:val="32"/>
          <w:highlight w:val="none"/>
          <w:lang w:eastAsia="zh-CN"/>
        </w:rPr>
        <w:t>、</w:t>
      </w:r>
      <w:r>
        <w:rPr>
          <w:rFonts w:hint="eastAsia" w:ascii="仿宋_GB2312" w:eastAsia="仿宋_GB2312"/>
          <w:bCs/>
          <w:sz w:val="32"/>
          <w:szCs w:val="32"/>
          <w:highlight w:val="none"/>
          <w:lang w:val="en-US" w:eastAsia="zh-CN"/>
        </w:rPr>
        <w:t>绿色物流评价报告</w:t>
      </w:r>
      <w:r>
        <w:rPr>
          <w:rFonts w:hint="eastAsia" w:ascii="仿宋_GB2312" w:hAnsi="宋体" w:eastAsia="仿宋_GB2312"/>
          <w:sz w:val="32"/>
          <w:szCs w:val="32"/>
          <w:highlight w:val="none"/>
          <w:lang w:eastAsia="zh-CN"/>
        </w:rPr>
        <w:t>、</w:t>
      </w:r>
      <w:r>
        <w:rPr>
          <w:rFonts w:hint="eastAsia" w:ascii="仿宋_GB2312" w:eastAsia="仿宋_GB2312"/>
          <w:bCs/>
          <w:sz w:val="32"/>
          <w:szCs w:val="32"/>
          <w:highlight w:val="none"/>
          <w:lang w:val="en-US" w:eastAsia="zh-CN"/>
        </w:rPr>
        <w:t>能耗降低评价报告。</w:t>
      </w:r>
    </w:p>
    <w:p>
      <w:pPr>
        <w:spacing w:line="560" w:lineRule="exact"/>
        <w:ind w:firstLine="640"/>
        <w:jc w:val="left"/>
        <w:rPr>
          <w:rFonts w:ascii="黑体" w:hAnsi="黑体" w:eastAsia="黑体" w:cs="黑体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sz w:val="32"/>
          <w:szCs w:val="32"/>
          <w:highlight w:val="none"/>
        </w:rPr>
        <w:t>四、项目交付物</w:t>
      </w:r>
    </w:p>
    <w:p>
      <w:pPr>
        <w:spacing w:line="560" w:lineRule="exact"/>
        <w:ind w:firstLine="640"/>
        <w:rPr>
          <w:rFonts w:hint="eastAsia" w:ascii="仿宋_GB2312" w:hAnsi="宋体" w:eastAsia="仿宋_GB2312"/>
          <w:sz w:val="32"/>
          <w:szCs w:val="32"/>
          <w:highlight w:val="none"/>
          <w:lang w:eastAsia="zh-CN"/>
        </w:rPr>
      </w:pPr>
      <w:r>
        <w:rPr>
          <w:rFonts w:hint="eastAsia" w:ascii="仿宋_GB2312" w:hAnsi="宋体" w:eastAsia="仿宋_GB2312"/>
          <w:sz w:val="32"/>
          <w:szCs w:val="32"/>
          <w:highlight w:val="none"/>
        </w:rPr>
        <w:t>1.</w:t>
      </w:r>
      <w:r>
        <w:rPr>
          <w:rFonts w:hint="eastAsia" w:ascii="仿宋_GB2312" w:eastAsia="仿宋_GB2312" w:cs="Times New Roman"/>
          <w:bCs/>
          <w:sz w:val="32"/>
          <w:szCs w:val="32"/>
          <w:highlight w:val="none"/>
          <w:lang w:val="en-US" w:eastAsia="zh-CN"/>
        </w:rPr>
        <w:t>上一年度组织温室气体盘查报告（体现企业建立碳排放管理体系，并按国家标准核算组织边界温室气体排放量，出具相关核算报告）</w:t>
      </w:r>
      <w:r>
        <w:rPr>
          <w:rFonts w:hint="eastAsia" w:ascii="仿宋_GB2312" w:eastAsia="仿宋_GB2312" w:cs="Times New Roman"/>
          <w:bCs/>
          <w:sz w:val="32"/>
          <w:szCs w:val="32"/>
          <w:highlight w:val="none"/>
          <w:lang w:eastAsia="zh-CN"/>
        </w:rPr>
        <w:t>。</w:t>
      </w:r>
    </w:p>
    <w:p>
      <w:pPr>
        <w:spacing w:line="560" w:lineRule="exact"/>
        <w:ind w:firstLine="640"/>
        <w:rPr>
          <w:rFonts w:hint="eastAsia" w:ascii="仿宋_GB2312" w:hAnsi="宋体" w:eastAsia="仿宋_GB2312"/>
          <w:sz w:val="32"/>
          <w:szCs w:val="32"/>
          <w:highlight w:val="none"/>
        </w:rPr>
      </w:pPr>
      <w:r>
        <w:rPr>
          <w:rFonts w:hint="eastAsia" w:ascii="仿宋_GB2312" w:hAnsi="宋体" w:eastAsia="仿宋_GB2312"/>
          <w:sz w:val="32"/>
          <w:szCs w:val="32"/>
          <w:highlight w:val="none"/>
          <w:lang w:val="en-US" w:eastAsia="zh-CN"/>
        </w:rPr>
        <w:t>2</w:t>
      </w:r>
      <w:r>
        <w:rPr>
          <w:rFonts w:hint="eastAsia" w:ascii="仿宋_GB2312" w:hAnsi="宋体" w:eastAsia="仿宋_GB2312"/>
          <w:sz w:val="32"/>
          <w:szCs w:val="32"/>
          <w:highlight w:val="none"/>
        </w:rPr>
        <w:t>.</w:t>
      </w:r>
      <w:r>
        <w:rPr>
          <w:rFonts w:hint="eastAsia" w:ascii="仿宋_GB2312" w:eastAsia="仿宋_GB2312"/>
          <w:bCs/>
          <w:sz w:val="32"/>
          <w:szCs w:val="32"/>
          <w:highlight w:val="none"/>
          <w:lang w:val="en-US" w:eastAsia="zh-CN"/>
        </w:rPr>
        <w:t>各产品上一年度产品碳足迹核算报告/证书（体现企业建立碳排放管理体系，并按国家标准核算组织我司相关产品上一年度产品碳足迹核算，出具相关核算报告/证书）</w:t>
      </w:r>
      <w:r>
        <w:rPr>
          <w:rFonts w:hint="eastAsia" w:ascii="仿宋_GB2312" w:hAnsi="宋体" w:eastAsia="仿宋_GB2312"/>
          <w:sz w:val="32"/>
          <w:szCs w:val="32"/>
          <w:highlight w:val="none"/>
        </w:rPr>
        <w:t>。</w:t>
      </w:r>
    </w:p>
    <w:p>
      <w:pPr>
        <w:spacing w:line="560" w:lineRule="exact"/>
        <w:ind w:firstLine="640"/>
        <w:rPr>
          <w:rFonts w:hint="eastAsia" w:ascii="仿宋_GB2312" w:hAnsi="宋体" w:eastAsia="仿宋_GB2312"/>
          <w:sz w:val="32"/>
          <w:szCs w:val="32"/>
          <w:highlight w:val="none"/>
        </w:rPr>
      </w:pPr>
      <w:r>
        <w:rPr>
          <w:rFonts w:hint="eastAsia" w:ascii="仿宋_GB2312" w:hAnsi="宋体" w:eastAsia="仿宋_GB2312"/>
          <w:sz w:val="32"/>
          <w:szCs w:val="32"/>
          <w:highlight w:val="none"/>
          <w:lang w:val="en-US" w:eastAsia="zh-CN"/>
        </w:rPr>
        <w:t>3</w:t>
      </w:r>
      <w:r>
        <w:rPr>
          <w:rFonts w:hint="eastAsia" w:ascii="仿宋_GB2312" w:hAnsi="宋体" w:eastAsia="仿宋_GB2312"/>
          <w:sz w:val="32"/>
          <w:szCs w:val="32"/>
          <w:highlight w:val="none"/>
        </w:rPr>
        <w:t>.</w:t>
      </w:r>
      <w:r>
        <w:rPr>
          <w:rFonts w:hint="eastAsia" w:ascii="仿宋_GB2312" w:eastAsia="仿宋_GB2312"/>
          <w:bCs/>
          <w:sz w:val="32"/>
          <w:szCs w:val="32"/>
          <w:highlight w:val="none"/>
          <w:lang w:val="en-US" w:eastAsia="zh-CN"/>
        </w:rPr>
        <w:t>绿色制造评价报告（包括但不限于体现环保、节能、减碳、循环贯穿产品全生命周期，企业具备工艺革新、数字管控、清洁能源、资源循环，实现低消耗、低污染、低碳排、高循环、高效益的现代化智能制造模式）</w:t>
      </w:r>
      <w:r>
        <w:rPr>
          <w:rFonts w:hint="eastAsia" w:ascii="仿宋_GB2312" w:hAnsi="宋体" w:eastAsia="仿宋_GB2312"/>
          <w:sz w:val="32"/>
          <w:szCs w:val="32"/>
          <w:highlight w:val="none"/>
        </w:rPr>
        <w:t>。</w:t>
      </w:r>
    </w:p>
    <w:p>
      <w:pPr>
        <w:spacing w:line="560" w:lineRule="exact"/>
        <w:ind w:firstLine="640"/>
        <w:rPr>
          <w:rFonts w:hint="eastAsia" w:ascii="仿宋_GB2312" w:hAnsi="宋体" w:eastAsia="仿宋_GB2312"/>
          <w:sz w:val="32"/>
          <w:szCs w:val="32"/>
          <w:highlight w:val="none"/>
        </w:rPr>
      </w:pPr>
      <w:r>
        <w:rPr>
          <w:rFonts w:hint="eastAsia" w:ascii="仿宋_GB2312" w:hAnsi="宋体" w:eastAsia="仿宋_GB2312"/>
          <w:sz w:val="32"/>
          <w:szCs w:val="32"/>
          <w:highlight w:val="none"/>
          <w:lang w:val="en-US" w:eastAsia="zh-CN"/>
        </w:rPr>
        <w:t>4</w:t>
      </w:r>
      <w:r>
        <w:rPr>
          <w:rFonts w:hint="eastAsia" w:ascii="仿宋_GB2312" w:hAnsi="宋体" w:eastAsia="仿宋_GB2312"/>
          <w:sz w:val="32"/>
          <w:szCs w:val="32"/>
          <w:highlight w:val="none"/>
        </w:rPr>
        <w:t>.</w:t>
      </w:r>
      <w:r>
        <w:rPr>
          <w:rFonts w:hint="eastAsia" w:ascii="仿宋_GB2312" w:eastAsia="仿宋_GB2312"/>
          <w:bCs/>
          <w:sz w:val="32"/>
          <w:szCs w:val="32"/>
          <w:highlight w:val="none"/>
          <w:lang w:val="en-US" w:eastAsia="zh-CN"/>
        </w:rPr>
        <w:t>绿色物流评价报告（内容包括但不限于体现企业覆盖运输、仓储、包装、装卸、流通加工、逆向回收全环节，融合节能减排、循环利用、数字化管控的现代绿色低碳物流模式）</w:t>
      </w:r>
      <w:r>
        <w:rPr>
          <w:rFonts w:hint="eastAsia" w:ascii="仿宋_GB2312" w:hAnsi="宋体" w:eastAsia="仿宋_GB2312"/>
          <w:sz w:val="32"/>
          <w:szCs w:val="32"/>
          <w:highlight w:val="none"/>
        </w:rPr>
        <w:t>。</w:t>
      </w:r>
    </w:p>
    <w:p>
      <w:pPr>
        <w:spacing w:line="560" w:lineRule="exact"/>
        <w:ind w:firstLine="640"/>
        <w:rPr>
          <w:rFonts w:hint="eastAsia" w:ascii="仿宋_GB2312" w:hAnsi="宋体" w:eastAsia="仿宋_GB2312"/>
          <w:sz w:val="32"/>
          <w:szCs w:val="32"/>
          <w:highlight w:val="none"/>
        </w:rPr>
      </w:pPr>
      <w:r>
        <w:rPr>
          <w:rFonts w:hint="eastAsia" w:ascii="仿宋_GB2312" w:hAnsi="宋体" w:eastAsia="仿宋_GB2312"/>
          <w:sz w:val="32"/>
          <w:szCs w:val="32"/>
          <w:highlight w:val="none"/>
          <w:lang w:val="en-US" w:eastAsia="zh-CN"/>
        </w:rPr>
        <w:t>5</w:t>
      </w:r>
      <w:r>
        <w:rPr>
          <w:rFonts w:hint="eastAsia" w:ascii="仿宋_GB2312" w:hAnsi="宋体" w:eastAsia="仿宋_GB2312"/>
          <w:sz w:val="32"/>
          <w:szCs w:val="32"/>
          <w:highlight w:val="none"/>
        </w:rPr>
        <w:t>.</w:t>
      </w:r>
      <w:r>
        <w:rPr>
          <w:rFonts w:hint="eastAsia" w:ascii="仿宋_GB2312" w:eastAsia="仿宋_GB2312"/>
          <w:bCs/>
          <w:sz w:val="32"/>
          <w:szCs w:val="32"/>
          <w:highlight w:val="none"/>
          <w:lang w:val="en-US" w:eastAsia="zh-CN"/>
        </w:rPr>
        <w:t>能耗降低评价报告（内容包括但不限于体现企业生产、仓储、物流运输全场景，实现电、水、天然气、柴油 / 汽油综合能耗下降，同步完成单位产值能耗、单位产品能耗指标达标）</w:t>
      </w:r>
      <w:r>
        <w:rPr>
          <w:rFonts w:hint="eastAsia" w:ascii="仿宋_GB2312" w:hAnsi="宋体" w:eastAsia="仿宋_GB2312"/>
          <w:sz w:val="32"/>
          <w:szCs w:val="32"/>
          <w:highlight w:val="none"/>
        </w:rPr>
        <w:t>。</w:t>
      </w:r>
    </w:p>
    <w:p>
      <w:pPr>
        <w:spacing w:line="560" w:lineRule="exact"/>
        <w:ind w:firstLine="640"/>
        <w:rPr>
          <w:rFonts w:hint="eastAsia" w:ascii="仿宋_GB2312" w:hAnsi="宋体" w:eastAsia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宋体" w:eastAsia="仿宋_GB2312"/>
          <w:sz w:val="32"/>
          <w:szCs w:val="32"/>
          <w:highlight w:val="none"/>
          <w:lang w:val="en-US" w:eastAsia="zh-CN"/>
        </w:rPr>
        <w:t>6.具体报告/认证证书清单（详见附录：报告/认证证书清单）。</w:t>
      </w:r>
    </w:p>
    <w:p>
      <w:pPr>
        <w:spacing w:line="560" w:lineRule="exact"/>
        <w:rPr>
          <w:rFonts w:hint="default" w:ascii="仿宋_GB2312" w:hAnsi="宋体" w:eastAsia="仿宋_GB2312"/>
          <w:sz w:val="32"/>
          <w:szCs w:val="32"/>
          <w:highlight w:val="none"/>
          <w:lang w:val="en-US" w:eastAsia="zh-CN"/>
        </w:rPr>
      </w:pPr>
    </w:p>
    <w:p>
      <w:pPr>
        <w:bidi w:val="0"/>
        <w:rPr>
          <w:rFonts w:hint="default" w:ascii="Calibri" w:hAnsi="Calibri" w:eastAsia="宋体" w:cs="Times New Roman"/>
          <w:kern w:val="2"/>
          <w:sz w:val="21"/>
          <w:szCs w:val="22"/>
          <w:lang w:val="en-US" w:eastAsia="zh-CN" w:bidi="ar-SA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ind w:firstLine="277" w:firstLineChars="0"/>
        <w:jc w:val="left"/>
        <w:rPr>
          <w:rFonts w:hint="default"/>
          <w:lang w:val="en-US" w:eastAsia="zh-CN"/>
        </w:rPr>
      </w:pPr>
    </w:p>
    <w:p>
      <w:pPr>
        <w:bidi w:val="0"/>
        <w:ind w:firstLine="277" w:firstLineChars="0"/>
        <w:jc w:val="left"/>
        <w:rPr>
          <w:rFonts w:hint="default"/>
          <w:lang w:val="en-US" w:eastAsia="zh-CN"/>
        </w:rPr>
      </w:pPr>
    </w:p>
    <w:p>
      <w:pPr>
        <w:bidi w:val="0"/>
        <w:ind w:firstLine="277" w:firstLineChars="0"/>
        <w:jc w:val="left"/>
        <w:rPr>
          <w:rFonts w:hint="default"/>
          <w:lang w:val="en-US" w:eastAsia="zh-CN"/>
        </w:rPr>
      </w:pPr>
      <w:r>
        <w:rPr>
          <w:rFonts w:hint="eastAsia" w:ascii="仿宋_GB2312" w:hAnsi="宋体" w:eastAsia="仿宋_GB2312"/>
          <w:sz w:val="32"/>
          <w:szCs w:val="32"/>
          <w:highlight w:val="none"/>
          <w:lang w:val="en-US" w:eastAsia="zh-CN"/>
        </w:rPr>
        <w:t>附录：报告/认证证书清单</w:t>
      </w:r>
    </w:p>
    <w:tbl>
      <w:tblPr>
        <w:tblStyle w:val="7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8"/>
        <w:gridCol w:w="2376"/>
        <w:gridCol w:w="4776"/>
        <w:gridCol w:w="63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证书类别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产品名称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份数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温室气体盘查报告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--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企业绿色物流评价报告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--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绿色制造能力报告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--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能耗降低报告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--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产品碳足迹核算报告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安全可控站控层交换机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工业级以太网交换机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安全可控变电站时间同步系统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智能台区终端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配电物联环境终端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北斗智能终端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电力开源物联版油浸变压器状态监测装置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电力开源物联版智能微型空气开关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配电视联融合终端（枪型）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电力开源物联版视频云节点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北斗智能穿戴终端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电力开源物联版智能低压线路终端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产品碳足迹证书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宽带双模通信模块</w:t>
            </w:r>
          </w:p>
        </w:tc>
        <w:tc>
          <w:tcPr>
            <w:tcW w:w="63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输电视联融合终端</w:t>
            </w:r>
          </w:p>
        </w:tc>
        <w:tc>
          <w:tcPr>
            <w:tcW w:w="63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变电视联融合终端</w:t>
            </w:r>
          </w:p>
        </w:tc>
        <w:tc>
          <w:tcPr>
            <w:tcW w:w="63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电力开源物联版配电物联低压智能开关</w:t>
            </w:r>
          </w:p>
        </w:tc>
        <w:tc>
          <w:tcPr>
            <w:tcW w:w="63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Ⅲ区智能网关(智能辅助控制单元ACT)</w:t>
            </w:r>
          </w:p>
        </w:tc>
        <w:tc>
          <w:tcPr>
            <w:tcW w:w="63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配电视联融合终端（球型）</w:t>
            </w:r>
          </w:p>
        </w:tc>
        <w:tc>
          <w:tcPr>
            <w:tcW w:w="63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电力开源物联版智能视频云节点</w:t>
            </w:r>
          </w:p>
        </w:tc>
        <w:tc>
          <w:tcPr>
            <w:tcW w:w="63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电力开源物联版配电物联代理单元</w:t>
            </w:r>
          </w:p>
        </w:tc>
        <w:tc>
          <w:tcPr>
            <w:tcW w:w="63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电力开源物联版低压导轨式电流模块</w:t>
            </w:r>
          </w:p>
        </w:tc>
        <w:tc>
          <w:tcPr>
            <w:tcW w:w="63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电力开源物联版智能拓扑识别模块</w:t>
            </w:r>
          </w:p>
        </w:tc>
        <w:tc>
          <w:tcPr>
            <w:tcW w:w="63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电力开源物联版低压面板式电流模块</w:t>
            </w:r>
          </w:p>
        </w:tc>
        <w:tc>
          <w:tcPr>
            <w:tcW w:w="63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电力开源物联版电缆头温度监测装置</w:t>
            </w:r>
          </w:p>
        </w:tc>
        <w:tc>
          <w:tcPr>
            <w:tcW w:w="63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电力开源物联版干式变压器状态量监测装置</w:t>
            </w:r>
          </w:p>
        </w:tc>
        <w:tc>
          <w:tcPr>
            <w:tcW w:w="638" w:type="dxa"/>
            <w:tcBorders>
              <w:top w:val="single" w:color="000000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电力开源物联版微型智能电流传感模块</w:t>
            </w:r>
          </w:p>
        </w:tc>
        <w:tc>
          <w:tcPr>
            <w:tcW w:w="638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</w:tbl>
    <w:p>
      <w:pPr>
        <w:bidi w:val="0"/>
        <w:ind w:firstLine="277" w:firstLineChars="0"/>
        <w:jc w:val="left"/>
        <w:rPr>
          <w:rFonts w:hint="default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ambria">
    <w:altName w:val="Noto Sans Syriac Eastern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Noto Sans Syriac Eastern">
    <w:panose1 w:val="02040503050306020203"/>
    <w:charset w:val="86"/>
    <w:family w:val="auto"/>
    <w:pitch w:val="default"/>
    <w:sig w:usb0="00000000" w:usb1="00000000" w:usb2="00000080" w:usb3="00000000" w:csb0="203E0161" w:csb1="D7FF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仿宋_GB2312">
    <w:altName w:val="仿宋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微软雅黑">
    <w:altName w:val="方正黑体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altName w:val="DejaVu San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4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EyZDMxNWRkYmY5MjE3NjUxYTk3ZDA1NDUyNmVkYWEifQ=="/>
    <w:docVar w:name="KSO_WPS_MARK_KEY" w:val="54cda7eb-2d9b-4c14-a5ba-9d5007fbbd64"/>
  </w:docVars>
  <w:rsids>
    <w:rsidRoot w:val="00000000"/>
    <w:rsid w:val="008D3A92"/>
    <w:rsid w:val="01A64EB5"/>
    <w:rsid w:val="01E272A3"/>
    <w:rsid w:val="023A20AE"/>
    <w:rsid w:val="0320736D"/>
    <w:rsid w:val="0397607D"/>
    <w:rsid w:val="0647454F"/>
    <w:rsid w:val="06DD0AE7"/>
    <w:rsid w:val="0701218C"/>
    <w:rsid w:val="099C13B8"/>
    <w:rsid w:val="099C1E2C"/>
    <w:rsid w:val="0B9809D8"/>
    <w:rsid w:val="0C68393A"/>
    <w:rsid w:val="0C8174D0"/>
    <w:rsid w:val="0D094B53"/>
    <w:rsid w:val="0DC13776"/>
    <w:rsid w:val="0EFB235F"/>
    <w:rsid w:val="10F5032B"/>
    <w:rsid w:val="11412BD0"/>
    <w:rsid w:val="11957766"/>
    <w:rsid w:val="11B2752E"/>
    <w:rsid w:val="129078B1"/>
    <w:rsid w:val="140F0D42"/>
    <w:rsid w:val="156E606E"/>
    <w:rsid w:val="177E76DE"/>
    <w:rsid w:val="18B9078C"/>
    <w:rsid w:val="191B262F"/>
    <w:rsid w:val="1A0A7151"/>
    <w:rsid w:val="1ADD121D"/>
    <w:rsid w:val="1B6D18FA"/>
    <w:rsid w:val="1DD51825"/>
    <w:rsid w:val="1E453C94"/>
    <w:rsid w:val="20656507"/>
    <w:rsid w:val="212D76D3"/>
    <w:rsid w:val="2579170A"/>
    <w:rsid w:val="27D7148A"/>
    <w:rsid w:val="295E4DC4"/>
    <w:rsid w:val="2A193B23"/>
    <w:rsid w:val="2AF05EF0"/>
    <w:rsid w:val="2B004F19"/>
    <w:rsid w:val="2BAF726B"/>
    <w:rsid w:val="2D57575B"/>
    <w:rsid w:val="2E982B26"/>
    <w:rsid w:val="2EC87EE8"/>
    <w:rsid w:val="2EEC3F03"/>
    <w:rsid w:val="2F141C28"/>
    <w:rsid w:val="2FD07847"/>
    <w:rsid w:val="30463541"/>
    <w:rsid w:val="30C62731"/>
    <w:rsid w:val="321B3120"/>
    <w:rsid w:val="33152997"/>
    <w:rsid w:val="33D46A2B"/>
    <w:rsid w:val="35CE4807"/>
    <w:rsid w:val="37AD6F51"/>
    <w:rsid w:val="39C944DB"/>
    <w:rsid w:val="3AD06540"/>
    <w:rsid w:val="3D31661F"/>
    <w:rsid w:val="3DE74CFF"/>
    <w:rsid w:val="3FEC556C"/>
    <w:rsid w:val="419A6847"/>
    <w:rsid w:val="41A4288C"/>
    <w:rsid w:val="41C46440"/>
    <w:rsid w:val="42D142E3"/>
    <w:rsid w:val="43A04D63"/>
    <w:rsid w:val="449B239D"/>
    <w:rsid w:val="461C409C"/>
    <w:rsid w:val="479C0BCA"/>
    <w:rsid w:val="480E1467"/>
    <w:rsid w:val="48EA54F5"/>
    <w:rsid w:val="49B73123"/>
    <w:rsid w:val="4B1F4128"/>
    <w:rsid w:val="4C59524B"/>
    <w:rsid w:val="4D3128E5"/>
    <w:rsid w:val="4D64620A"/>
    <w:rsid w:val="4D983DE0"/>
    <w:rsid w:val="4E234091"/>
    <w:rsid w:val="4EED6ABB"/>
    <w:rsid w:val="4FA35CE3"/>
    <w:rsid w:val="524534A4"/>
    <w:rsid w:val="5250430D"/>
    <w:rsid w:val="52C1291F"/>
    <w:rsid w:val="55023A07"/>
    <w:rsid w:val="59DD0AF9"/>
    <w:rsid w:val="5B4A7D20"/>
    <w:rsid w:val="5D0E056E"/>
    <w:rsid w:val="5DCE0087"/>
    <w:rsid w:val="5F217746"/>
    <w:rsid w:val="5F721AF0"/>
    <w:rsid w:val="605C3CBF"/>
    <w:rsid w:val="61E176E1"/>
    <w:rsid w:val="63560C58"/>
    <w:rsid w:val="63C148D0"/>
    <w:rsid w:val="63C30523"/>
    <w:rsid w:val="64D429C7"/>
    <w:rsid w:val="66D309B1"/>
    <w:rsid w:val="673F4E79"/>
    <w:rsid w:val="675B17D9"/>
    <w:rsid w:val="689E5D05"/>
    <w:rsid w:val="6921075C"/>
    <w:rsid w:val="69E9497F"/>
    <w:rsid w:val="6BC9240B"/>
    <w:rsid w:val="6BE85D2D"/>
    <w:rsid w:val="6C6D0B73"/>
    <w:rsid w:val="6D6145AD"/>
    <w:rsid w:val="6FCF2A35"/>
    <w:rsid w:val="705C6010"/>
    <w:rsid w:val="745D6678"/>
    <w:rsid w:val="74D527BF"/>
    <w:rsid w:val="74F17E67"/>
    <w:rsid w:val="763F191E"/>
    <w:rsid w:val="774D20CB"/>
    <w:rsid w:val="7B4C37DA"/>
    <w:rsid w:val="7B5F3D7C"/>
    <w:rsid w:val="7BC81999"/>
    <w:rsid w:val="7C073F4C"/>
    <w:rsid w:val="7C14536E"/>
    <w:rsid w:val="7C4753D1"/>
    <w:rsid w:val="7DB859C6"/>
    <w:rsid w:val="7DD26996"/>
    <w:rsid w:val="7FFD5260"/>
    <w:rsid w:val="B77F2EBB"/>
    <w:rsid w:val="BA9DD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99"/>
    <w:rPr>
      <w:sz w:val="28"/>
    </w:rPr>
  </w:style>
  <w:style w:type="paragraph" w:styleId="3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4">
    <w:name w:val="footer"/>
    <w:basedOn w:val="1"/>
    <w:unhideWhenUsed/>
    <w:qFormat/>
    <w:uiPriority w:val="99"/>
    <w:pPr>
      <w:widowControl/>
      <w:tabs>
        <w:tab w:val="center" w:pos="4680"/>
        <w:tab w:val="right" w:pos="9360"/>
      </w:tabs>
      <w:jc w:val="left"/>
    </w:pPr>
    <w:rPr>
      <w:rFonts w:asciiTheme="minorHAnsi" w:hAnsiTheme="minorHAnsi" w:eastAsiaTheme="minorEastAsia" w:cstheme="minorBidi"/>
      <w:kern w:val="0"/>
      <w:sz w:val="22"/>
    </w:rPr>
  </w:style>
  <w:style w:type="paragraph" w:styleId="5">
    <w:name w:val="header"/>
    <w:basedOn w:val="1"/>
    <w:unhideWhenUsed/>
    <w:qFormat/>
    <w:uiPriority w:val="99"/>
    <w:pPr>
      <w:widowControl/>
      <w:tabs>
        <w:tab w:val="center" w:pos="4680"/>
        <w:tab w:val="right" w:pos="9360"/>
      </w:tabs>
      <w:jc w:val="left"/>
    </w:pPr>
    <w:rPr>
      <w:rFonts w:asciiTheme="minorHAnsi" w:hAnsiTheme="minorHAnsi" w:eastAsiaTheme="minorEastAsia" w:cstheme="minorBidi"/>
      <w:kern w:val="0"/>
      <w:sz w:val="22"/>
    </w:rPr>
  </w:style>
  <w:style w:type="paragraph" w:styleId="6">
    <w:name w:val="footnote text"/>
    <w:basedOn w:val="1"/>
    <w:qFormat/>
    <w:uiPriority w:val="0"/>
    <w:pPr>
      <w:snapToGrid w:val="0"/>
      <w:jc w:val="left"/>
    </w:pPr>
    <w:rPr>
      <w:sz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22"/>
    <w:rPr>
      <w:b/>
      <w:bCs/>
    </w:rPr>
  </w:style>
  <w:style w:type="character" w:styleId="11">
    <w:name w:val="footnote reference"/>
    <w:basedOn w:val="9"/>
    <w:qFormat/>
    <w:uiPriority w:val="0"/>
    <w:rPr>
      <w:rFonts w:asciiTheme="minorHAnsi" w:hAnsiTheme="minorHAnsi" w:eastAsiaTheme="minorEastAsia" w:cstheme="minorBidi"/>
      <w:vertAlign w:val="superscript"/>
    </w:rPr>
  </w:style>
  <w:style w:type="paragraph" w:customStyle="1" w:styleId="12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character" w:customStyle="1" w:styleId="13">
    <w:name w:val="font111"/>
    <w:basedOn w:val="9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14">
    <w:name w:val="font71"/>
    <w:basedOn w:val="9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15">
    <w:name w:val="font21"/>
    <w:basedOn w:val="9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987</Words>
  <Characters>1066</Characters>
  <Lines>5</Lines>
  <Paragraphs>1</Paragraphs>
  <TotalTime>3</TotalTime>
  <ScaleCrop>false</ScaleCrop>
  <LinksUpToDate>false</LinksUpToDate>
  <CharactersWithSpaces>1069</CharactersWithSpaces>
  <Application>WPS Office_11.8.2.12313_F1E327BC-269C-435d-A152-05C5408002CA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2023-05-18T13:21:00Z</dcterms:created>
  <dc:creator>huangyu7</dc:creator>
  <cp:lastModifiedBy>wx-liuzhipeng</cp:lastModifiedBy>
  <dcterms:modified xsi:type="dcterms:W3CDTF">2026-07-02T15:05:14Z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2052-11.8.2.12313</vt:lpwstr>
  </property>
  <property fmtid="{D5CDD505-2E9C-101B-9397-08002B2CF9AE}" pid="3" name="ICV">
    <vt:lpwstr>B17D83FD1A1644D7AB0AE1B512D1E35C_13</vt:lpwstr>
  </property>
  <property fmtid="{D5CDD505-2E9C-101B-9397-08002B2CF9AE}" pid="4" name="KSOTemplateDocerSaveRecord">
    <vt:lpwstr>eyJoZGlkIjoiNTgzMjQ5ZmQ2ODZiYTkxMTE5MzZlMmQ1ZDhlOTJiOTIiLCJ1c2VySWQiOiI2MjMxMTU2NDcifQ==</vt:lpwstr>
  </property>
</Properties>
</file>