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18A929">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报价须知</w:t>
      </w:r>
    </w:p>
    <w:p w14:paraId="7C91F4C4">
      <w:pPr>
        <w:rPr>
          <w:rFonts w:hint="eastAsia"/>
          <w:b/>
          <w:bCs/>
          <w:sz w:val="30"/>
          <w:szCs w:val="30"/>
          <w:lang w:val="en-US" w:eastAsia="zh-CN"/>
        </w:rPr>
      </w:pPr>
      <w:r>
        <w:rPr>
          <w:rFonts w:hint="eastAsia"/>
          <w:b/>
          <w:bCs/>
          <w:sz w:val="30"/>
          <w:szCs w:val="30"/>
          <w:lang w:val="en-US" w:eastAsia="zh-CN"/>
        </w:rPr>
        <w:t>一、资格要求</w:t>
      </w:r>
    </w:p>
    <w:p w14:paraId="57E39C66">
      <w:pPr>
        <w:pStyle w:val="2"/>
        <w:numPr>
          <w:ilvl w:val="0"/>
          <w:numId w:val="0"/>
        </w:numPr>
        <w:jc w:val="both"/>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1.中华人民共和国境内注册的法人，提供合法有效的营业执照（或事业单位法人证书等）；中华人民共和国境内注册的非法人组织，提供主体资格合法存续的证明文件；分支机构应提供合法有效的授权，授权应加盖委托人公章且委托人法定代表人或负责人签字；不接受自然人参与。</w:t>
      </w:r>
    </w:p>
    <w:p w14:paraId="35BC8BF4">
      <w:pPr>
        <w:pStyle w:val="2"/>
        <w:numPr>
          <w:ilvl w:val="0"/>
          <w:numId w:val="0"/>
        </w:numPr>
        <w:jc w:val="both"/>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2.单位负责人为同一人或者存在控股、管理关系的不同单位，不得参加同一标包（标段）投标或者未划分标包（标段）的同一招标项目（标的）的投标。</w:t>
      </w:r>
    </w:p>
    <w:p w14:paraId="706C9FF7">
      <w:pPr>
        <w:pStyle w:val="2"/>
        <w:numPr>
          <w:ilvl w:val="0"/>
          <w:numId w:val="0"/>
        </w:numPr>
        <w:jc w:val="both"/>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3.不接受联合体投标。</w:t>
      </w:r>
    </w:p>
    <w:p w14:paraId="24C463CE">
      <w:pPr>
        <w:pStyle w:val="2"/>
        <w:numPr>
          <w:ilvl w:val="0"/>
          <w:numId w:val="0"/>
        </w:numPr>
        <w:jc w:val="both"/>
        <w:rPr>
          <w:rFonts w:hint="default" w:eastAsia="宋体"/>
          <w:b w:val="0"/>
          <w:bCs w:val="0"/>
          <w:sz w:val="32"/>
          <w:szCs w:val="32"/>
          <w:lang w:val="en-US" w:eastAsia="zh-CN"/>
        </w:rPr>
      </w:pPr>
      <w:r>
        <w:rPr>
          <w:rFonts w:hint="eastAsia" w:ascii="宋体" w:hAnsi="宋体" w:eastAsia="宋体" w:cs="宋体"/>
          <w:b w:val="0"/>
          <w:bCs w:val="0"/>
          <w:sz w:val="32"/>
          <w:szCs w:val="32"/>
          <w:lang w:val="en-US" w:eastAsia="zh-CN"/>
        </w:rPr>
        <w:t>4.在中国南方电网有限责任公司范围内没有处于限制投标资格的处罚期内。</w:t>
      </w:r>
    </w:p>
    <w:p w14:paraId="278007F1">
      <w:pPr>
        <w:pStyle w:val="2"/>
        <w:numPr>
          <w:ilvl w:val="0"/>
          <w:numId w:val="0"/>
        </w:numPr>
        <w:jc w:val="left"/>
        <w:rPr>
          <w:rFonts w:hint="eastAsia" w:ascii="宋体" w:hAnsi="宋体" w:eastAsia="宋体" w:cs="宋体"/>
          <w:b/>
          <w:bCs/>
          <w:sz w:val="30"/>
          <w:szCs w:val="30"/>
          <w:lang w:val="en-US" w:eastAsia="zh-CN"/>
        </w:rPr>
      </w:pPr>
      <w:r>
        <w:rPr>
          <w:rFonts w:hint="eastAsia" w:ascii="宋体" w:hAnsi="宋体" w:cs="宋体"/>
          <w:b/>
          <w:bCs/>
          <w:sz w:val="30"/>
          <w:szCs w:val="30"/>
          <w:lang w:val="en-US" w:eastAsia="zh-CN"/>
        </w:rPr>
        <w:t>二、</w:t>
      </w:r>
      <w:r>
        <w:rPr>
          <w:rFonts w:hint="eastAsia" w:ascii="宋体" w:hAnsi="宋体" w:eastAsia="宋体" w:cs="宋体"/>
          <w:b/>
          <w:bCs/>
          <w:sz w:val="30"/>
          <w:szCs w:val="30"/>
          <w:lang w:val="en-US" w:eastAsia="zh-CN"/>
        </w:rPr>
        <w:t>响应文件</w:t>
      </w:r>
      <w:r>
        <w:rPr>
          <w:b/>
          <w:bCs/>
          <w:color w:val="000000"/>
          <w:sz w:val="28"/>
          <w:szCs w:val="28"/>
        </w:rPr>
        <w:t>应包括但不限于下列内容</w:t>
      </w:r>
    </w:p>
    <w:p w14:paraId="3F5F21E7">
      <w:pPr>
        <w:pStyle w:val="3"/>
        <w:numPr>
          <w:ilvl w:val="0"/>
          <w:numId w:val="1"/>
        </w:numPr>
        <w:jc w:val="both"/>
        <w:rPr>
          <w:rFonts w:hint="eastAsia"/>
          <w:b/>
          <w:bCs/>
          <w:lang w:val="en-US" w:eastAsia="zh-CN"/>
        </w:rPr>
      </w:pPr>
      <w:r>
        <w:rPr>
          <w:rFonts w:hint="eastAsia"/>
          <w:b/>
          <w:bCs/>
          <w:lang w:val="en-US" w:eastAsia="zh-CN"/>
        </w:rPr>
        <w:t>报价表</w:t>
      </w:r>
    </w:p>
    <w:p w14:paraId="5F2FEE7A">
      <w:pPr>
        <w:numPr>
          <w:ilvl w:val="0"/>
          <w:numId w:val="0"/>
        </w:numPr>
        <w:rPr>
          <w:rFonts w:hint="eastAsia"/>
          <w:sz w:val="32"/>
          <w:szCs w:val="32"/>
          <w:lang w:val="en-US" w:eastAsia="zh-CN"/>
        </w:rPr>
      </w:pPr>
      <w:r>
        <w:rPr>
          <w:rFonts w:hint="eastAsia"/>
          <w:sz w:val="32"/>
          <w:szCs w:val="32"/>
          <w:lang w:val="en-US" w:eastAsia="zh-CN"/>
        </w:rPr>
        <w:t>1.单个项目报价或者总报价超过最高限价的为无效报价。</w:t>
      </w:r>
    </w:p>
    <w:p w14:paraId="01F8EC8D">
      <w:pPr>
        <w:numPr>
          <w:ilvl w:val="0"/>
          <w:numId w:val="0"/>
        </w:numPr>
        <w:rPr>
          <w:rFonts w:hint="eastAsia"/>
          <w:sz w:val="32"/>
          <w:szCs w:val="32"/>
          <w:lang w:val="en-US" w:eastAsia="zh-CN"/>
        </w:rPr>
      </w:pPr>
      <w:r>
        <w:rPr>
          <w:rFonts w:hint="eastAsia"/>
          <w:sz w:val="32"/>
          <w:szCs w:val="32"/>
          <w:lang w:val="en-US" w:eastAsia="zh-CN"/>
        </w:rPr>
        <w:t>2.报价应包</w:t>
      </w:r>
      <w:r>
        <w:rPr>
          <w:rFonts w:hint="eastAsia"/>
          <w:sz w:val="32"/>
          <w:szCs w:val="32"/>
          <w:highlight w:val="none"/>
          <w:lang w:val="en-US" w:eastAsia="zh-CN"/>
        </w:rPr>
        <w:t>含6%</w:t>
      </w:r>
      <w:r>
        <w:rPr>
          <w:rFonts w:hint="eastAsia"/>
          <w:sz w:val="32"/>
          <w:szCs w:val="32"/>
          <w:lang w:val="en-US" w:eastAsia="zh-CN"/>
        </w:rPr>
        <w:t>税费及运费，如报价所含税率不为6%的请在报价表备注中注明。</w:t>
      </w:r>
    </w:p>
    <w:p w14:paraId="48D463CD">
      <w:pPr>
        <w:numPr>
          <w:ilvl w:val="0"/>
          <w:numId w:val="0"/>
        </w:numPr>
        <w:rPr>
          <w:rFonts w:hint="eastAsia"/>
          <w:sz w:val="32"/>
          <w:szCs w:val="32"/>
          <w:lang w:val="en-US" w:eastAsia="zh-CN"/>
        </w:rPr>
      </w:pPr>
      <w:r>
        <w:rPr>
          <w:rFonts w:hint="eastAsia"/>
          <w:sz w:val="32"/>
          <w:szCs w:val="32"/>
          <w:lang w:val="en-US" w:eastAsia="zh-CN"/>
        </w:rPr>
        <w:t>3. 结算方式：货到验收合格后1个月内支付货款100%（供方需提供真实有效的增值税专用发票）。</w:t>
      </w:r>
    </w:p>
    <w:p w14:paraId="47D82472">
      <w:pPr>
        <w:numPr>
          <w:ilvl w:val="0"/>
          <w:numId w:val="0"/>
        </w:numPr>
        <w:rPr>
          <w:rFonts w:hint="eastAsia"/>
          <w:sz w:val="32"/>
          <w:szCs w:val="32"/>
          <w:lang w:val="en-US" w:eastAsia="zh-CN"/>
        </w:rPr>
      </w:pPr>
      <w:r>
        <w:rPr>
          <w:rFonts w:hint="eastAsia"/>
          <w:sz w:val="32"/>
          <w:szCs w:val="32"/>
          <w:lang w:val="en-US" w:eastAsia="zh-CN"/>
        </w:rPr>
        <w:t>4. 报价有效期：60天。</w:t>
      </w:r>
    </w:p>
    <w:p w14:paraId="4C39C5BA">
      <w:pPr>
        <w:numPr>
          <w:ilvl w:val="0"/>
          <w:numId w:val="0"/>
        </w:numPr>
        <w:rPr>
          <w:rFonts w:hint="eastAsia"/>
          <w:sz w:val="32"/>
          <w:szCs w:val="32"/>
          <w:lang w:val="en-US" w:eastAsia="zh-CN"/>
        </w:rPr>
      </w:pPr>
      <w:r>
        <w:rPr>
          <w:rFonts w:hint="eastAsia"/>
          <w:sz w:val="32"/>
          <w:szCs w:val="32"/>
          <w:lang w:val="en-US" w:eastAsia="zh-CN"/>
        </w:rPr>
        <w:t>5. 确定成交方后3天内发出成交通知书。</w:t>
      </w:r>
    </w:p>
    <w:p w14:paraId="4EFC18E4">
      <w:pPr>
        <w:numPr>
          <w:ilvl w:val="0"/>
          <w:numId w:val="0"/>
        </w:numPr>
        <w:rPr>
          <w:rFonts w:hint="eastAsia"/>
          <w:sz w:val="32"/>
          <w:szCs w:val="32"/>
          <w:lang w:val="en-US" w:eastAsia="zh-CN"/>
        </w:rPr>
      </w:pPr>
      <w:r>
        <w:rPr>
          <w:rFonts w:hint="eastAsia"/>
          <w:sz w:val="32"/>
          <w:szCs w:val="32"/>
          <w:lang w:val="en-US" w:eastAsia="zh-CN"/>
        </w:rPr>
        <w:t>6.交货时间：要求最晚2026年09月30日前交货。</w:t>
      </w:r>
    </w:p>
    <w:p w14:paraId="3172D6DA">
      <w:pPr>
        <w:numPr>
          <w:ilvl w:val="0"/>
          <w:numId w:val="0"/>
        </w:numPr>
        <w:rPr>
          <w:rFonts w:hint="eastAsia"/>
          <w:sz w:val="32"/>
          <w:szCs w:val="32"/>
          <w:lang w:val="en-US" w:eastAsia="zh-CN"/>
        </w:rPr>
      </w:pPr>
      <w:r>
        <w:rPr>
          <w:rFonts w:hint="eastAsia"/>
          <w:sz w:val="32"/>
          <w:szCs w:val="32"/>
          <w:lang w:val="en-US" w:eastAsia="zh-CN"/>
        </w:rPr>
        <w:t>7.按技术规范书生产、验收。</w:t>
      </w:r>
    </w:p>
    <w:p w14:paraId="3650DB5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firstLine="0" w:firstLineChars="0"/>
        <w:jc w:val="left"/>
        <w:rPr>
          <w:rFonts w:hint="eastAsia" w:ascii="sans-serif" w:hAnsi="sans-serif" w:eastAsia="宋体" w:cs="sans-serif"/>
          <w:b/>
          <w:bCs/>
          <w:i w:val="0"/>
          <w:iCs w:val="0"/>
          <w:caps w:val="0"/>
          <w:spacing w:val="0"/>
          <w:sz w:val="30"/>
          <w:szCs w:val="30"/>
          <w:lang w:eastAsia="zh-CN"/>
        </w:rPr>
      </w:pPr>
      <w:r>
        <w:rPr>
          <w:rFonts w:hint="eastAsia" w:ascii="sans-serif" w:hAnsi="sans-serif" w:eastAsia="宋体" w:cs="sans-serif"/>
          <w:b/>
          <w:bCs/>
          <w:i w:val="0"/>
          <w:iCs w:val="0"/>
          <w:caps w:val="0"/>
          <w:spacing w:val="0"/>
          <w:sz w:val="30"/>
          <w:szCs w:val="30"/>
          <w:lang w:eastAsia="zh-CN"/>
        </w:rPr>
        <w:t>商务响应文件</w:t>
      </w:r>
    </w:p>
    <w:p w14:paraId="1DCE6626">
      <w:pPr>
        <w:pStyle w:val="2"/>
        <w:numPr>
          <w:ilvl w:val="0"/>
          <w:numId w:val="0"/>
        </w:numPr>
        <w:ind w:leftChars="0" w:firstLine="640" w:firstLineChars="200"/>
        <w:jc w:val="both"/>
        <w:rPr>
          <w:rFonts w:hint="eastAsia"/>
          <w:b w:val="0"/>
          <w:bCs w:val="0"/>
          <w:lang w:val="en-US" w:eastAsia="zh-CN"/>
        </w:rPr>
      </w:pPr>
      <w:r>
        <w:rPr>
          <w:rFonts w:hint="eastAsia"/>
          <w:b w:val="0"/>
          <w:bCs w:val="0"/>
          <w:lang w:val="en-US" w:eastAsia="zh-CN"/>
        </w:rPr>
        <w:t>商务响应文件内容为企业营业执照副本（复印件）、法定代表人授权书、法定代表身份证明、被授权人身份证明、质量保证、服务承诺、企业相关业绩表及证明材料等，格式自拟。</w:t>
      </w:r>
      <w:r>
        <w:rPr>
          <w:rFonts w:hint="eastAsia"/>
          <w:b w:val="0"/>
          <w:bCs w:val="0"/>
          <w:lang w:val="en-US" w:eastAsia="zh-CN"/>
        </w:rPr>
        <w:br w:type="textWrapping"/>
      </w:r>
      <w:r>
        <w:rPr>
          <w:rFonts w:hint="eastAsia"/>
          <w:b/>
          <w:bCs/>
          <w:lang w:val="en-US" w:eastAsia="zh-CN"/>
        </w:rPr>
        <w:t>（三）技术响应文件</w:t>
      </w:r>
    </w:p>
    <w:p w14:paraId="3297707A">
      <w:pPr>
        <w:pStyle w:val="2"/>
        <w:numPr>
          <w:ilvl w:val="0"/>
          <w:numId w:val="0"/>
        </w:numPr>
        <w:ind w:leftChars="0" w:firstLine="640" w:firstLineChars="200"/>
        <w:jc w:val="both"/>
        <w:rPr>
          <w:rFonts w:hint="eastAsia"/>
          <w:b w:val="0"/>
          <w:bCs w:val="0"/>
          <w:lang w:val="en-US" w:eastAsia="zh-CN"/>
        </w:rPr>
      </w:pPr>
      <w:r>
        <w:rPr>
          <w:rFonts w:hint="eastAsia"/>
          <w:b w:val="0"/>
          <w:bCs w:val="0"/>
          <w:lang w:val="en-US" w:eastAsia="zh-CN"/>
        </w:rPr>
        <w:t>技术响应文件内容为对采购文件的技术部分要求进行逐条点对点应答，包含技术投标偏差表、技术方案的详细描述、企业技术能力说明等，格式自拟。</w:t>
      </w:r>
      <w:r>
        <w:rPr>
          <w:rFonts w:hint="eastAsia"/>
          <w:b w:val="0"/>
          <w:bCs w:val="0"/>
          <w:lang w:val="en-US" w:eastAsia="zh-CN"/>
        </w:rPr>
        <w:br w:type="textWrapping"/>
      </w:r>
      <w:r>
        <w:rPr>
          <w:rFonts w:hint="eastAsia"/>
          <w:b w:val="0"/>
          <w:bCs w:val="0"/>
          <w:lang w:val="en-US" w:eastAsia="zh-CN"/>
        </w:rPr>
        <w:t>三、</w:t>
      </w:r>
      <w:r>
        <w:rPr>
          <w:rFonts w:hint="eastAsia"/>
          <w:b/>
          <w:bCs/>
          <w:lang w:val="en-US" w:eastAsia="zh-CN"/>
        </w:rPr>
        <w:t>响应和偏差</w:t>
      </w:r>
    </w:p>
    <w:p w14:paraId="25D0F370">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b w:val="0"/>
          <w:bCs w:val="0"/>
          <w:lang w:val="en-US" w:eastAsia="zh-CN"/>
        </w:rPr>
      </w:pPr>
      <w:r>
        <w:rPr>
          <w:rFonts w:hint="eastAsia"/>
          <w:b w:val="0"/>
          <w:bCs w:val="0"/>
          <w:lang w:val="en-US" w:eastAsia="zh-CN"/>
        </w:rPr>
        <w:t>1.响应人对采购文件的所有条款、条件及规定的任何技术或商务的偏差，都应在响应文件中加以说明。如有偏差，响应人应在商务响应文件或技术响应文件中进行说明，不得修改技术规范书中明确列明的技术参数而不提出偏差。如无偏差，响应人应在响应文件中写“无偏差”。对于响应人未列明的偏差部分，采购人将视为响应人未提出该偏差。</w:t>
      </w:r>
    </w:p>
    <w:p w14:paraId="3E5518EB">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b w:val="0"/>
          <w:bCs w:val="0"/>
          <w:lang w:val="en-US" w:eastAsia="zh-CN"/>
        </w:rPr>
      </w:pPr>
      <w:r>
        <w:rPr>
          <w:rFonts w:hint="eastAsia"/>
          <w:b w:val="0"/>
          <w:bCs w:val="0"/>
          <w:lang w:val="en-US" w:eastAsia="zh-CN"/>
        </w:rPr>
        <w:t>2.如果响应人的响应文件存在实际偏差，但是未在响应文件中明确列出，导致合同无法签订的，采购人可以取消响应人的供货资格，并按照国家有关法律法规和中国南方电网有限责任公司相关规定对该响应人进行处理。</w:t>
      </w:r>
    </w:p>
    <w:p w14:paraId="66FC08B2">
      <w:pPr>
        <w:pStyle w:val="2"/>
        <w:numPr>
          <w:ilvl w:val="0"/>
          <w:numId w:val="0"/>
        </w:numPr>
        <w:jc w:val="left"/>
        <w:rPr>
          <w:rFonts w:hint="eastAsia" w:ascii="宋体" w:hAnsi="宋体" w:eastAsia="宋体" w:cs="宋体"/>
          <w:b/>
          <w:bCs/>
          <w:sz w:val="30"/>
          <w:szCs w:val="30"/>
          <w:lang w:val="en-US" w:eastAsia="zh-CN"/>
        </w:rPr>
      </w:pPr>
      <w:r>
        <w:rPr>
          <w:rFonts w:hint="eastAsia" w:ascii="宋体" w:hAnsi="宋体" w:cs="宋体"/>
          <w:b/>
          <w:bCs/>
          <w:sz w:val="30"/>
          <w:szCs w:val="30"/>
          <w:lang w:val="en-US" w:eastAsia="zh-CN"/>
        </w:rPr>
        <w:t>四、</w:t>
      </w:r>
      <w:r>
        <w:rPr>
          <w:rFonts w:hint="eastAsia" w:ascii="宋体" w:hAnsi="宋体" w:eastAsia="宋体" w:cs="宋体"/>
          <w:b/>
          <w:bCs/>
          <w:sz w:val="30"/>
          <w:szCs w:val="30"/>
          <w:lang w:val="en-US" w:eastAsia="zh-CN"/>
        </w:rPr>
        <w:t>响应文件</w:t>
      </w:r>
      <w:r>
        <w:rPr>
          <w:rFonts w:hint="eastAsia" w:ascii="宋体" w:hAnsi="宋体" w:cs="宋体"/>
          <w:b/>
          <w:bCs/>
          <w:sz w:val="30"/>
          <w:szCs w:val="30"/>
          <w:lang w:val="en-US" w:eastAsia="zh-CN"/>
        </w:rPr>
        <w:t>提供及签署要求</w:t>
      </w:r>
    </w:p>
    <w:p w14:paraId="3DE3093B">
      <w:pPr>
        <w:pStyle w:val="3"/>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b w:val="0"/>
          <w:bCs w:val="0"/>
          <w:lang w:val="en-US" w:eastAsia="zh-CN"/>
        </w:rPr>
      </w:pPr>
      <w:r>
        <w:rPr>
          <w:rFonts w:hint="eastAsia"/>
          <w:b w:val="0"/>
          <w:bCs w:val="0"/>
          <w:lang w:val="en-US" w:eastAsia="zh-CN"/>
        </w:rPr>
        <w:t>1.未提供报价表、</w:t>
      </w:r>
      <w:r>
        <w:rPr>
          <w:rFonts w:hint="eastAsia" w:ascii="sans-serif" w:hAnsi="sans-serif" w:eastAsia="宋体" w:cs="sans-serif"/>
          <w:b w:val="0"/>
          <w:bCs w:val="0"/>
          <w:i w:val="0"/>
          <w:iCs w:val="0"/>
          <w:caps w:val="0"/>
          <w:spacing w:val="0"/>
          <w:sz w:val="30"/>
          <w:szCs w:val="30"/>
          <w:lang w:eastAsia="zh-CN"/>
        </w:rPr>
        <w:t>商务响应文件</w:t>
      </w:r>
      <w:r>
        <w:rPr>
          <w:rFonts w:hint="eastAsia" w:ascii="sans-serif" w:hAnsi="sans-serif" w:cs="sans-serif"/>
          <w:b w:val="0"/>
          <w:bCs w:val="0"/>
          <w:i w:val="0"/>
          <w:iCs w:val="0"/>
          <w:caps w:val="0"/>
          <w:spacing w:val="0"/>
          <w:sz w:val="30"/>
          <w:szCs w:val="30"/>
          <w:lang w:eastAsia="zh-CN"/>
        </w:rPr>
        <w:t>、</w:t>
      </w:r>
      <w:r>
        <w:rPr>
          <w:rFonts w:hint="eastAsia"/>
          <w:b w:val="0"/>
          <w:bCs w:val="0"/>
          <w:lang w:val="en-US" w:eastAsia="zh-CN"/>
        </w:rPr>
        <w:t>技术响应文件的作否决响应处理。</w:t>
      </w:r>
    </w:p>
    <w:p w14:paraId="431A011C">
      <w:pPr>
        <w:pStyle w:val="3"/>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b w:val="0"/>
          <w:bCs w:val="0"/>
          <w:lang w:val="en-US" w:eastAsia="zh-CN"/>
        </w:rPr>
      </w:pPr>
      <w:r>
        <w:rPr>
          <w:rFonts w:hint="eastAsia"/>
          <w:b w:val="0"/>
          <w:bCs w:val="0"/>
          <w:lang w:val="en-US" w:eastAsia="zh-CN"/>
        </w:rPr>
        <w:t>2.报价文件、商务响应文件、技术响应文件须盖单位章，如无盖章的，作否决响应处理。</w:t>
      </w:r>
    </w:p>
    <w:p w14:paraId="556080E1">
      <w:pPr>
        <w:rPr>
          <w:rFonts w:hint="eastAsia"/>
          <w:b/>
          <w:bCs/>
          <w:sz w:val="30"/>
          <w:szCs w:val="30"/>
          <w:lang w:val="en-US" w:eastAsia="zh-CN"/>
        </w:rPr>
      </w:pPr>
      <w:r>
        <w:rPr>
          <w:rFonts w:hint="eastAsia"/>
          <w:b/>
          <w:bCs/>
          <w:sz w:val="30"/>
          <w:szCs w:val="30"/>
          <w:lang w:val="en-US" w:eastAsia="zh-CN"/>
        </w:rPr>
        <w:t>五、成交原则</w:t>
      </w:r>
    </w:p>
    <w:p w14:paraId="53F43447">
      <w:pPr>
        <w:ind w:firstLine="600" w:firstLineChars="200"/>
        <w:rPr>
          <w:rFonts w:hint="eastAsia"/>
          <w:b w:val="0"/>
          <w:bCs w:val="0"/>
          <w:sz w:val="30"/>
          <w:szCs w:val="30"/>
          <w:lang w:val="en-US" w:eastAsia="zh-CN"/>
        </w:rPr>
      </w:pPr>
      <w:r>
        <w:rPr>
          <w:rFonts w:hint="eastAsia"/>
          <w:b w:val="0"/>
          <w:bCs w:val="0"/>
          <w:sz w:val="30"/>
          <w:szCs w:val="30"/>
          <w:lang w:val="en-US" w:eastAsia="zh-CN"/>
        </w:rPr>
        <w:t>满足要求且含税报价最低的作为成交供应商；报价相同的，按报价时间先后顺序推荐成交供应商。</w:t>
      </w:r>
    </w:p>
    <w:p w14:paraId="3482AEBA">
      <w:pPr>
        <w:pStyle w:val="2"/>
        <w:numPr>
          <w:ilvl w:val="0"/>
          <w:numId w:val="0"/>
        </w:numPr>
        <w:jc w:val="both"/>
        <w:rPr>
          <w:rFonts w:hint="eastAsia"/>
          <w:b w:val="0"/>
          <w:bCs w:val="0"/>
          <w:lang w:val="en-US" w:eastAsia="zh-CN"/>
        </w:rPr>
      </w:pPr>
      <w:r>
        <w:rPr>
          <w:rFonts w:hint="eastAsia"/>
          <w:b/>
          <w:bCs/>
          <w:lang w:val="en-US" w:eastAsia="zh-CN"/>
        </w:rPr>
        <w:t>六、联系方式：钟金邑</w:t>
      </w:r>
      <w:r>
        <w:rPr>
          <w:rFonts w:hint="eastAsia"/>
          <w:b w:val="0"/>
          <w:bCs w:val="0"/>
          <w:lang w:val="en-US" w:eastAsia="zh-CN"/>
        </w:rPr>
        <w:t xml:space="preserve">     电话：13471967650   </w:t>
      </w:r>
    </w:p>
    <w:p w14:paraId="36B4057C">
      <w:pPr>
        <w:pStyle w:val="2"/>
        <w:numPr>
          <w:ilvl w:val="0"/>
          <w:numId w:val="0"/>
        </w:numPr>
        <w:ind w:firstLine="3520" w:firstLineChars="1100"/>
        <w:jc w:val="both"/>
        <w:rPr>
          <w:rFonts w:hint="eastAsia"/>
          <w:b w:val="0"/>
          <w:bCs w:val="0"/>
          <w:lang w:val="en-US" w:eastAsia="zh-CN"/>
        </w:rPr>
      </w:pPr>
    </w:p>
    <w:p w14:paraId="6283A760">
      <w:pPr>
        <w:pStyle w:val="2"/>
        <w:numPr>
          <w:ilvl w:val="0"/>
          <w:numId w:val="0"/>
        </w:numPr>
        <w:ind w:firstLine="4160" w:firstLineChars="1300"/>
        <w:jc w:val="both"/>
        <w:rPr>
          <w:rFonts w:hint="eastAsia"/>
          <w:b w:val="0"/>
          <w:bCs w:val="0"/>
          <w:lang w:val="en-US" w:eastAsia="zh-CN"/>
        </w:rPr>
      </w:pPr>
      <w:r>
        <w:rPr>
          <w:rFonts w:hint="eastAsia"/>
          <w:b w:val="0"/>
          <w:bCs w:val="0"/>
          <w:lang w:val="en-US" w:eastAsia="zh-CN"/>
        </w:rPr>
        <w:t>贺州供电局生产技术部</w:t>
      </w:r>
    </w:p>
    <w:p w14:paraId="377F2B2E">
      <w:pPr>
        <w:pStyle w:val="3"/>
        <w:rPr>
          <w:rFonts w:hint="default"/>
          <w:lang w:val="en-US" w:eastAsia="zh-CN"/>
        </w:rPr>
      </w:pPr>
      <w:r>
        <w:rPr>
          <w:rFonts w:hint="eastAsia"/>
          <w:b w:val="0"/>
          <w:bCs w:val="0"/>
          <w:lang w:val="en-US" w:eastAsia="zh-CN"/>
        </w:rPr>
        <w:t xml:space="preserve">                    2026年6月16</w:t>
      </w:r>
      <w:bookmarkStart w:id="0" w:name="_GoBack"/>
      <w:bookmarkEnd w:id="0"/>
      <w:r>
        <w:rPr>
          <w:rFonts w:hint="eastAsia"/>
          <w:b w:val="0"/>
          <w:bCs w:val="0"/>
          <w:lang w:val="en-US" w:eastAsia="zh-CN"/>
        </w:rPr>
        <w:t>日</w:t>
      </w:r>
    </w:p>
    <w:sectPr>
      <w:pgSz w:w="11906" w:h="16838"/>
      <w:pgMar w:top="1440"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80"/>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sans-serif">
    <w:altName w:val="C059"/>
    <w:panose1 w:val="00000000000000000000"/>
    <w:charset w:val="00"/>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微软雅黑">
    <w:altName w:val="方正黑体_GBK"/>
    <w:panose1 w:val="00000000000000000000"/>
    <w:charset w:val="00"/>
    <w:family w:val="auto"/>
    <w:pitch w:val="default"/>
    <w:sig w:usb0="00000000" w:usb1="00000000" w:usb2="00000000" w:usb3="00000000" w:csb0="00000000" w:csb1="00000000"/>
  </w:font>
  <w:font w:name="Tahoma">
    <w:altName w:val="noto sans thai"/>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96186E"/>
    <w:multiLevelType w:val="singleLevel"/>
    <w:tmpl w:val="9C96186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1C5471"/>
    <w:rsid w:val="078C4434"/>
    <w:rsid w:val="07D70B43"/>
    <w:rsid w:val="0E573D9E"/>
    <w:rsid w:val="0E584AF7"/>
    <w:rsid w:val="110A18CA"/>
    <w:rsid w:val="15EC0B13"/>
    <w:rsid w:val="16660579"/>
    <w:rsid w:val="17EE32B7"/>
    <w:rsid w:val="19B008CA"/>
    <w:rsid w:val="1BB03B81"/>
    <w:rsid w:val="1C1C5471"/>
    <w:rsid w:val="1F96386D"/>
    <w:rsid w:val="22A70261"/>
    <w:rsid w:val="22DE4E8F"/>
    <w:rsid w:val="23F04A84"/>
    <w:rsid w:val="2456484F"/>
    <w:rsid w:val="2CEB45D3"/>
    <w:rsid w:val="2E751E3C"/>
    <w:rsid w:val="2F403519"/>
    <w:rsid w:val="2FFD4166"/>
    <w:rsid w:val="30130075"/>
    <w:rsid w:val="35B25AC7"/>
    <w:rsid w:val="38EB64AE"/>
    <w:rsid w:val="39BA1DAD"/>
    <w:rsid w:val="3C3C0C29"/>
    <w:rsid w:val="3E3237EE"/>
    <w:rsid w:val="448C4E25"/>
    <w:rsid w:val="479218B2"/>
    <w:rsid w:val="49DF799E"/>
    <w:rsid w:val="4A04384D"/>
    <w:rsid w:val="4C012F34"/>
    <w:rsid w:val="4C403398"/>
    <w:rsid w:val="50AF7019"/>
    <w:rsid w:val="52147498"/>
    <w:rsid w:val="5220562E"/>
    <w:rsid w:val="56AD4D9D"/>
    <w:rsid w:val="57D149C7"/>
    <w:rsid w:val="5AF9281A"/>
    <w:rsid w:val="5B6E4FED"/>
    <w:rsid w:val="5BB16EAE"/>
    <w:rsid w:val="5C977119"/>
    <w:rsid w:val="60C03702"/>
    <w:rsid w:val="60DE2ED4"/>
    <w:rsid w:val="612B56BE"/>
    <w:rsid w:val="615D7FE7"/>
    <w:rsid w:val="62251C7F"/>
    <w:rsid w:val="62DE3D1E"/>
    <w:rsid w:val="63B4163B"/>
    <w:rsid w:val="66CB1C6B"/>
    <w:rsid w:val="6CEA243C"/>
    <w:rsid w:val="6F994CE1"/>
    <w:rsid w:val="70DF3982"/>
    <w:rsid w:val="71097529"/>
    <w:rsid w:val="72F07F6D"/>
    <w:rsid w:val="73362DE5"/>
    <w:rsid w:val="73DB5234"/>
    <w:rsid w:val="74952DAB"/>
    <w:rsid w:val="77B63F8B"/>
    <w:rsid w:val="786C4E91"/>
    <w:rsid w:val="78ED7D37"/>
    <w:rsid w:val="7B28C7E3"/>
    <w:rsid w:val="7C7D0582"/>
    <w:rsid w:val="7D4D7843"/>
    <w:rsid w:val="7FEE21CA"/>
    <w:rsid w:val="96F9B5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3"/>
    <w:next w:val="3"/>
    <w:unhideWhenUsed/>
    <w:qFormat/>
    <w:uiPriority w:val="99"/>
    <w:pPr>
      <w:spacing w:after="120" w:afterLines="0"/>
    </w:pPr>
  </w:style>
  <w:style w:type="paragraph" w:styleId="3">
    <w:name w:val="Title"/>
    <w:basedOn w:val="1"/>
    <w:next w:val="1"/>
    <w:qFormat/>
    <w:uiPriority w:val="10"/>
    <w:pPr>
      <w:spacing w:before="240" w:after="60"/>
      <w:jc w:val="center"/>
      <w:outlineLvl w:val="0"/>
    </w:pPr>
    <w:rPr>
      <w:rFonts w:ascii="Arial" w:hAnsi="Arial"/>
      <w:b/>
      <w:bCs/>
      <w:sz w:val="32"/>
      <w:szCs w:val="32"/>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5</TotalTime>
  <ScaleCrop>false</ScaleCrop>
  <LinksUpToDate>false</LinksUpToDate>
  <CharactersWithSpaces>0</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2020-07-29T08:44:00Z</dcterms:created>
  <dc:creator>梁兆庭</dc:creator>
  <cp:lastModifiedBy>HZPCLI-BQ</cp:lastModifiedBy>
  <dcterms:modified xsi:type="dcterms:W3CDTF">2026-06-16T17:30:04Z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254B6E4505BB40689E5BCE72F57AAB1E</vt:lpwstr>
  </property>
</Properties>
</file>