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CB55C">
      <w:pPr>
        <w:jc w:val="center"/>
        <w:rPr>
          <w:rFonts w:ascii="宋体" w:hAnsi="宋体" w:cs="宋体"/>
          <w:sz w:val="44"/>
        </w:rPr>
      </w:pPr>
      <w:bookmarkStart w:id="0" w:name="_Toc98920284"/>
    </w:p>
    <w:p w14:paraId="124A929C">
      <w:pPr>
        <w:jc w:val="center"/>
        <w:rPr>
          <w:rFonts w:hint="eastAsia" w:ascii="宋体" w:hAnsi="宋体" w:eastAsia="宋体" w:cs="宋体"/>
          <w:b/>
          <w:sz w:val="52"/>
          <w:szCs w:val="52"/>
        </w:rPr>
      </w:pPr>
      <w:r>
        <w:rPr>
          <w:rFonts w:hint="eastAsia" w:ascii="宋体" w:hAnsi="宋体" w:cs="宋体"/>
          <w:b/>
          <w:sz w:val="52"/>
          <w:szCs w:val="52"/>
          <w:lang w:val="en-US" w:eastAsia="zh-CN"/>
        </w:rPr>
        <w:t>《一种紧凑型横担带电更换双串第一片绝缘子装置研制项目》</w:t>
      </w:r>
      <w:r>
        <w:rPr>
          <w:rFonts w:hint="eastAsia" w:ascii="宋体" w:hAnsi="宋体" w:eastAsia="宋体" w:cs="宋体"/>
          <w:b/>
          <w:sz w:val="52"/>
          <w:szCs w:val="52"/>
        </w:rPr>
        <w:t>加工服务技术规范书</w:t>
      </w:r>
    </w:p>
    <w:p w14:paraId="4982EC41">
      <w:pPr>
        <w:rPr>
          <w:rFonts w:ascii="宋体" w:hAnsi="宋体" w:cs="宋体"/>
          <w:sz w:val="28"/>
        </w:rPr>
      </w:pPr>
    </w:p>
    <w:p w14:paraId="0D5916AF">
      <w:pPr>
        <w:jc w:val="center"/>
        <w:rPr>
          <w:rFonts w:ascii="宋体" w:hAnsi="宋体" w:cs="宋体"/>
          <w:sz w:val="28"/>
        </w:rPr>
      </w:pPr>
      <w:r>
        <w:rPr>
          <w:rFonts w:hint="eastAsia" w:ascii="宋体" w:hAnsi="宋体" w:cs="宋体"/>
          <w:sz w:val="28"/>
        </w:rPr>
        <w:t xml:space="preserve">  </w:t>
      </w:r>
    </w:p>
    <w:p w14:paraId="4CE85CAF">
      <w:pPr>
        <w:ind w:firstLine="560" w:firstLineChars="200"/>
        <w:rPr>
          <w:rFonts w:ascii="宋体" w:hAnsi="宋体" w:cs="宋体"/>
          <w:sz w:val="28"/>
        </w:rPr>
      </w:pPr>
    </w:p>
    <w:p w14:paraId="2B490DC9">
      <w:pPr>
        <w:ind w:firstLine="560" w:firstLineChars="200"/>
        <w:rPr>
          <w:rFonts w:ascii="宋体" w:hAnsi="宋体" w:cs="宋体"/>
          <w:sz w:val="28"/>
        </w:rPr>
      </w:pPr>
    </w:p>
    <w:p w14:paraId="40E4F780">
      <w:pPr>
        <w:ind w:firstLine="560" w:firstLineChars="200"/>
        <w:rPr>
          <w:rFonts w:ascii="宋体" w:hAnsi="宋体" w:cs="宋体"/>
          <w:sz w:val="28"/>
        </w:rPr>
      </w:pPr>
    </w:p>
    <w:p w14:paraId="2F6F3F4E">
      <w:pPr>
        <w:pStyle w:val="2"/>
        <w:rPr>
          <w:rFonts w:ascii="宋体" w:hAnsi="宋体" w:cs="宋体"/>
          <w:sz w:val="28"/>
        </w:rPr>
      </w:pPr>
    </w:p>
    <w:p w14:paraId="4290E8D0">
      <w:pPr>
        <w:pStyle w:val="3"/>
      </w:pPr>
    </w:p>
    <w:p w14:paraId="4FC55B84">
      <w:pPr>
        <w:ind w:firstLine="560" w:firstLineChars="200"/>
        <w:rPr>
          <w:rFonts w:ascii="宋体" w:hAnsi="宋体" w:cs="宋体"/>
          <w:sz w:val="28"/>
        </w:rPr>
      </w:pPr>
    </w:p>
    <w:p w14:paraId="61489713">
      <w:pPr>
        <w:jc w:val="center"/>
        <w:rPr>
          <w:rFonts w:hint="default" w:ascii="宋体" w:hAnsi="宋体" w:eastAsia="宋体" w:cs="宋体"/>
          <w:sz w:val="44"/>
          <w:szCs w:val="44"/>
          <w:lang w:val="en-US" w:eastAsia="zh-CN"/>
        </w:rPr>
      </w:pPr>
      <w:r>
        <w:rPr>
          <w:rFonts w:hint="eastAsia" w:ascii="宋体" w:hAnsi="宋体" w:cs="宋体"/>
          <w:sz w:val="44"/>
          <w:szCs w:val="44"/>
          <w:lang w:val="en-US" w:eastAsia="zh-CN"/>
        </w:rPr>
        <w:t>广西电网公司贺州供电局</w:t>
      </w:r>
    </w:p>
    <w:p w14:paraId="275BFDE9">
      <w:pPr>
        <w:jc w:val="center"/>
        <w:rPr>
          <w:rFonts w:ascii="宋体" w:hAnsi="宋体" w:cs="宋体"/>
          <w:sz w:val="44"/>
          <w:szCs w:val="44"/>
        </w:rPr>
      </w:pPr>
      <w:r>
        <w:rPr>
          <w:rFonts w:hint="eastAsia" w:ascii="宋体" w:hAnsi="宋体" w:cs="宋体"/>
          <w:sz w:val="44"/>
          <w:szCs w:val="44"/>
        </w:rPr>
        <w:t>202</w:t>
      </w:r>
      <w:r>
        <w:rPr>
          <w:rFonts w:hint="default" w:ascii="宋体" w:hAnsi="宋体" w:cs="宋体"/>
          <w:sz w:val="44"/>
          <w:szCs w:val="44"/>
          <w:lang w:val="en-US"/>
        </w:rPr>
        <w:t>5</w:t>
      </w:r>
      <w:r>
        <w:rPr>
          <w:rFonts w:hint="eastAsia" w:ascii="宋体" w:hAnsi="宋体" w:cs="宋体"/>
          <w:sz w:val="44"/>
          <w:szCs w:val="44"/>
        </w:rPr>
        <w:t>年</w:t>
      </w:r>
      <w:r>
        <w:rPr>
          <w:rFonts w:hint="eastAsia" w:ascii="宋体" w:hAnsi="宋体" w:cs="宋体"/>
          <w:sz w:val="44"/>
          <w:szCs w:val="44"/>
          <w:lang w:val="en-US" w:eastAsia="zh-CN"/>
        </w:rPr>
        <w:t>5</w:t>
      </w:r>
      <w:r>
        <w:rPr>
          <w:rFonts w:hint="eastAsia" w:ascii="宋体" w:hAnsi="宋体" w:cs="宋体"/>
          <w:sz w:val="44"/>
          <w:szCs w:val="44"/>
        </w:rPr>
        <w:t>月</w:t>
      </w:r>
    </w:p>
    <w:p w14:paraId="757991F6">
      <w:pPr>
        <w:pStyle w:val="4"/>
        <w:numPr>
          <w:ilvl w:val="0"/>
          <w:numId w:val="1"/>
        </w:numPr>
        <w:spacing w:before="0" w:after="0" w:line="360" w:lineRule="auto"/>
        <w:rPr>
          <w:rFonts w:ascii="Times New Roman" w:hAnsi="Times New Roman"/>
          <w:color w:val="000000"/>
          <w:sz w:val="28"/>
          <w:szCs w:val="28"/>
        </w:rPr>
      </w:pPr>
      <w:bookmarkStart w:id="1" w:name="_Toc353940788"/>
      <w:bookmarkStart w:id="2" w:name="_Toc299606277"/>
      <w:bookmarkStart w:id="3" w:name="_Toc353939550"/>
      <w:bookmarkStart w:id="4" w:name="_Toc444945507"/>
      <w:bookmarkStart w:id="5" w:name="_Toc7566"/>
      <w:r>
        <w:rPr>
          <w:rFonts w:hint="eastAsia" w:ascii="Times New Roman" w:hAnsi="Times New Roman"/>
          <w:color w:val="000000"/>
          <w:sz w:val="28"/>
          <w:szCs w:val="28"/>
        </w:rPr>
        <w:t>总则</w:t>
      </w:r>
      <w:bookmarkEnd w:id="1"/>
      <w:bookmarkEnd w:id="2"/>
      <w:bookmarkEnd w:id="3"/>
      <w:bookmarkEnd w:id="4"/>
      <w:bookmarkEnd w:id="5"/>
    </w:p>
    <w:p w14:paraId="582C10B0">
      <w:pPr>
        <w:pStyle w:val="5"/>
        <w:numPr>
          <w:ilvl w:val="0"/>
          <w:numId w:val="2"/>
        </w:numPr>
        <w:rPr>
          <w:sz w:val="24"/>
          <w:szCs w:val="22"/>
        </w:rPr>
      </w:pPr>
      <w:bookmarkStart w:id="6" w:name="_Toc444945508"/>
      <w:bookmarkStart w:id="7" w:name="_Toc318799924"/>
      <w:bookmarkStart w:id="8" w:name="_Toc28526"/>
      <w:r>
        <w:rPr>
          <w:rFonts w:hint="eastAsia"/>
          <w:sz w:val="24"/>
          <w:szCs w:val="22"/>
        </w:rPr>
        <w:t>一般要求</w:t>
      </w:r>
      <w:bookmarkEnd w:id="6"/>
      <w:bookmarkEnd w:id="7"/>
      <w:bookmarkEnd w:id="8"/>
    </w:p>
    <w:p w14:paraId="436957F3">
      <w:pPr>
        <w:numPr>
          <w:ilvl w:val="0"/>
          <w:numId w:val="3"/>
        </w:numPr>
        <w:rPr>
          <w:rFonts w:ascii="宋体" w:hAnsi="宋体"/>
        </w:rPr>
      </w:pPr>
      <w:r>
        <w:rPr>
          <w:rFonts w:hint="eastAsia" w:ascii="宋体" w:hAnsi="宋体"/>
        </w:rPr>
        <w:t>本技术条款主要描述</w:t>
      </w:r>
      <w:r>
        <w:rPr>
          <w:rFonts w:hint="eastAsia" w:ascii="宋体" w:hAnsi="宋体"/>
          <w:u w:val="single"/>
          <w:lang w:eastAsia="zh-CN"/>
        </w:rPr>
        <w:t>广西电网公司贺州供电局</w:t>
      </w:r>
      <w:r>
        <w:rPr>
          <w:rFonts w:hint="eastAsia" w:ascii="宋体" w:hAnsi="宋体"/>
          <w:u w:val="single"/>
          <w:lang w:val="en-US" w:eastAsia="zh-CN"/>
        </w:rPr>
        <w:t>《一种紧凑型横担带电更换双串第一片绝缘子装置研制项目》</w:t>
      </w:r>
      <w:r>
        <w:rPr>
          <w:rFonts w:hint="eastAsia" w:ascii="宋体" w:hAnsi="宋体"/>
          <w:u w:val="single"/>
        </w:rPr>
        <w:t>加工服务项目</w:t>
      </w:r>
      <w:r>
        <w:rPr>
          <w:rFonts w:hint="eastAsia" w:ascii="宋体" w:hAnsi="宋体"/>
        </w:rPr>
        <w:t>有关事项。投标方必须认真阅读本技术条款内容，以免造成投标失败。</w:t>
      </w:r>
    </w:p>
    <w:p w14:paraId="2FBEAC3C">
      <w:pPr>
        <w:numPr>
          <w:ilvl w:val="0"/>
          <w:numId w:val="3"/>
        </w:numPr>
        <w:rPr>
          <w:rFonts w:ascii="宋体" w:hAnsi="宋体"/>
        </w:rPr>
      </w:pPr>
      <w:r>
        <w:rPr>
          <w:rFonts w:hint="eastAsia" w:ascii="宋体" w:hAnsi="宋体"/>
        </w:rPr>
        <w:t>本技术规范书提出的是最低限度的技术要求, 并未对一切技术细节作出规定，也未充分引述有关标准和规范的条文。投标方应提供符合本招标技术文件和工业标准的优质产品、服务，认真阅读，逐条准确回答和陈述，必须清楚地说明是否满足本技术规范书的每一项具体要求。如果不满足要求，除在逐条应答时予以说明外，还需以“差异表”的形式另外列出。</w:t>
      </w:r>
    </w:p>
    <w:p w14:paraId="0EAAF4C2">
      <w:pPr>
        <w:numPr>
          <w:ilvl w:val="0"/>
          <w:numId w:val="3"/>
        </w:numPr>
        <w:rPr>
          <w:rFonts w:ascii="宋体" w:hAnsi="宋体"/>
        </w:rPr>
      </w:pPr>
      <w:r>
        <w:rPr>
          <w:rFonts w:hint="eastAsia" w:ascii="宋体" w:hAnsi="宋体"/>
        </w:rPr>
        <w:t>本规范书指标要求中，凡标有下划线或加“★”的地方均被视为重要的技术指标要求或性能要求。投标方要特别加以注意，必须完全满足这些要求。</w:t>
      </w:r>
    </w:p>
    <w:p w14:paraId="787BFF5F">
      <w:pPr>
        <w:numPr>
          <w:ilvl w:val="0"/>
          <w:numId w:val="3"/>
        </w:numPr>
        <w:rPr>
          <w:rFonts w:ascii="宋体" w:hAnsi="宋体"/>
        </w:rPr>
      </w:pPr>
      <w:r>
        <w:rPr>
          <w:rFonts w:hint="eastAsia" w:ascii="宋体" w:hAnsi="宋体"/>
        </w:rPr>
        <w:t xml:space="preserve"> 投标方应提供满足本技术规范书要求的建议书、实施方案及报价，建议书、实施方案必须满足本技术规范的主要要求，否则将被认作没有回答。投标方认为需特殊说明的部分，应附详细的技术资料，否则因评标理解不同而产生的后果由投标方负责。</w:t>
      </w:r>
    </w:p>
    <w:p w14:paraId="48E8037B">
      <w:pPr>
        <w:numPr>
          <w:ilvl w:val="0"/>
          <w:numId w:val="3"/>
        </w:numPr>
        <w:rPr>
          <w:rFonts w:ascii="宋体" w:hAnsi="宋体"/>
        </w:rPr>
      </w:pPr>
      <w:r>
        <w:rPr>
          <w:rFonts w:hint="eastAsia" w:ascii="宋体" w:hAnsi="宋体"/>
        </w:rPr>
        <w:t xml:space="preserve"> 如果投标方认为本技术条款所描述技术要求等存在不合理性或不明白的，可在响应原要求后陈述相关建议。</w:t>
      </w:r>
    </w:p>
    <w:p w14:paraId="78C4A993">
      <w:pPr>
        <w:numPr>
          <w:ilvl w:val="0"/>
          <w:numId w:val="3"/>
        </w:numPr>
        <w:rPr>
          <w:rFonts w:ascii="宋体" w:hAnsi="宋体"/>
        </w:rPr>
      </w:pPr>
      <w:r>
        <w:rPr>
          <w:rFonts w:hint="eastAsia" w:ascii="宋体" w:hAnsi="宋体"/>
        </w:rPr>
        <w:t xml:space="preserve"> 投标方也可提出满足本技术规范书要求，且技术先进、成熟、价格合理的其他建议，供招标方选择。</w:t>
      </w:r>
    </w:p>
    <w:p w14:paraId="64CCDB64">
      <w:pPr>
        <w:numPr>
          <w:ilvl w:val="0"/>
          <w:numId w:val="3"/>
        </w:numPr>
        <w:rPr>
          <w:rFonts w:ascii="宋体" w:hAnsi="宋体"/>
        </w:rPr>
      </w:pPr>
      <w:r>
        <w:rPr>
          <w:rFonts w:hint="eastAsia" w:ascii="宋体" w:hAnsi="宋体"/>
        </w:rPr>
        <w:t xml:space="preserve"> 投标方应提供满足本技术规范书要求的完整的服务、工作产品，满足国家及用户提出的有关质量标准要求。所有工作产品必须具有在中国境内的合法使用权。</w:t>
      </w:r>
    </w:p>
    <w:p w14:paraId="57D1AA9C">
      <w:pPr>
        <w:numPr>
          <w:ilvl w:val="0"/>
          <w:numId w:val="3"/>
        </w:numPr>
        <w:rPr>
          <w:rFonts w:ascii="宋体" w:hAnsi="宋体"/>
        </w:rPr>
      </w:pPr>
      <w:r>
        <w:rPr>
          <w:rFonts w:hint="eastAsia" w:ascii="宋体" w:hAnsi="宋体"/>
        </w:rPr>
        <w:t xml:space="preserve"> 本技术规范书所使用的标准如与投标方所执行的标准不一致，按较高标准执行。</w:t>
      </w:r>
    </w:p>
    <w:p w14:paraId="15367A20">
      <w:pPr>
        <w:numPr>
          <w:ilvl w:val="0"/>
          <w:numId w:val="3"/>
        </w:numPr>
        <w:rPr>
          <w:rFonts w:ascii="宋体" w:hAnsi="宋体"/>
        </w:rPr>
      </w:pPr>
      <w:r>
        <w:rPr>
          <w:rFonts w:hint="eastAsia" w:ascii="宋体" w:hAnsi="宋体"/>
        </w:rPr>
        <w:t xml:space="preserve"> 如果因为无法提供的原因而提供其他产品、服务，投标方应明确说明并提出质量保证承诺。</w:t>
      </w:r>
    </w:p>
    <w:p w14:paraId="32FFD53B">
      <w:pPr>
        <w:numPr>
          <w:ilvl w:val="0"/>
          <w:numId w:val="3"/>
        </w:numPr>
        <w:rPr>
          <w:rFonts w:ascii="宋体" w:hAnsi="宋体"/>
        </w:rPr>
      </w:pPr>
      <w:r>
        <w:rPr>
          <w:rFonts w:hint="eastAsia" w:ascii="宋体" w:hAnsi="宋体"/>
        </w:rPr>
        <w:t xml:space="preserve"> 投标方应保证为今后招标方开发的或招标方委托第三方开发的其他工作产品提供可靠的性能和兼容性。</w:t>
      </w:r>
    </w:p>
    <w:p w14:paraId="69AFC640">
      <w:pPr>
        <w:numPr>
          <w:ilvl w:val="0"/>
          <w:numId w:val="3"/>
        </w:numPr>
        <w:rPr>
          <w:rFonts w:ascii="宋体" w:hAnsi="宋体"/>
        </w:rPr>
      </w:pPr>
      <w:r>
        <w:rPr>
          <w:rFonts w:hint="eastAsia" w:ascii="宋体" w:hAnsi="宋体"/>
        </w:rPr>
        <w:t>投标方应对本次投标所有文件保密，不得向其他单位公布或泄漏招标项目的有关信息。</w:t>
      </w:r>
    </w:p>
    <w:p w14:paraId="119E27DF">
      <w:pPr>
        <w:numPr>
          <w:ilvl w:val="0"/>
          <w:numId w:val="3"/>
        </w:numPr>
        <w:rPr>
          <w:rFonts w:ascii="宋体" w:hAnsi="宋体"/>
        </w:rPr>
      </w:pPr>
      <w:r>
        <w:rPr>
          <w:rFonts w:hint="eastAsia" w:ascii="宋体" w:hAnsi="宋体"/>
        </w:rPr>
        <w:t>招标方保留技术规范书修改的权利，可以提出变更的意见和建议，最终签订的技术协议与合同具有同等效力。</w:t>
      </w:r>
    </w:p>
    <w:p w14:paraId="034F00F6">
      <w:pPr>
        <w:numPr>
          <w:ilvl w:val="0"/>
          <w:numId w:val="3"/>
        </w:numPr>
        <w:rPr>
          <w:rFonts w:ascii="宋体" w:hAnsi="宋体"/>
        </w:rPr>
      </w:pPr>
      <w:r>
        <w:rPr>
          <w:rFonts w:hint="eastAsia" w:ascii="宋体" w:hAnsi="宋体"/>
        </w:rPr>
        <w:t>在不超出本技术规范书要求的情况下，投标方应对招标方提出的所有细化要求予以满足。</w:t>
      </w:r>
    </w:p>
    <w:p w14:paraId="73AA83AB">
      <w:pPr>
        <w:numPr>
          <w:ilvl w:val="0"/>
          <w:numId w:val="3"/>
        </w:numPr>
        <w:rPr>
          <w:rFonts w:ascii="宋体" w:hAnsi="宋体"/>
        </w:rPr>
      </w:pPr>
      <w:r>
        <w:rPr>
          <w:rFonts w:hint="eastAsia" w:ascii="宋体" w:hAnsi="宋体"/>
        </w:rPr>
        <w:t xml:space="preserve"> 有文件、图纸、通信的均使用中文。所有计算、说明、图纸文件、手册等使用国际单位制。</w:t>
      </w:r>
    </w:p>
    <w:p w14:paraId="5DA1CF3F">
      <w:pPr>
        <w:pStyle w:val="5"/>
        <w:numPr>
          <w:ilvl w:val="0"/>
          <w:numId w:val="2"/>
        </w:numPr>
        <w:rPr>
          <w:sz w:val="24"/>
          <w:szCs w:val="22"/>
        </w:rPr>
      </w:pPr>
      <w:bookmarkStart w:id="9" w:name="_Toc293665071"/>
      <w:bookmarkStart w:id="10" w:name="_Toc582"/>
      <w:bookmarkStart w:id="11" w:name="_Toc252485428"/>
      <w:bookmarkStart w:id="12" w:name="_Toc445194080"/>
      <w:bookmarkStart w:id="13" w:name="_Toc255894290"/>
      <w:bookmarkStart w:id="14" w:name="_Toc252486971"/>
      <w:bookmarkStart w:id="15" w:name="_Toc222711875"/>
      <w:bookmarkStart w:id="16" w:name="_Toc23193"/>
      <w:bookmarkStart w:id="17" w:name="_Toc261810243"/>
      <w:r>
        <w:rPr>
          <w:rFonts w:hint="eastAsia"/>
          <w:sz w:val="24"/>
          <w:szCs w:val="22"/>
        </w:rPr>
        <w:t>标准和规范</w:t>
      </w:r>
      <w:bookmarkEnd w:id="9"/>
      <w:bookmarkEnd w:id="10"/>
      <w:bookmarkEnd w:id="11"/>
      <w:bookmarkEnd w:id="12"/>
      <w:bookmarkEnd w:id="13"/>
      <w:bookmarkEnd w:id="14"/>
      <w:bookmarkEnd w:id="15"/>
      <w:bookmarkEnd w:id="16"/>
      <w:bookmarkEnd w:id="17"/>
    </w:p>
    <w:p w14:paraId="33F0E167">
      <w:pPr>
        <w:numPr>
          <w:ilvl w:val="0"/>
          <w:numId w:val="4"/>
        </w:numPr>
        <w:rPr>
          <w:rFonts w:ascii="宋体" w:hAnsi="宋体"/>
        </w:rPr>
      </w:pPr>
      <w:bookmarkStart w:id="18" w:name="_Toc205543260"/>
      <w:r>
        <w:rPr>
          <w:rFonts w:ascii="宋体" w:hAnsi="宋体"/>
        </w:rPr>
        <w:t>本规范书中涉及的所有规范、标准或材料规格均应为最新版本，即以招标方发出本定单之日作为采用最新版本的截止日期。若发现本规范书与所列标准之间有不一致之处，投标方应向招标方指明，并由招标方确定采用哪一个规范。</w:t>
      </w:r>
    </w:p>
    <w:p w14:paraId="46B231EB">
      <w:pPr>
        <w:numPr>
          <w:ilvl w:val="0"/>
          <w:numId w:val="4"/>
        </w:numPr>
        <w:rPr>
          <w:rFonts w:ascii="宋体" w:hAnsi="宋体"/>
        </w:rPr>
      </w:pPr>
      <w:r>
        <w:rPr>
          <w:rFonts w:hint="eastAsia" w:ascii="宋体" w:hAnsi="宋体"/>
        </w:rPr>
        <w:t>如供方没有以书面形式对本规范书的条款提出异议，则意味着供方提供的设备完全满足本规范书的要求。如有异议，不管多么微小，都应在投标书相应的专门章节中加以详细描述。</w:t>
      </w:r>
    </w:p>
    <w:p w14:paraId="271B4D50">
      <w:pPr>
        <w:numPr>
          <w:ilvl w:val="0"/>
          <w:numId w:val="4"/>
        </w:numPr>
        <w:rPr>
          <w:rFonts w:ascii="宋体" w:hAnsi="宋体"/>
        </w:rPr>
      </w:pPr>
      <w:r>
        <w:rPr>
          <w:rFonts w:hint="eastAsia" w:ascii="宋体" w:hAnsi="宋体"/>
        </w:rPr>
        <w:t xml:space="preserve"> 本设备技术规范书经需供双方确认后作为订货合同的技术附件，与合同正文具有同等的法律效力。</w:t>
      </w:r>
    </w:p>
    <w:p w14:paraId="669FEC95">
      <w:pPr>
        <w:numPr>
          <w:ilvl w:val="0"/>
          <w:numId w:val="4"/>
        </w:numPr>
        <w:rPr>
          <w:rFonts w:ascii="宋体" w:hAnsi="宋体"/>
        </w:rPr>
      </w:pPr>
      <w:r>
        <w:rPr>
          <w:rFonts w:hint="eastAsia" w:ascii="宋体" w:hAnsi="宋体"/>
        </w:rPr>
        <w:t xml:space="preserve"> 供方须执行现行国家标准和行业标准。应遵循的主要现行标准如下。下列标准所包含的条文，通过在本技术规范中引用而构成为本技术规范的条文。本技术规范确定时，所示版本均为有效。所有标准都会被修订，供需双方应探讨使用下列标准最新版本的可能性。有矛盾时，按现行的技术要求较高的标准执行。</w:t>
      </w:r>
    </w:p>
    <w:p w14:paraId="42043149">
      <w:pPr>
        <w:numPr>
          <w:ilvl w:val="0"/>
          <w:numId w:val="4"/>
        </w:numPr>
        <w:rPr>
          <w:rFonts w:ascii="宋体" w:hAnsi="宋体"/>
        </w:rPr>
      </w:pPr>
      <w:r>
        <w:rPr>
          <w:rFonts w:hint="eastAsia" w:ascii="宋体" w:hAnsi="宋体"/>
        </w:rPr>
        <w:t>本设备技术规范书未尽事宜，由需供双方协商确定。</w:t>
      </w:r>
    </w:p>
    <w:p w14:paraId="23A8FD7C">
      <w:pPr>
        <w:pStyle w:val="4"/>
        <w:numPr>
          <w:ilvl w:val="0"/>
          <w:numId w:val="1"/>
        </w:numPr>
        <w:spacing w:before="0" w:after="0" w:line="360" w:lineRule="auto"/>
        <w:rPr>
          <w:rFonts w:ascii="Times New Roman" w:hAnsi="Times New Roman"/>
          <w:color w:val="000000"/>
          <w:sz w:val="28"/>
          <w:szCs w:val="28"/>
        </w:rPr>
      </w:pPr>
      <w:bookmarkStart w:id="19" w:name="_Toc444945516"/>
      <w:bookmarkStart w:id="20" w:name="_Toc22626"/>
      <w:r>
        <w:rPr>
          <w:rFonts w:hint="eastAsia" w:ascii="Times New Roman" w:hAnsi="Times New Roman"/>
          <w:color w:val="000000"/>
          <w:sz w:val="28"/>
          <w:szCs w:val="28"/>
        </w:rPr>
        <w:t>技术要求</w:t>
      </w:r>
      <w:bookmarkEnd w:id="19"/>
      <w:bookmarkEnd w:id="20"/>
    </w:p>
    <w:p w14:paraId="69038441">
      <w:pPr>
        <w:pStyle w:val="5"/>
        <w:numPr>
          <w:ilvl w:val="0"/>
          <w:numId w:val="5"/>
        </w:numPr>
      </w:pPr>
      <w:bookmarkStart w:id="21" w:name="_Toc26863"/>
      <w:bookmarkStart w:id="22" w:name="_Toc437603901"/>
      <w:bookmarkStart w:id="23" w:name="_Toc444945518"/>
      <w:bookmarkStart w:id="24" w:name="_Toc480800900"/>
      <w:bookmarkStart w:id="25" w:name="_Toc23830"/>
      <w:r>
        <w:rPr>
          <w:rFonts w:hint="eastAsia"/>
        </w:rPr>
        <w:t>项目研究内容</w:t>
      </w:r>
      <w:bookmarkEnd w:id="21"/>
      <w:bookmarkEnd w:id="22"/>
      <w:bookmarkEnd w:id="23"/>
    </w:p>
    <w:p w14:paraId="5C229D16">
      <w:pPr>
        <w:spacing w:line="360" w:lineRule="auto"/>
        <w:ind w:firstLine="480" w:firstLineChars="200"/>
        <w:rPr>
          <w:rFonts w:hint="eastAsia"/>
          <w:lang w:val="en-US" w:eastAsia="zh-CN"/>
        </w:rPr>
      </w:pPr>
      <w:bookmarkStart w:id="26" w:name="_Toc19695"/>
      <w:r>
        <w:rPr>
          <w:rFonts w:hint="eastAsia"/>
          <w:lang w:val="en-US" w:eastAsia="zh-CN"/>
        </w:rPr>
        <w:t>研制一种龙门式双联闭锁吊具，横梁由高强度金属制作，由双层梁组成，上下梁由两侧导向杆连接，使用时，下层梁垂直压紧在紧凑型横档上，上层梁中间设有丝杆螺母，上层梁两外侧设拉板，拉板下部设计为L型，L型卡住绝缘子铸铁帽，通过旋转丝杠，带动绝缘子串向上提升，方便更换第一个绝缘子。</w:t>
      </w:r>
    </w:p>
    <w:p w14:paraId="4DAEE82F">
      <w:pPr>
        <w:pStyle w:val="5"/>
        <w:numPr>
          <w:ilvl w:val="0"/>
          <w:numId w:val="5"/>
        </w:numPr>
        <w:rPr>
          <w:rFonts w:hint="eastAsia"/>
          <w:lang w:val="en-US" w:eastAsia="zh-CN"/>
        </w:rPr>
      </w:pPr>
      <w:r>
        <w:rPr>
          <w:rFonts w:hint="eastAsia"/>
          <w:lang w:val="en-US" w:eastAsia="zh-CN"/>
        </w:rPr>
        <w:t>技术指标要求</w:t>
      </w:r>
      <w:bookmarkEnd w:id="26"/>
    </w:p>
    <w:p w14:paraId="74C1EBF9">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bidi="ar-SA"/>
        </w:rPr>
        <w:t>1.额定载荷</w:t>
      </w:r>
    </w:p>
    <w:p w14:paraId="2794328F">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eastAsia="宋体" w:cs="宋体"/>
          <w:sz w:val="24"/>
          <w:szCs w:val="24"/>
        </w:rPr>
      </w:pPr>
      <w:r>
        <w:rPr>
          <w:rFonts w:ascii="宋体" w:hAnsi="宋体" w:eastAsia="宋体" w:cs="宋体"/>
          <w:b w:val="0"/>
          <w:bCs w:val="0"/>
          <w:sz w:val="24"/>
          <w:szCs w:val="24"/>
          <w:lang w:val="en-US" w:eastAsia="zh-CN" w:bidi="ar-SA"/>
        </w:rPr>
        <w:t>起吊能力：明确额定起吊重量（如≥XX kN），需覆盖绝缘子串及附属金具的总重量，安</w:t>
      </w:r>
      <w:r>
        <w:rPr>
          <w:rFonts w:ascii="宋体" w:hAnsi="宋体" w:eastAsia="宋体" w:cs="宋体"/>
          <w:sz w:val="24"/>
          <w:szCs w:val="24"/>
        </w:rPr>
        <w:t>全系数≥3（即结构破断载荷≥额定载荷的3倍）。</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载荷分布：确保上下梁、拉板等部件在偏心载荷下（如绝缘子串倾斜时）的承载能力。</w:t>
      </w:r>
      <w:r>
        <w:rPr>
          <w:rFonts w:ascii="宋体" w:hAnsi="宋体" w:eastAsia="宋体" w:cs="宋体"/>
          <w:sz w:val="24"/>
          <w:szCs w:val="24"/>
        </w:rPr>
        <w:br w:type="textWrapping"/>
      </w:r>
      <w:r>
        <w:rPr>
          <w:rFonts w:ascii="宋体" w:hAnsi="宋体" w:eastAsia="宋体" w:cs="宋体"/>
          <w:sz w:val="24"/>
          <w:szCs w:val="24"/>
        </w:rPr>
        <w:t>2.横梁与结构强度</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材质：横梁采用高强度金属（如Q355B、铝合金6061-T6），屈服强度≥345 MPa，抗拉强度≥490 MPa。</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双层梁设计：上下梁平行度误差≤1mm/m，导向杆垂直度偏差≤0.5°，确保升降过程中无卡滞。导向杆直径≥20mm，表面硬度HRC≥40，抗弯曲强度≥500 MPa。</w:t>
      </w:r>
      <w:r>
        <w:rPr>
          <w:rFonts w:ascii="宋体" w:hAnsi="宋体" w:eastAsia="宋体" w:cs="宋体"/>
          <w:sz w:val="24"/>
          <w:szCs w:val="24"/>
        </w:rPr>
        <w:br w:type="textWrapping"/>
      </w:r>
      <w:r>
        <w:rPr>
          <w:rFonts w:ascii="宋体" w:hAnsi="宋体" w:eastAsia="宋体" w:cs="宋体"/>
          <w:sz w:val="24"/>
          <w:szCs w:val="24"/>
        </w:rPr>
        <w:t>3.拉板与卡具性能</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拉板结构：L型卡爪材质为45#钢调质处理（硬度HB220-250），卡爪开口尺寸与绝缘子铸铁帽匹配（误差±0.5mm），卡住后间隙≤1mm。拉板抗拉强度≥600 MPa，L型折弯处需经无损检测（如磁粉探伤），无裂纹。闭锁功能：卡爪需设计防脱锁止结构（如弹簧卡扣），确保提升时不松脱。</w:t>
      </w:r>
      <w:r>
        <w:rPr>
          <w:rFonts w:ascii="宋体" w:hAnsi="宋体" w:eastAsia="宋体" w:cs="宋体"/>
          <w:sz w:val="24"/>
          <w:szCs w:val="24"/>
        </w:rPr>
        <w:br w:type="textWrapping"/>
      </w:r>
      <w:r>
        <w:rPr>
          <w:rFonts w:ascii="宋体" w:hAnsi="宋体" w:eastAsia="宋体" w:cs="宋体"/>
          <w:sz w:val="24"/>
          <w:szCs w:val="24"/>
        </w:rPr>
        <w:t>4.丝杆螺母传动系统</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丝杆参数：采用梯形螺纹（如Tr30×6），螺距精度6H，表面镀锌防锈，抗拉强度≥800 MPa丝杆与螺母配合间隙≤0.1mm，空载旋转力矩≤10N·m，满载时手轮操作力≤150N。</w:t>
      </w:r>
    </w:p>
    <w:p w14:paraId="07385179">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自锁性能：螺母需具备自锁功能（螺纹升角≤摩擦角），满载时静置10分钟无下滑。</w:t>
      </w:r>
      <w:r>
        <w:rPr>
          <w:rFonts w:ascii="宋体" w:hAnsi="宋体" w:eastAsia="宋体" w:cs="宋体"/>
          <w:sz w:val="24"/>
          <w:szCs w:val="24"/>
        </w:rPr>
        <w:br w:type="textWrapping"/>
      </w:r>
      <w:r>
        <w:rPr>
          <w:rFonts w:ascii="宋体" w:hAnsi="宋体" w:eastAsia="宋体" w:cs="宋体"/>
          <w:sz w:val="24"/>
          <w:szCs w:val="24"/>
        </w:rPr>
        <w:t>5.压紧与定位精度</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下层梁压紧力：垂直压紧紧凑型横档时，接触压力≥5kN（确保吊装时不滑移），接触面粗糙度Ra≤12.5μm。</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定位偏差：上下梁中心偏差≤2mm，拉板L型卡爪与绝缘子铸铁帽中心对齐误差≤3mm。</w:t>
      </w:r>
      <w:r>
        <w:rPr>
          <w:rFonts w:ascii="宋体" w:hAnsi="宋体" w:eastAsia="宋体" w:cs="宋体"/>
          <w:sz w:val="24"/>
          <w:szCs w:val="24"/>
        </w:rPr>
        <w:br w:type="textWrapping"/>
      </w:r>
      <w:r>
        <w:rPr>
          <w:rFonts w:ascii="宋体" w:hAnsi="宋体" w:eastAsia="宋体" w:cs="宋体"/>
          <w:sz w:val="24"/>
          <w:szCs w:val="24"/>
        </w:rPr>
        <w:t>6.安全系数与试验要求</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整体安全系数：各受力部件（横梁、拉板、丝杆）安全系数≥2.5，关键焊缝（如拉板与横梁连接处）安全系数≥3。</w:t>
      </w:r>
    </w:p>
    <w:p w14:paraId="7A8B309E">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80" w:leftChars="200" w:firstLine="0" w:firstLineChars="0"/>
        <w:textAlignment w:val="auto"/>
        <w:rPr>
          <w:rFonts w:ascii="宋体" w:hAnsi="宋体" w:eastAsia="宋体" w:cs="宋体"/>
          <w:sz w:val="24"/>
          <w:szCs w:val="24"/>
        </w:rPr>
      </w:pPr>
      <w:r>
        <w:rPr>
          <w:rFonts w:ascii="宋体" w:hAnsi="宋体" w:eastAsia="宋体" w:cs="宋体"/>
          <w:sz w:val="24"/>
          <w:szCs w:val="24"/>
        </w:rPr>
        <w:t>静载试验：施加1.5倍额定载荷，持续30分钟，结构变形量≤1mm，无永久损伤。</w:t>
      </w:r>
      <w:r>
        <w:rPr>
          <w:rFonts w:ascii="宋体" w:hAnsi="宋体" w:eastAsia="宋体" w:cs="宋体"/>
          <w:sz w:val="24"/>
          <w:szCs w:val="24"/>
        </w:rPr>
        <w:br w:type="textWrapping"/>
      </w:r>
      <w:r>
        <w:rPr>
          <w:rFonts w:ascii="宋体" w:hAnsi="宋体" w:eastAsia="宋体" w:cs="宋体"/>
          <w:sz w:val="24"/>
          <w:szCs w:val="24"/>
        </w:rPr>
        <w:t>动载试验：施加1.2倍额定载荷，升降5次，传动系统无卡滞，卡爪闭锁可靠。</w:t>
      </w:r>
      <w:r>
        <w:rPr>
          <w:rFonts w:ascii="宋体" w:hAnsi="宋体" w:eastAsia="宋体" w:cs="宋体"/>
          <w:sz w:val="24"/>
          <w:szCs w:val="24"/>
        </w:rPr>
        <w:br w:type="textWrapping"/>
      </w:r>
      <w:r>
        <w:rPr>
          <w:rFonts w:ascii="宋体" w:hAnsi="宋体" w:eastAsia="宋体" w:cs="宋体"/>
          <w:sz w:val="24"/>
          <w:szCs w:val="24"/>
        </w:rPr>
        <w:t>疲劳试验：施加额定载荷，循环升降1000次，部件无裂纹、磨损量≤0.5mm。</w:t>
      </w:r>
    </w:p>
    <w:p w14:paraId="13BF8ED4">
      <w:pPr>
        <w:keepNext w:val="0"/>
        <w:keepLines w:val="0"/>
        <w:pageBreakBefore w:val="0"/>
        <w:widowControl/>
        <w:numPr>
          <w:ilvl w:val="0"/>
          <w:numId w:val="4"/>
        </w:numPr>
        <w:kinsoku/>
        <w:wordWrap/>
        <w:overflowPunct/>
        <w:topLinePunct w:val="0"/>
        <w:autoSpaceDE/>
        <w:autoSpaceDN/>
        <w:bidi w:val="0"/>
        <w:adjustRightInd/>
        <w:snapToGrid/>
        <w:spacing w:before="0" w:beforeAutospacing="0" w:after="0" w:afterAutospacing="0" w:line="360" w:lineRule="auto"/>
        <w:ind w:left="0" w:leftChars="0" w:firstLine="400" w:firstLineChars="0"/>
        <w:textAlignment w:val="auto"/>
        <w:rPr>
          <w:rFonts w:ascii="宋体" w:hAnsi="宋体" w:eastAsia="宋体" w:cs="宋体"/>
          <w:sz w:val="24"/>
          <w:szCs w:val="24"/>
        </w:rPr>
      </w:pPr>
      <w:r>
        <w:rPr>
          <w:rFonts w:ascii="宋体" w:hAnsi="宋体" w:eastAsia="宋体" w:cs="宋体"/>
          <w:sz w:val="24"/>
          <w:szCs w:val="24"/>
        </w:rPr>
        <w:t>外观与操作便捷性</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重量控制：整机重量≤50kg（便于人工搬运），各部件可拆卸，最小拆装单元重量</w:t>
      </w:r>
    </w:p>
    <w:p w14:paraId="14D5692F">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lang w:val="en-US" w:eastAsia="zh-CN"/>
        </w:rPr>
      </w:pPr>
      <w:r>
        <w:rPr>
          <w:rFonts w:ascii="宋体" w:hAnsi="宋体" w:eastAsia="宋体" w:cs="宋体"/>
          <w:sz w:val="24"/>
          <w:szCs w:val="24"/>
        </w:rPr>
        <w:t>≤20kg。</w:t>
      </w:r>
      <w:r>
        <w:rPr>
          <w:rFonts w:hint="eastAsia" w:ascii="宋体" w:hAnsi="宋体" w:eastAsia="宋体" w:cs="宋体"/>
          <w:sz w:val="24"/>
          <w:szCs w:val="24"/>
          <w:lang w:val="en-US" w:eastAsia="zh-CN"/>
        </w:rPr>
        <w:t xml:space="preserve">    </w:t>
      </w:r>
    </w:p>
    <w:p w14:paraId="5ECF1968">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eastAsia="宋体" w:cs="宋体"/>
          <w:sz w:val="24"/>
          <w:szCs w:val="24"/>
        </w:rPr>
      </w:pPr>
      <w:r>
        <w:rPr>
          <w:rFonts w:ascii="宋体" w:hAnsi="宋体" w:eastAsia="宋体" w:cs="宋体"/>
          <w:sz w:val="24"/>
          <w:szCs w:val="24"/>
        </w:rPr>
        <w:t>表面处理：金属件需镀锌或喷塑防腐（盐雾试验≥500小时无锈蚀），手轮、拉板等操作部位需防滑处理。</w:t>
      </w:r>
      <w:r>
        <w:rPr>
          <w:rFonts w:ascii="宋体" w:hAnsi="宋体" w:eastAsia="宋体" w:cs="宋体"/>
          <w:sz w:val="24"/>
          <w:szCs w:val="24"/>
        </w:rPr>
        <w:br w:type="textWrapping"/>
      </w:r>
      <w:r>
        <w:rPr>
          <w:rFonts w:ascii="宋体" w:hAnsi="宋体" w:eastAsia="宋体" w:cs="宋体"/>
          <w:sz w:val="24"/>
          <w:szCs w:val="24"/>
        </w:rPr>
        <w:t>8.环境适应性</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工作温度：-20℃~+60℃，湿度≤95%（无凝露），能在风速≤10m/s（5级风）环境下使用。</w:t>
      </w:r>
    </w:p>
    <w:p w14:paraId="57C7FFB6">
      <w:pPr>
        <w:pStyle w:val="4"/>
        <w:numPr>
          <w:ilvl w:val="0"/>
          <w:numId w:val="1"/>
        </w:numPr>
        <w:spacing w:before="0" w:after="0" w:line="360" w:lineRule="auto"/>
        <w:rPr>
          <w:rFonts w:ascii="Times New Roman" w:hAnsi="Times New Roman"/>
          <w:color w:val="000000"/>
          <w:sz w:val="28"/>
          <w:szCs w:val="28"/>
        </w:rPr>
      </w:pPr>
      <w:r>
        <w:rPr>
          <w:rFonts w:hint="eastAsia" w:ascii="Times New Roman" w:hAnsi="Times New Roman"/>
          <w:color w:val="000000"/>
          <w:sz w:val="28"/>
          <w:szCs w:val="28"/>
        </w:rPr>
        <w:t>研究开发成果交付</w:t>
      </w:r>
      <w:bookmarkEnd w:id="24"/>
      <w:r>
        <w:rPr>
          <w:rFonts w:hint="eastAsia" w:ascii="Times New Roman" w:hAnsi="Times New Roman"/>
          <w:color w:val="000000"/>
          <w:sz w:val="28"/>
          <w:szCs w:val="28"/>
        </w:rPr>
        <w:t>物</w:t>
      </w:r>
      <w:bookmarkEnd w:id="25"/>
    </w:p>
    <w:p w14:paraId="6D88918C">
      <w:pPr>
        <w:ind w:firstLine="480"/>
        <w:jc w:val="center"/>
        <w:rPr>
          <w:rFonts w:ascii="宋体" w:hAnsi="宋体"/>
        </w:rPr>
      </w:pPr>
      <w:bookmarkStart w:id="27" w:name="_Toc480800901"/>
      <w:r>
        <w:rPr>
          <w:rFonts w:hint="eastAsia" w:ascii="宋体" w:hAnsi="宋体"/>
        </w:rPr>
        <w:t>表1 研究开发成果交付的形式和数量</w:t>
      </w:r>
      <w:bookmarkEnd w:id="27"/>
    </w:p>
    <w:tbl>
      <w:tblPr>
        <w:tblStyle w:val="7"/>
        <w:tblW w:w="8416" w:type="dxa"/>
        <w:tblInd w:w="-5" w:type="dxa"/>
        <w:tblLayout w:type="fixed"/>
        <w:tblCellMar>
          <w:top w:w="0" w:type="dxa"/>
          <w:left w:w="0" w:type="dxa"/>
          <w:bottom w:w="0" w:type="dxa"/>
          <w:right w:w="0" w:type="dxa"/>
        </w:tblCellMar>
      </w:tblPr>
      <w:tblGrid>
        <w:gridCol w:w="645"/>
        <w:gridCol w:w="2465"/>
        <w:gridCol w:w="1016"/>
        <w:gridCol w:w="856"/>
        <w:gridCol w:w="1366"/>
        <w:gridCol w:w="2068"/>
      </w:tblGrid>
      <w:tr w14:paraId="51EE296E">
        <w:trPr>
          <w:trHeight w:val="535" w:hRule="atLeast"/>
          <w:tblHeader/>
        </w:trPr>
        <w:tc>
          <w:tcPr>
            <w:tcW w:w="645" w:type="dxa"/>
            <w:tcBorders>
              <w:top w:val="single" w:color="auto" w:sz="4" w:space="0"/>
              <w:left w:val="single" w:color="auto" w:sz="4" w:space="0"/>
              <w:bottom w:val="single" w:color="auto" w:sz="4" w:space="0"/>
              <w:right w:val="single" w:color="000000" w:sz="4" w:space="0"/>
            </w:tcBorders>
            <w:vAlign w:val="center"/>
          </w:tcPr>
          <w:p w14:paraId="1AF8AF7D">
            <w:pPr>
              <w:jc w:val="center"/>
              <w:rPr>
                <w:rFonts w:ascii="宋体" w:hAnsi="宋体" w:cs="宋体"/>
                <w:szCs w:val="24"/>
              </w:rPr>
            </w:pPr>
            <w:r>
              <w:rPr>
                <w:rFonts w:hint="eastAsia" w:ascii="宋体" w:hAnsi="宋体" w:cs="宋体"/>
                <w:szCs w:val="24"/>
              </w:rPr>
              <w:t>序号</w:t>
            </w:r>
          </w:p>
        </w:tc>
        <w:tc>
          <w:tcPr>
            <w:tcW w:w="2465" w:type="dxa"/>
            <w:tcBorders>
              <w:top w:val="single" w:color="000000" w:sz="4" w:space="0"/>
              <w:left w:val="nil"/>
              <w:bottom w:val="single" w:color="auto" w:sz="4" w:space="0"/>
              <w:right w:val="single" w:color="000000" w:sz="4" w:space="0"/>
            </w:tcBorders>
            <w:vAlign w:val="center"/>
          </w:tcPr>
          <w:p w14:paraId="1294CAD3">
            <w:pPr>
              <w:jc w:val="center"/>
              <w:rPr>
                <w:rFonts w:ascii="宋体" w:hAnsi="宋体" w:cs="宋体"/>
                <w:szCs w:val="24"/>
              </w:rPr>
            </w:pPr>
            <w:r>
              <w:rPr>
                <w:rFonts w:hint="eastAsia" w:ascii="宋体" w:hAnsi="宋体" w:cs="宋体"/>
                <w:szCs w:val="24"/>
              </w:rPr>
              <w:t>成果名称</w:t>
            </w:r>
          </w:p>
        </w:tc>
        <w:tc>
          <w:tcPr>
            <w:tcW w:w="1016" w:type="dxa"/>
            <w:tcBorders>
              <w:top w:val="single" w:color="000000" w:sz="4" w:space="0"/>
              <w:left w:val="single" w:color="auto" w:sz="4" w:space="0"/>
              <w:bottom w:val="single" w:color="auto" w:sz="4" w:space="0"/>
              <w:right w:val="nil"/>
            </w:tcBorders>
            <w:vAlign w:val="center"/>
          </w:tcPr>
          <w:p w14:paraId="07C501B2">
            <w:pPr>
              <w:jc w:val="center"/>
              <w:rPr>
                <w:rFonts w:ascii="宋体" w:hAnsi="宋体" w:cs="宋体"/>
                <w:szCs w:val="24"/>
              </w:rPr>
            </w:pPr>
            <w:r>
              <w:rPr>
                <w:rFonts w:hint="eastAsia" w:ascii="宋体" w:hAnsi="宋体" w:cs="宋体"/>
                <w:szCs w:val="24"/>
              </w:rPr>
              <w:t>型号规格</w:t>
            </w:r>
          </w:p>
        </w:tc>
        <w:tc>
          <w:tcPr>
            <w:tcW w:w="856" w:type="dxa"/>
            <w:tcBorders>
              <w:top w:val="single" w:color="auto" w:sz="4" w:space="0"/>
              <w:left w:val="single" w:color="auto" w:sz="4" w:space="0"/>
              <w:bottom w:val="single" w:color="auto" w:sz="4" w:space="0"/>
              <w:right w:val="single" w:color="auto" w:sz="4" w:space="0"/>
            </w:tcBorders>
            <w:vAlign w:val="center"/>
          </w:tcPr>
          <w:p w14:paraId="400DB8A7">
            <w:pPr>
              <w:jc w:val="center"/>
              <w:rPr>
                <w:rFonts w:ascii="宋体" w:hAnsi="宋体" w:cs="宋体"/>
                <w:szCs w:val="24"/>
              </w:rPr>
            </w:pPr>
            <w:r>
              <w:rPr>
                <w:rFonts w:hint="eastAsia" w:ascii="宋体" w:hAnsi="宋体" w:cs="宋体"/>
                <w:szCs w:val="24"/>
              </w:rPr>
              <w:t>数量</w:t>
            </w:r>
          </w:p>
        </w:tc>
        <w:tc>
          <w:tcPr>
            <w:tcW w:w="1366" w:type="dxa"/>
            <w:tcBorders>
              <w:top w:val="single" w:color="auto" w:sz="4" w:space="0"/>
              <w:left w:val="single" w:color="auto" w:sz="4" w:space="0"/>
              <w:bottom w:val="single" w:color="auto" w:sz="4" w:space="0"/>
              <w:right w:val="single" w:color="auto" w:sz="4" w:space="0"/>
            </w:tcBorders>
            <w:vAlign w:val="center"/>
          </w:tcPr>
          <w:p w14:paraId="2E97304C">
            <w:pPr>
              <w:jc w:val="center"/>
              <w:rPr>
                <w:rFonts w:ascii="宋体" w:hAnsi="宋体" w:cs="宋体"/>
                <w:szCs w:val="24"/>
              </w:rPr>
            </w:pPr>
            <w:r>
              <w:rPr>
                <w:rFonts w:hint="eastAsia" w:ascii="宋体" w:hAnsi="宋体" w:cs="宋体"/>
                <w:szCs w:val="24"/>
              </w:rPr>
              <w:t>交付地点</w:t>
            </w:r>
          </w:p>
        </w:tc>
        <w:tc>
          <w:tcPr>
            <w:tcW w:w="2068" w:type="dxa"/>
            <w:tcBorders>
              <w:top w:val="single" w:color="auto" w:sz="4" w:space="0"/>
              <w:left w:val="single" w:color="auto" w:sz="4" w:space="0"/>
              <w:bottom w:val="single" w:color="auto" w:sz="4" w:space="0"/>
              <w:right w:val="single" w:color="auto" w:sz="4" w:space="0"/>
            </w:tcBorders>
            <w:vAlign w:val="center"/>
          </w:tcPr>
          <w:p w14:paraId="21250B95">
            <w:pPr>
              <w:jc w:val="center"/>
              <w:rPr>
                <w:rFonts w:ascii="宋体" w:hAnsi="宋体" w:cs="宋体"/>
                <w:szCs w:val="24"/>
              </w:rPr>
            </w:pPr>
            <w:r>
              <w:rPr>
                <w:rFonts w:hint="eastAsia" w:ascii="宋体" w:hAnsi="宋体" w:cs="宋体"/>
                <w:szCs w:val="24"/>
              </w:rPr>
              <w:t>备注</w:t>
            </w:r>
          </w:p>
        </w:tc>
      </w:tr>
      <w:tr w14:paraId="0E343A50">
        <w:tblPrEx>
          <w:tblCellMar>
            <w:top w:w="0" w:type="dxa"/>
            <w:left w:w="0" w:type="dxa"/>
            <w:bottom w:w="0" w:type="dxa"/>
            <w:right w:w="0" w:type="dxa"/>
          </w:tblCellMar>
        </w:tblPrEx>
        <w:trPr>
          <w:cantSplit/>
          <w:trHeight w:val="481" w:hRule="atLeast"/>
        </w:trPr>
        <w:tc>
          <w:tcPr>
            <w:tcW w:w="645" w:type="dxa"/>
            <w:tcBorders>
              <w:top w:val="single" w:color="auto" w:sz="4" w:space="0"/>
              <w:left w:val="single" w:color="auto" w:sz="4" w:space="0"/>
              <w:bottom w:val="single" w:color="auto" w:sz="4" w:space="0"/>
              <w:right w:val="single" w:color="auto" w:sz="4" w:space="0"/>
            </w:tcBorders>
            <w:vAlign w:val="center"/>
          </w:tcPr>
          <w:p w14:paraId="1DD82D89">
            <w:pPr>
              <w:jc w:val="center"/>
              <w:rPr>
                <w:rFonts w:ascii="宋体" w:hAnsi="宋体" w:cs="宋体"/>
                <w:szCs w:val="24"/>
                <w:highlight w:val="none"/>
              </w:rPr>
            </w:pPr>
            <w:r>
              <w:rPr>
                <w:rFonts w:hint="eastAsia" w:ascii="宋体" w:hAnsi="宋体" w:cs="宋体"/>
                <w:szCs w:val="24"/>
                <w:highlight w:val="none"/>
              </w:rPr>
              <w:t>1</w:t>
            </w:r>
          </w:p>
        </w:tc>
        <w:tc>
          <w:tcPr>
            <w:tcW w:w="2465" w:type="dxa"/>
            <w:tcBorders>
              <w:top w:val="single" w:color="auto" w:sz="4" w:space="0"/>
              <w:left w:val="single" w:color="auto" w:sz="4" w:space="0"/>
              <w:bottom w:val="single" w:color="auto" w:sz="4" w:space="0"/>
              <w:right w:val="single" w:color="auto" w:sz="4" w:space="0"/>
            </w:tcBorders>
            <w:vAlign w:val="center"/>
          </w:tcPr>
          <w:p w14:paraId="794B56E9">
            <w:pPr>
              <w:jc w:val="center"/>
              <w:rPr>
                <w:rFonts w:ascii="宋体" w:hAnsi="宋体" w:cs="宋体"/>
                <w:szCs w:val="24"/>
                <w:highlight w:val="none"/>
              </w:rPr>
            </w:pPr>
            <w:r>
              <w:rPr>
                <w:rFonts w:hint="eastAsia" w:ascii="宋体" w:hAnsi="宋体" w:cs="宋体"/>
                <w:szCs w:val="24"/>
                <w:highlight w:val="none"/>
                <w:lang w:eastAsia="zh-CN"/>
              </w:rPr>
              <w:t>《一种紧凑型横担带电更换双串第一片绝缘子装置研制项目》</w:t>
            </w:r>
            <w:r>
              <w:rPr>
                <w:rFonts w:hint="eastAsia" w:ascii="宋体" w:hAnsi="宋体" w:eastAsia="宋体" w:cs="宋体"/>
                <w:szCs w:val="24"/>
                <w:highlight w:val="none"/>
              </w:rPr>
              <w:t>加工服务</w:t>
            </w:r>
          </w:p>
        </w:tc>
        <w:tc>
          <w:tcPr>
            <w:tcW w:w="1016" w:type="dxa"/>
            <w:tcBorders>
              <w:top w:val="single" w:color="auto" w:sz="4" w:space="0"/>
              <w:left w:val="single" w:color="auto" w:sz="4" w:space="0"/>
              <w:bottom w:val="single" w:color="auto" w:sz="4" w:space="0"/>
              <w:right w:val="single" w:color="auto" w:sz="4" w:space="0"/>
            </w:tcBorders>
            <w:vAlign w:val="center"/>
          </w:tcPr>
          <w:p w14:paraId="48AEA652">
            <w:pPr>
              <w:jc w:val="center"/>
              <w:rPr>
                <w:rFonts w:hint="default" w:ascii="宋体" w:hAnsi="宋体" w:eastAsia="宋体" w:cs="宋体"/>
                <w:szCs w:val="24"/>
                <w:highlight w:val="none"/>
                <w:lang w:val="en-US" w:eastAsia="zh-CN"/>
              </w:rPr>
            </w:pPr>
            <w:r>
              <w:rPr>
                <w:rFonts w:hint="eastAsia" w:ascii="宋体" w:hAnsi="宋体" w:cs="宋体"/>
                <w:szCs w:val="24"/>
                <w:highlight w:val="none"/>
                <w:lang w:val="en-US" w:eastAsia="zh-CN"/>
              </w:rPr>
              <w:t>/</w:t>
            </w:r>
          </w:p>
        </w:tc>
        <w:tc>
          <w:tcPr>
            <w:tcW w:w="856" w:type="dxa"/>
            <w:tcBorders>
              <w:top w:val="single" w:color="auto" w:sz="4" w:space="0"/>
              <w:left w:val="single" w:color="auto" w:sz="4" w:space="0"/>
              <w:bottom w:val="single" w:color="auto" w:sz="4" w:space="0"/>
              <w:right w:val="single" w:color="auto" w:sz="4" w:space="0"/>
            </w:tcBorders>
            <w:vAlign w:val="center"/>
          </w:tcPr>
          <w:p w14:paraId="7352BD43">
            <w:pPr>
              <w:jc w:val="center"/>
              <w:rPr>
                <w:rFonts w:ascii="宋体" w:hAnsi="宋体" w:cs="宋体"/>
                <w:szCs w:val="24"/>
                <w:highlight w:val="none"/>
              </w:rPr>
            </w:pPr>
            <w:r>
              <w:rPr>
                <w:rFonts w:hint="eastAsia" w:ascii="宋体" w:hAnsi="宋体" w:cs="宋体"/>
                <w:szCs w:val="24"/>
                <w:highlight w:val="none"/>
                <w:lang w:val="en-US" w:eastAsia="zh-CN"/>
              </w:rPr>
              <w:t>1</w:t>
            </w:r>
            <w:r>
              <w:rPr>
                <w:rFonts w:hint="eastAsia" w:ascii="宋体" w:hAnsi="宋体" w:cs="宋体"/>
                <w:szCs w:val="24"/>
                <w:highlight w:val="none"/>
              </w:rPr>
              <w:t>套</w:t>
            </w:r>
          </w:p>
        </w:tc>
        <w:tc>
          <w:tcPr>
            <w:tcW w:w="1366" w:type="dxa"/>
            <w:tcBorders>
              <w:top w:val="single" w:color="auto" w:sz="4" w:space="0"/>
              <w:left w:val="single" w:color="auto" w:sz="4" w:space="0"/>
              <w:bottom w:val="single" w:color="auto" w:sz="4" w:space="0"/>
              <w:right w:val="single" w:color="auto" w:sz="4" w:space="0"/>
            </w:tcBorders>
            <w:vAlign w:val="center"/>
          </w:tcPr>
          <w:p w14:paraId="00748C8D">
            <w:pPr>
              <w:jc w:val="center"/>
              <w:rPr>
                <w:rFonts w:hint="eastAsia" w:ascii="宋体" w:hAnsi="宋体" w:eastAsia="宋体" w:cs="宋体"/>
                <w:szCs w:val="24"/>
                <w:highlight w:val="none"/>
                <w:lang w:val="en-US" w:eastAsia="zh-CN"/>
              </w:rPr>
            </w:pPr>
            <w:r>
              <w:rPr>
                <w:rFonts w:hint="eastAsia" w:ascii="宋体" w:hAnsi="宋体" w:cs="宋体"/>
                <w:szCs w:val="24"/>
                <w:highlight w:val="none"/>
              </w:rPr>
              <w:t>广西</w:t>
            </w:r>
            <w:r>
              <w:rPr>
                <w:rFonts w:hint="eastAsia" w:ascii="宋体" w:hAnsi="宋体" w:cs="宋体"/>
                <w:szCs w:val="24"/>
                <w:highlight w:val="none"/>
                <w:lang w:val="en-US" w:eastAsia="zh-CN"/>
              </w:rPr>
              <w:t>贺州</w:t>
            </w:r>
          </w:p>
        </w:tc>
        <w:tc>
          <w:tcPr>
            <w:tcW w:w="2068" w:type="dxa"/>
            <w:tcBorders>
              <w:top w:val="single" w:color="auto" w:sz="4" w:space="0"/>
              <w:left w:val="single" w:color="auto" w:sz="4" w:space="0"/>
              <w:bottom w:val="single" w:color="auto" w:sz="4" w:space="0"/>
              <w:right w:val="single" w:color="auto" w:sz="4" w:space="0"/>
            </w:tcBorders>
            <w:vAlign w:val="center"/>
          </w:tcPr>
          <w:p w14:paraId="00A8836E">
            <w:pPr>
              <w:jc w:val="center"/>
              <w:rPr>
                <w:highlight w:val="none"/>
              </w:rPr>
            </w:pPr>
            <w:r>
              <w:rPr>
                <w:rFonts w:hint="eastAsia"/>
                <w:highlight w:val="none"/>
              </w:rPr>
              <w:t>符合技术指标要求</w:t>
            </w:r>
          </w:p>
        </w:tc>
      </w:tr>
    </w:tbl>
    <w:p w14:paraId="7FFC0A45">
      <w:pPr>
        <w:pStyle w:val="4"/>
        <w:numPr>
          <w:ilvl w:val="0"/>
          <w:numId w:val="1"/>
        </w:numPr>
        <w:spacing w:before="0" w:after="0" w:line="360" w:lineRule="auto"/>
        <w:rPr>
          <w:rFonts w:ascii="Times New Roman" w:hAnsi="Times New Roman"/>
          <w:color w:val="000000"/>
          <w:sz w:val="28"/>
          <w:szCs w:val="28"/>
        </w:rPr>
      </w:pPr>
      <w:bookmarkStart w:id="28" w:name="_Toc14965"/>
      <w:r>
        <w:rPr>
          <w:rFonts w:hint="eastAsia" w:ascii="Times New Roman" w:hAnsi="Times New Roman"/>
          <w:color w:val="000000"/>
          <w:sz w:val="28"/>
          <w:szCs w:val="28"/>
        </w:rPr>
        <w:t>人员要求</w:t>
      </w:r>
      <w:bookmarkEnd w:id="28"/>
    </w:p>
    <w:p w14:paraId="0E092302">
      <w:pPr>
        <w:numPr>
          <w:ilvl w:val="0"/>
          <w:numId w:val="6"/>
        </w:numPr>
        <w:rPr>
          <w:rFonts w:ascii="Times New Roman" w:hAnsi="Times New Roman"/>
          <w:color w:val="000000"/>
        </w:rPr>
      </w:pPr>
      <w:r>
        <w:rPr>
          <w:rFonts w:ascii="Times New Roman" w:hAnsi="Times New Roman"/>
          <w:color w:val="000000"/>
        </w:rPr>
        <w:t>投标方应在投标时提供投入本项目工作的项目组人员名单，列入名单的人员应专职于本项目工作，专职开发人员人数占名单总人数比例不得少于60%，在未通过项目验收前，该名单中的人员变动不得超过30%。（根据项目需要进行修改）</w:t>
      </w:r>
    </w:p>
    <w:p w14:paraId="0F4D6860">
      <w:pPr>
        <w:numPr>
          <w:ilvl w:val="0"/>
          <w:numId w:val="6"/>
        </w:numPr>
        <w:rPr>
          <w:rFonts w:ascii="Times New Roman" w:hAnsi="Times New Roman"/>
          <w:color w:val="FF0000"/>
        </w:rPr>
      </w:pPr>
      <w:r>
        <w:rPr>
          <w:rFonts w:ascii="Times New Roman" w:hAnsi="Times New Roman"/>
          <w:color w:val="auto"/>
        </w:rPr>
        <w:t>投标方应在投标时应提供项目组总负责人名单及其资质、业绩说明、履职计划及承诺书，总负责人应理解Q/CSG 2133003中的要素管理要求，在未通过项目验收前，总负责人不应变动。</w:t>
      </w:r>
    </w:p>
    <w:p w14:paraId="592DA83C">
      <w:pPr>
        <w:numPr>
          <w:ilvl w:val="0"/>
          <w:numId w:val="6"/>
        </w:numPr>
        <w:rPr>
          <w:highlight w:val="none"/>
        </w:rPr>
      </w:pPr>
      <w:r>
        <w:rPr>
          <w:rFonts w:ascii="Times New Roman" w:hAnsi="Times New Roman"/>
          <w:color w:val="000000"/>
        </w:rPr>
        <w:t>投标方应在投标时应提供项目组中</w:t>
      </w:r>
      <w:r>
        <w:rPr>
          <w:rFonts w:ascii="Times New Roman" w:hAnsi="Times New Roman"/>
          <w:color w:val="000000"/>
          <w:highlight w:val="none"/>
        </w:rPr>
        <w:t>关于</w:t>
      </w:r>
      <w:r>
        <w:rPr>
          <w:rFonts w:hint="eastAsia" w:ascii="Times New Roman" w:hAnsi="Times New Roman"/>
          <w:color w:val="000000"/>
          <w:highlight w:val="none"/>
          <w:lang w:eastAsia="zh-CN"/>
        </w:rPr>
        <w:t>《一种紧凑型横担带电更换双串第一片绝缘子装置研制项目》</w:t>
      </w:r>
      <w:r>
        <w:rPr>
          <w:rFonts w:hint="eastAsia" w:ascii="Times New Roman" w:hAnsi="Times New Roman"/>
          <w:color w:val="000000"/>
          <w:szCs w:val="21"/>
          <w:highlight w:val="none"/>
        </w:rPr>
        <w:t>的</w:t>
      </w:r>
      <w:r>
        <w:rPr>
          <w:rFonts w:ascii="Times New Roman" w:hAnsi="Times New Roman"/>
          <w:color w:val="000000"/>
          <w:highlight w:val="none"/>
        </w:rPr>
        <w:t>所有研究内容，以及驻场开发、部署与维护的专职责任人名单及其资质、业绩说明，在未通过项目质保期前，该名单中的人员变动不得超过25%。需明确驻场开发人员的预计工作时间和主要工作内容</w:t>
      </w:r>
      <w:r>
        <w:rPr>
          <w:rFonts w:hint="eastAsia" w:ascii="Times New Roman" w:hAnsi="Times New Roman"/>
          <w:color w:val="000000"/>
          <w:highlight w:val="none"/>
        </w:rPr>
        <w:t>。</w:t>
      </w:r>
    </w:p>
    <w:p w14:paraId="0A9221FE">
      <w:pPr>
        <w:pStyle w:val="4"/>
        <w:numPr>
          <w:ilvl w:val="0"/>
          <w:numId w:val="1"/>
        </w:numPr>
        <w:spacing w:before="0" w:after="0" w:line="360" w:lineRule="auto"/>
        <w:rPr>
          <w:rFonts w:ascii="Times New Roman" w:hAnsi="Times New Roman"/>
          <w:color w:val="000000"/>
          <w:sz w:val="28"/>
          <w:szCs w:val="28"/>
          <w:highlight w:val="none"/>
        </w:rPr>
      </w:pPr>
      <w:bookmarkStart w:id="29" w:name="_Toc17909"/>
      <w:r>
        <w:rPr>
          <w:rFonts w:hint="eastAsia" w:ascii="Times New Roman" w:hAnsi="Times New Roman"/>
          <w:color w:val="000000"/>
          <w:sz w:val="28"/>
          <w:szCs w:val="28"/>
          <w:highlight w:val="none"/>
        </w:rPr>
        <w:t>技术资料和文件</w:t>
      </w:r>
      <w:bookmarkEnd w:id="29"/>
      <w:r>
        <w:rPr>
          <w:rFonts w:hint="eastAsia" w:ascii="Times New Roman" w:hAnsi="Times New Roman"/>
          <w:color w:val="000000"/>
          <w:sz w:val="28"/>
          <w:szCs w:val="28"/>
          <w:highlight w:val="none"/>
        </w:rPr>
        <w:t xml:space="preserve"> </w:t>
      </w:r>
    </w:p>
    <w:p w14:paraId="4B48C88F">
      <w:pPr>
        <w:pStyle w:val="9"/>
        <w:numPr>
          <w:ilvl w:val="0"/>
          <w:numId w:val="7"/>
        </w:numPr>
        <w:ind w:firstLineChars="0"/>
        <w:rPr>
          <w:rFonts w:ascii="Times New Roman" w:hAnsi="Times New Roman"/>
          <w:highlight w:val="none"/>
        </w:rPr>
      </w:pPr>
      <w:r>
        <w:rPr>
          <w:rFonts w:ascii="Times New Roman" w:hAnsi="Times New Roman"/>
          <w:highlight w:val="none"/>
        </w:rPr>
        <w:t>在合同签订后</w:t>
      </w:r>
      <w:r>
        <w:rPr>
          <w:rFonts w:hint="eastAsia" w:ascii="Times New Roman" w:hAnsi="Times New Roman"/>
          <w:highlight w:val="none"/>
        </w:rPr>
        <w:t>30</w:t>
      </w:r>
      <w:r>
        <w:rPr>
          <w:rFonts w:ascii="Times New Roman" w:hAnsi="Times New Roman"/>
          <w:highlight w:val="none"/>
        </w:rPr>
        <w:t>个工作日内，中标方应向招标方提交</w:t>
      </w:r>
      <w:r>
        <w:rPr>
          <w:rFonts w:hint="eastAsia" w:ascii="Times New Roman" w:hAnsi="Times New Roman"/>
          <w:highlight w:val="none"/>
          <w:lang w:eastAsia="zh-CN"/>
        </w:rPr>
        <w:t>《一种紧凑型横担带电更换双串第一片绝缘子装置研制项目》</w:t>
      </w:r>
      <w:r>
        <w:rPr>
          <w:rFonts w:hint="eastAsia" w:ascii="Times New Roman" w:hAnsi="Times New Roman"/>
          <w:szCs w:val="21"/>
          <w:highlight w:val="none"/>
        </w:rPr>
        <w:t>的</w:t>
      </w:r>
      <w:r>
        <w:rPr>
          <w:rFonts w:hint="eastAsia" w:ascii="Times New Roman" w:hAnsi="Times New Roman"/>
          <w:highlight w:val="none"/>
        </w:rPr>
        <w:t>研究报告</w:t>
      </w:r>
      <w:r>
        <w:rPr>
          <w:rFonts w:ascii="Times New Roman" w:hAnsi="Times New Roman"/>
          <w:highlight w:val="none"/>
        </w:rPr>
        <w:t xml:space="preserve">。 </w:t>
      </w:r>
    </w:p>
    <w:p w14:paraId="4CFF0192">
      <w:pPr>
        <w:pStyle w:val="9"/>
        <w:numPr>
          <w:ilvl w:val="0"/>
          <w:numId w:val="7"/>
        </w:numPr>
        <w:ind w:firstLineChars="0"/>
        <w:rPr>
          <w:rFonts w:ascii="Times New Roman" w:hAnsi="Times New Roman"/>
          <w:highlight w:val="none"/>
        </w:rPr>
      </w:pPr>
      <w:r>
        <w:rPr>
          <w:rFonts w:ascii="Times New Roman" w:hAnsi="Times New Roman"/>
          <w:highlight w:val="none"/>
        </w:rPr>
        <w:t>在合同签订后</w:t>
      </w:r>
      <w:r>
        <w:rPr>
          <w:rFonts w:hint="eastAsia" w:ascii="Times New Roman" w:hAnsi="Times New Roman"/>
          <w:highlight w:val="none"/>
          <w:lang w:val="en-US" w:eastAsia="zh-CN"/>
        </w:rPr>
        <w:t>60</w:t>
      </w:r>
      <w:r>
        <w:rPr>
          <w:rFonts w:ascii="Times New Roman" w:hAnsi="Times New Roman"/>
          <w:highlight w:val="none"/>
        </w:rPr>
        <w:t>个工作日内，中标方</w:t>
      </w:r>
      <w:r>
        <w:rPr>
          <w:rFonts w:hint="eastAsia" w:ascii="Times New Roman" w:hAnsi="Times New Roman"/>
          <w:highlight w:val="none"/>
          <w:lang w:eastAsia="zh-CN"/>
        </w:rPr>
        <w:t>完成加工并向</w:t>
      </w:r>
      <w:r>
        <w:rPr>
          <w:rFonts w:ascii="Times New Roman" w:hAnsi="Times New Roman"/>
          <w:highlight w:val="none"/>
        </w:rPr>
        <w:t>招标方提交</w:t>
      </w:r>
      <w:r>
        <w:rPr>
          <w:rFonts w:hint="eastAsia" w:ascii="Times New Roman" w:hAnsi="Times New Roman"/>
          <w:highlight w:val="none"/>
          <w:lang w:eastAsia="zh-CN"/>
        </w:rPr>
        <w:t>《一种紧凑型横担带电更换双串第一片绝缘子装置》</w:t>
      </w:r>
      <w:r>
        <w:rPr>
          <w:rFonts w:hint="eastAsia" w:ascii="Times New Roman" w:hAnsi="Times New Roman"/>
          <w:highlight w:val="none"/>
        </w:rPr>
        <w:t>1套</w:t>
      </w:r>
      <w:bookmarkStart w:id="47" w:name="_GoBack"/>
      <w:bookmarkEnd w:id="47"/>
      <w:r>
        <w:rPr>
          <w:rFonts w:ascii="Times New Roman" w:hAnsi="Times New Roman"/>
          <w:highlight w:val="none"/>
        </w:rPr>
        <w:t>。</w:t>
      </w:r>
    </w:p>
    <w:p w14:paraId="3F182A78">
      <w:pPr>
        <w:pStyle w:val="9"/>
        <w:numPr>
          <w:ilvl w:val="0"/>
          <w:numId w:val="7"/>
        </w:numPr>
        <w:ind w:firstLineChars="0"/>
        <w:rPr>
          <w:highlight w:val="none"/>
        </w:rPr>
      </w:pPr>
      <w:r>
        <w:rPr>
          <w:rFonts w:ascii="Times New Roman" w:hAnsi="Times New Roman"/>
          <w:color w:val="000000"/>
          <w:highlight w:val="none"/>
        </w:rPr>
        <w:t>合同验收前，中标方应向招标方提交</w:t>
      </w:r>
      <w:r>
        <w:rPr>
          <w:rFonts w:hint="eastAsia" w:ascii="Times New Roman" w:hAnsi="Times New Roman"/>
          <w:color w:val="000000"/>
          <w:highlight w:val="none"/>
        </w:rPr>
        <w:t>项目验收</w:t>
      </w:r>
      <w:r>
        <w:rPr>
          <w:rFonts w:hint="eastAsia" w:ascii="Times New Roman" w:hAnsi="Times New Roman"/>
          <w:color w:val="000000"/>
          <w:highlight w:val="none"/>
          <w:lang w:eastAsia="zh-CN"/>
        </w:rPr>
        <w:t>申请书等</w:t>
      </w:r>
      <w:r>
        <w:rPr>
          <w:rFonts w:hint="eastAsia" w:ascii="Times New Roman" w:hAnsi="Times New Roman"/>
          <w:color w:val="000000"/>
          <w:highlight w:val="none"/>
        </w:rPr>
        <w:t>报告</w:t>
      </w:r>
      <w:r>
        <w:rPr>
          <w:rFonts w:ascii="Times New Roman" w:hAnsi="Times New Roman"/>
          <w:color w:val="000000"/>
          <w:highlight w:val="none"/>
        </w:rPr>
        <w:t>等相关材料。</w:t>
      </w:r>
    </w:p>
    <w:p w14:paraId="27A417AA">
      <w:pPr>
        <w:pStyle w:val="4"/>
        <w:numPr>
          <w:ilvl w:val="0"/>
          <w:numId w:val="1"/>
        </w:numPr>
        <w:spacing w:before="0" w:after="0" w:line="360" w:lineRule="auto"/>
        <w:rPr>
          <w:rFonts w:ascii="Times New Roman" w:hAnsi="Times New Roman"/>
          <w:color w:val="000000"/>
          <w:sz w:val="28"/>
          <w:szCs w:val="28"/>
        </w:rPr>
      </w:pPr>
      <w:bookmarkStart w:id="30" w:name="_Toc9875"/>
      <w:r>
        <w:rPr>
          <w:rFonts w:hint="eastAsia" w:ascii="Times New Roman" w:hAnsi="Times New Roman"/>
          <w:color w:val="000000"/>
          <w:sz w:val="28"/>
          <w:szCs w:val="28"/>
        </w:rPr>
        <w:t>项目联络</w:t>
      </w:r>
      <w:bookmarkEnd w:id="30"/>
    </w:p>
    <w:p w14:paraId="290CA0BC">
      <w:pPr>
        <w:numPr>
          <w:ilvl w:val="0"/>
          <w:numId w:val="8"/>
        </w:numPr>
        <w:rPr>
          <w:rFonts w:ascii="宋体" w:hAnsi="宋体"/>
        </w:rPr>
      </w:pPr>
      <w:r>
        <w:rPr>
          <w:rFonts w:hint="eastAsia" w:ascii="宋体" w:hAnsi="宋体"/>
        </w:rPr>
        <w:t>为审查和确认本项目的工作方案，便于合同按期执行，在项目开发、建设过程中需召开多次联络会。根据项目实际需要，招标方与投标方均可向对方提出要求召开项目联络会，时间和地点由双方商量决定。</w:t>
      </w:r>
    </w:p>
    <w:p w14:paraId="7E1F943D">
      <w:pPr>
        <w:numPr>
          <w:ilvl w:val="0"/>
          <w:numId w:val="8"/>
        </w:numPr>
        <w:rPr>
          <w:rFonts w:ascii="宋体" w:hAnsi="宋体"/>
        </w:rPr>
      </w:pPr>
      <w:r>
        <w:rPr>
          <w:rFonts w:hint="eastAsia" w:ascii="宋体" w:hAnsi="宋体"/>
        </w:rPr>
        <w:t>联络会的内容如下：</w:t>
      </w:r>
    </w:p>
    <w:p w14:paraId="79EAE0F4">
      <w:pPr>
        <w:numPr>
          <w:ilvl w:val="0"/>
          <w:numId w:val="9"/>
        </w:numPr>
        <w:tabs>
          <w:tab w:val="left" w:pos="900"/>
          <w:tab w:val="clear" w:pos="420"/>
        </w:tabs>
        <w:ind w:left="480" w:leftChars="200" w:firstLine="480"/>
        <w:rPr>
          <w:rFonts w:ascii="宋体" w:hAnsi="宋体"/>
        </w:rPr>
      </w:pPr>
      <w:r>
        <w:rPr>
          <w:rFonts w:hint="eastAsia" w:ascii="宋体" w:hAnsi="宋体"/>
        </w:rPr>
        <w:t>确认服务、工作产品的性能是否满足规范书要求。</w:t>
      </w:r>
    </w:p>
    <w:p w14:paraId="198117C8">
      <w:pPr>
        <w:numPr>
          <w:ilvl w:val="0"/>
          <w:numId w:val="9"/>
        </w:numPr>
        <w:tabs>
          <w:tab w:val="left" w:pos="900"/>
          <w:tab w:val="clear" w:pos="420"/>
        </w:tabs>
        <w:ind w:left="480" w:leftChars="200" w:firstLine="480"/>
        <w:rPr>
          <w:rFonts w:ascii="宋体" w:hAnsi="宋体"/>
        </w:rPr>
      </w:pPr>
      <w:r>
        <w:rPr>
          <w:rFonts w:hint="eastAsia" w:ascii="宋体" w:hAnsi="宋体"/>
        </w:rPr>
        <w:t>确认服务、工作产品的实施方案。</w:t>
      </w:r>
    </w:p>
    <w:p w14:paraId="6C4C4E58">
      <w:pPr>
        <w:numPr>
          <w:ilvl w:val="0"/>
          <w:numId w:val="9"/>
        </w:numPr>
        <w:tabs>
          <w:tab w:val="left" w:pos="900"/>
          <w:tab w:val="clear" w:pos="420"/>
        </w:tabs>
        <w:ind w:left="480" w:leftChars="200" w:firstLine="480"/>
        <w:rPr>
          <w:rFonts w:ascii="宋体" w:hAnsi="宋体"/>
        </w:rPr>
      </w:pPr>
      <w:r>
        <w:rPr>
          <w:rFonts w:hint="eastAsia" w:ascii="宋体" w:hAnsi="宋体"/>
        </w:rPr>
        <w:t>检查、确认投标方提供的技术文件和图纸。</w:t>
      </w:r>
    </w:p>
    <w:p w14:paraId="64721274">
      <w:pPr>
        <w:numPr>
          <w:ilvl w:val="0"/>
          <w:numId w:val="9"/>
        </w:numPr>
        <w:tabs>
          <w:tab w:val="left" w:pos="900"/>
          <w:tab w:val="clear" w:pos="420"/>
        </w:tabs>
        <w:ind w:left="480" w:leftChars="200" w:firstLine="480"/>
      </w:pPr>
      <w:r>
        <w:rPr>
          <w:rFonts w:hint="eastAsia" w:ascii="宋体" w:hAnsi="宋体"/>
        </w:rPr>
        <w:t>其他有关事项。</w:t>
      </w:r>
    </w:p>
    <w:p w14:paraId="0C2394EC">
      <w:pPr>
        <w:pStyle w:val="4"/>
        <w:numPr>
          <w:ilvl w:val="0"/>
          <w:numId w:val="1"/>
        </w:numPr>
        <w:spacing w:before="0" w:after="0" w:line="360" w:lineRule="auto"/>
        <w:rPr>
          <w:rFonts w:ascii="Times New Roman" w:hAnsi="Times New Roman"/>
          <w:color w:val="000000"/>
          <w:sz w:val="28"/>
          <w:szCs w:val="28"/>
        </w:rPr>
      </w:pPr>
      <w:bookmarkStart w:id="31" w:name="_Toc31223"/>
      <w:r>
        <w:rPr>
          <w:rFonts w:hint="eastAsia" w:ascii="Times New Roman" w:hAnsi="Times New Roman"/>
          <w:color w:val="000000"/>
          <w:sz w:val="28"/>
          <w:szCs w:val="28"/>
        </w:rPr>
        <w:t>评审与验收</w:t>
      </w:r>
      <w:bookmarkEnd w:id="31"/>
    </w:p>
    <w:p w14:paraId="6BE4C23D">
      <w:pPr>
        <w:numPr>
          <w:ilvl w:val="0"/>
          <w:numId w:val="10"/>
        </w:numPr>
      </w:pPr>
      <w:r>
        <w:rPr>
          <w:rFonts w:hint="eastAsia" w:ascii="宋体" w:hAnsi="宋体"/>
        </w:rPr>
        <w:t>投标方应负责在项目验收前完成</w:t>
      </w:r>
      <w:r>
        <w:t>本规范列技术资料（数据）、文件</w:t>
      </w:r>
      <w:r>
        <w:rPr>
          <w:rFonts w:hint="eastAsia"/>
        </w:rPr>
        <w:t>，</w:t>
      </w:r>
      <w:r>
        <w:rPr>
          <w:rFonts w:hint="eastAsia" w:ascii="宋体" w:hAnsi="宋体"/>
        </w:rPr>
        <w:t>将项目的全部有关技术文件、资料、测试、验收报告等文档汇集成册交付给招标方。</w:t>
      </w:r>
      <w:r>
        <w:rPr>
          <w:rFonts w:ascii="宋体" w:hAnsi="宋体"/>
        </w:rPr>
        <w:t>招标方可根据合同及招标书和招标方的有关规定进行修改和补充, 经双方确认后形成验收文件。</w:t>
      </w:r>
    </w:p>
    <w:p w14:paraId="68FF0262">
      <w:pPr>
        <w:numPr>
          <w:ilvl w:val="0"/>
          <w:numId w:val="10"/>
        </w:numPr>
        <w:rPr>
          <w:rFonts w:ascii="宋体" w:hAnsi="宋体"/>
        </w:rPr>
      </w:pPr>
      <w:r>
        <w:rPr>
          <w:rFonts w:hint="eastAsia" w:ascii="宋体" w:hAnsi="宋体"/>
        </w:rPr>
        <w:t>验收方式</w:t>
      </w:r>
    </w:p>
    <w:p w14:paraId="373B72B9">
      <w:pPr>
        <w:topLinePunct/>
        <w:ind w:firstLine="480"/>
      </w:pPr>
      <w:r>
        <w:rPr>
          <w:rFonts w:hint="eastAsia"/>
          <w:lang w:val="en-US" w:eastAsia="zh-CN"/>
        </w:rPr>
        <w:t>1.</w:t>
      </w:r>
      <w:r>
        <w:rPr>
          <w:rFonts w:hint="eastAsia"/>
        </w:rPr>
        <w:t xml:space="preserve"> </w:t>
      </w:r>
      <w:r>
        <w:t>项目成果经招标方和中标方共同确认满足验收条件后，由招标方组织专家对所有项目材料和相关成果进行评审，开展</w:t>
      </w:r>
      <w:r>
        <w:rPr>
          <w:rFonts w:hint="eastAsia"/>
        </w:rPr>
        <w:t>合同</w:t>
      </w:r>
      <w:r>
        <w:t>验收。</w:t>
      </w:r>
    </w:p>
    <w:p w14:paraId="275CF0C5">
      <w:pPr>
        <w:ind w:firstLine="480"/>
      </w:pPr>
      <w:r>
        <w:rPr>
          <w:rFonts w:hint="eastAsia"/>
          <w:lang w:val="en-US" w:eastAsia="zh-CN"/>
        </w:rPr>
        <w:t>2.</w:t>
      </w:r>
      <w:r>
        <w:rPr>
          <w:rFonts w:hint="eastAsia"/>
        </w:rPr>
        <w:t>项目</w:t>
      </w:r>
      <w:r>
        <w:t>验收按照招标方制定的验收方案具体实施，方案将包括验收内容、验收标准、验收人员等；项目验收后，验收人员将根据实际情况提出验收报告</w:t>
      </w:r>
      <w:r>
        <w:rPr>
          <w:rFonts w:hint="eastAsia"/>
        </w:rPr>
        <w:t>。</w:t>
      </w:r>
      <w:r>
        <w:t>如若有需要整改的内容，中标方在</w:t>
      </w:r>
      <w:r>
        <w:rPr>
          <w:rFonts w:hint="eastAsia"/>
        </w:rPr>
        <w:t>项目</w:t>
      </w:r>
      <w:r>
        <w:t>验收后应主动配合招标方严格按照整改意见进行整改完善。</w:t>
      </w:r>
    </w:p>
    <w:p w14:paraId="04281971">
      <w:pPr>
        <w:numPr>
          <w:ilvl w:val="0"/>
          <w:numId w:val="0"/>
        </w:numPr>
        <w:ind w:firstLine="480" w:firstLineChars="200"/>
        <w:rPr>
          <w:rFonts w:ascii="宋体" w:hAnsi="宋体"/>
        </w:rPr>
      </w:pPr>
      <w:r>
        <w:rPr>
          <w:rFonts w:hint="eastAsia" w:ascii="宋体" w:hAnsi="宋体"/>
          <w:lang w:val="en-US" w:eastAsia="zh-CN"/>
        </w:rPr>
        <w:t>3.</w:t>
      </w:r>
      <w:r>
        <w:rPr>
          <w:rFonts w:hint="eastAsia" w:ascii="宋体" w:hAnsi="宋体"/>
        </w:rPr>
        <w:t>如果在签署最终验收文件后12周内，由于投标方的原因，该项目有一条或多条达不到规定的技术要求时，投标方应在附加的4周内采取有效措施，使该项目完全达到规定的技术要求，在此期间的一切费用由投标方承担，如在此期间内仍达不到规定的技术性能要求时，将按合同中相应商务条款执行。</w:t>
      </w:r>
    </w:p>
    <w:p w14:paraId="70950280">
      <w:pPr>
        <w:pStyle w:val="4"/>
        <w:numPr>
          <w:ilvl w:val="0"/>
          <w:numId w:val="1"/>
        </w:numPr>
        <w:spacing w:before="0" w:after="0" w:line="360" w:lineRule="auto"/>
        <w:rPr>
          <w:rFonts w:ascii="Times New Roman" w:hAnsi="Times New Roman"/>
          <w:color w:val="000000"/>
          <w:sz w:val="28"/>
          <w:szCs w:val="28"/>
        </w:rPr>
      </w:pPr>
      <w:bookmarkStart w:id="32" w:name="_Toc10821"/>
      <w:r>
        <w:rPr>
          <w:rFonts w:hint="eastAsia" w:ascii="Times New Roman" w:hAnsi="Times New Roman"/>
          <w:color w:val="000000"/>
          <w:sz w:val="28"/>
          <w:szCs w:val="28"/>
        </w:rPr>
        <w:t>售后服务</w:t>
      </w:r>
      <w:bookmarkEnd w:id="32"/>
    </w:p>
    <w:p w14:paraId="021CE47F">
      <w:pPr>
        <w:numPr>
          <w:ilvl w:val="0"/>
          <w:numId w:val="11"/>
        </w:numPr>
        <w:rPr>
          <w:rFonts w:ascii="宋体" w:hAnsi="宋体"/>
        </w:rPr>
      </w:pPr>
      <w:r>
        <w:rPr>
          <w:rFonts w:hint="eastAsia" w:ascii="宋体" w:hAnsi="宋体"/>
        </w:rPr>
        <w:t xml:space="preserve"> 所有工作产品均须由投标方提供壹年以上的免费维护、保修服务，自项目验收签字之日起计算。</w:t>
      </w:r>
    </w:p>
    <w:p w14:paraId="0D1B3CAD">
      <w:pPr>
        <w:numPr>
          <w:ilvl w:val="0"/>
          <w:numId w:val="11"/>
        </w:numPr>
        <w:rPr>
          <w:rFonts w:ascii="宋体" w:hAnsi="宋体"/>
        </w:rPr>
      </w:pPr>
      <w:r>
        <w:rPr>
          <w:rFonts w:hint="eastAsia" w:ascii="宋体" w:hAnsi="宋体"/>
        </w:rPr>
        <w:t xml:space="preserve"> 投标方必须提出保修期内的维护、保修内容和范围（产品、技术、模块、部件）。</w:t>
      </w:r>
    </w:p>
    <w:p w14:paraId="369496C3">
      <w:pPr>
        <w:numPr>
          <w:ilvl w:val="0"/>
          <w:numId w:val="11"/>
        </w:numPr>
        <w:rPr>
          <w:rFonts w:ascii="宋体" w:hAnsi="宋体"/>
        </w:rPr>
      </w:pPr>
      <w:r>
        <w:rPr>
          <w:rFonts w:hint="eastAsia" w:ascii="宋体" w:hAnsi="宋体"/>
        </w:rPr>
        <w:t xml:space="preserve"> 服务响应时间：</w:t>
      </w:r>
      <w:r>
        <w:rPr>
          <w:rFonts w:hint="eastAsia" w:ascii="宋体" w:hAnsi="宋体"/>
          <w:lang w:val="zh-CN"/>
        </w:rPr>
        <w:t>中标方对售后服务的需求必须在24小时答复，在72小时内提供技术服务，对有疑问的检测结果应能够免费提供检测分析报告</w:t>
      </w:r>
      <w:r>
        <w:rPr>
          <w:rFonts w:hint="eastAsia" w:ascii="宋体" w:hAnsi="宋体"/>
        </w:rPr>
        <w:t>。</w:t>
      </w:r>
    </w:p>
    <w:p w14:paraId="094B6E62">
      <w:pPr>
        <w:numPr>
          <w:ilvl w:val="0"/>
          <w:numId w:val="11"/>
        </w:numPr>
        <w:rPr>
          <w:rFonts w:ascii="宋体" w:hAnsi="宋体"/>
        </w:rPr>
      </w:pPr>
      <w:r>
        <w:rPr>
          <w:rFonts w:hint="eastAsia" w:ascii="宋体" w:hAnsi="宋体"/>
        </w:rPr>
        <w:t>如果故障在检修8小时后仍无法排除，投标方应在7天内提供解决方案，经招标方批准后负责实施，直至故障修复。</w:t>
      </w:r>
    </w:p>
    <w:p w14:paraId="604B6EEF">
      <w:pPr>
        <w:numPr>
          <w:ilvl w:val="0"/>
          <w:numId w:val="11"/>
        </w:numPr>
        <w:rPr>
          <w:rFonts w:ascii="宋体" w:hAnsi="宋体"/>
        </w:rPr>
      </w:pPr>
      <w:r>
        <w:rPr>
          <w:rFonts w:hint="eastAsia" w:ascii="宋体" w:hAnsi="宋体"/>
        </w:rPr>
        <w:t>所有售后服务方式均为投标方上门，即由投标方或原厂商派员到用户使用现场。由此产生的一切费用均由投标方承担。</w:t>
      </w:r>
    </w:p>
    <w:p w14:paraId="04AA48AA">
      <w:pPr>
        <w:numPr>
          <w:ilvl w:val="0"/>
          <w:numId w:val="11"/>
        </w:numPr>
        <w:rPr>
          <w:rFonts w:ascii="宋体" w:hAnsi="宋体"/>
        </w:rPr>
      </w:pPr>
      <w:r>
        <w:rPr>
          <w:rFonts w:hint="eastAsia" w:ascii="宋体" w:hAnsi="宋体"/>
        </w:rPr>
        <w:t>对于不能明确是否是投标方工作产品出现故障时，投标方应尽力配合招标方和其他供应商进行检查，在必要时，能在上述响应时间内到达现场协助排除问题。</w:t>
      </w:r>
    </w:p>
    <w:p w14:paraId="758C1B43">
      <w:pPr>
        <w:numPr>
          <w:ilvl w:val="0"/>
          <w:numId w:val="11"/>
        </w:numPr>
        <w:rPr>
          <w:rFonts w:ascii="宋体" w:hAnsi="宋体"/>
        </w:rPr>
      </w:pPr>
      <w:r>
        <w:rPr>
          <w:rFonts w:hint="eastAsia" w:ascii="宋体" w:hAnsi="宋体"/>
        </w:rPr>
        <w:t xml:space="preserve"> 投标方必须有专门的维护部门及规范的维护服务管理体系，须在招标方当地有专业维护人员，能按要求及时响应。</w:t>
      </w:r>
    </w:p>
    <w:p w14:paraId="26203375">
      <w:pPr>
        <w:numPr>
          <w:ilvl w:val="0"/>
          <w:numId w:val="11"/>
        </w:numPr>
      </w:pPr>
      <w:r>
        <w:rPr>
          <w:rFonts w:hint="eastAsia" w:ascii="宋体" w:hAnsi="宋体"/>
        </w:rPr>
        <w:t>投标方需要提出保修期后每年的收费维修、维护内容，费用和服务方式、范围（产品、技术、模块、部件），供招标方选择。</w:t>
      </w:r>
    </w:p>
    <w:p w14:paraId="6B47CDC5">
      <w:pPr>
        <w:pStyle w:val="4"/>
        <w:numPr>
          <w:ilvl w:val="0"/>
          <w:numId w:val="1"/>
        </w:numPr>
        <w:spacing w:before="0" w:after="0" w:line="360" w:lineRule="auto"/>
        <w:rPr>
          <w:rFonts w:ascii="Times New Roman" w:hAnsi="Times New Roman"/>
          <w:color w:val="000000"/>
          <w:sz w:val="28"/>
          <w:szCs w:val="28"/>
        </w:rPr>
      </w:pPr>
      <w:bookmarkStart w:id="33" w:name="_Toc15197"/>
      <w:r>
        <w:rPr>
          <w:rFonts w:hint="eastAsia" w:ascii="Times New Roman" w:hAnsi="Times New Roman"/>
          <w:color w:val="000000"/>
          <w:sz w:val="28"/>
          <w:szCs w:val="28"/>
        </w:rPr>
        <w:t>其他相关要求</w:t>
      </w:r>
      <w:bookmarkEnd w:id="33"/>
      <w:r>
        <w:rPr>
          <w:rFonts w:hint="eastAsia" w:ascii="Times New Roman" w:hAnsi="Times New Roman"/>
          <w:color w:val="000000"/>
          <w:sz w:val="28"/>
          <w:szCs w:val="28"/>
        </w:rPr>
        <w:t xml:space="preserve"> </w:t>
      </w:r>
    </w:p>
    <w:p w14:paraId="6AEF4137">
      <w:pPr>
        <w:numPr>
          <w:ilvl w:val="0"/>
          <w:numId w:val="12"/>
        </w:numPr>
        <w:outlineLvl w:val="1"/>
        <w:rPr>
          <w:rFonts w:ascii="Times New Roman" w:hAnsi="Times New Roman"/>
        </w:rPr>
      </w:pPr>
      <w:bookmarkStart w:id="34" w:name="_Toc32188"/>
      <w:r>
        <w:rPr>
          <w:rFonts w:hint="eastAsia" w:ascii="Times New Roman" w:hAnsi="Times New Roman"/>
        </w:rPr>
        <w:t>技术配合</w:t>
      </w:r>
      <w:bookmarkEnd w:id="34"/>
    </w:p>
    <w:p w14:paraId="516A2FCF">
      <w:pPr>
        <w:ind w:firstLine="480"/>
        <w:rPr>
          <w:rFonts w:ascii="Times New Roman" w:hAnsi="Times New Roman"/>
        </w:rPr>
      </w:pPr>
      <w:r>
        <w:rPr>
          <w:rFonts w:hint="eastAsia" w:ascii="Times New Roman" w:hAnsi="Times New Roman"/>
        </w:rPr>
        <w:t>（1）</w:t>
      </w:r>
      <w:r>
        <w:rPr>
          <w:rFonts w:ascii="Times New Roman" w:hAnsi="Times New Roman"/>
        </w:rPr>
        <w:t>合同签订后，中标方应指定负责本项目的项目经理，负责中标方在项目全过程的各项工作。</w:t>
      </w:r>
    </w:p>
    <w:p w14:paraId="70C6DA95">
      <w:pPr>
        <w:ind w:firstLine="480"/>
        <w:rPr>
          <w:rFonts w:ascii="Times New Roman" w:hAnsi="Times New Roman"/>
        </w:rPr>
      </w:pPr>
      <w:r>
        <w:rPr>
          <w:rFonts w:hint="eastAsia" w:ascii="Times New Roman" w:hAnsi="Times New Roman"/>
        </w:rPr>
        <w:t>（2）</w:t>
      </w:r>
      <w:r>
        <w:rPr>
          <w:rFonts w:ascii="Times New Roman" w:hAnsi="Times New Roman"/>
        </w:rPr>
        <w:t>中标方须结合当次系统开发的目标、指标和任务要求，编制并向</w:t>
      </w:r>
      <w:r>
        <w:rPr>
          <w:rFonts w:hint="eastAsia" w:ascii="Times New Roman" w:hAnsi="Times New Roman"/>
        </w:rPr>
        <w:t>招标</w:t>
      </w:r>
      <w:r>
        <w:rPr>
          <w:rFonts w:ascii="Times New Roman" w:hAnsi="Times New Roman"/>
        </w:rPr>
        <w:t>方提交系统需求分析报告；招标方对中标方提交的需求分析报告进行会议评审，评审通过后中标方才能开展系统设计。</w:t>
      </w:r>
    </w:p>
    <w:p w14:paraId="0D6F73F1">
      <w:pPr>
        <w:ind w:firstLine="480"/>
        <w:rPr>
          <w:rFonts w:ascii="Times New Roman" w:hAnsi="Times New Roman"/>
        </w:rPr>
      </w:pPr>
      <w:r>
        <w:rPr>
          <w:rFonts w:hint="eastAsia" w:ascii="Times New Roman" w:hAnsi="Times New Roman"/>
        </w:rPr>
        <w:t>（3）</w:t>
      </w:r>
      <w:r>
        <w:rPr>
          <w:rFonts w:ascii="Times New Roman" w:hAnsi="Times New Roman"/>
        </w:rPr>
        <w:t xml:space="preserve"> 中标方须编制并向招标方提交系统设计报告。</w:t>
      </w:r>
    </w:p>
    <w:p w14:paraId="1F08F8C8">
      <w:pPr>
        <w:ind w:firstLine="480"/>
        <w:rPr>
          <w:rFonts w:ascii="Times New Roman" w:hAnsi="Times New Roman"/>
        </w:rPr>
      </w:pPr>
      <w:r>
        <w:rPr>
          <w:rFonts w:hint="eastAsia" w:ascii="Times New Roman" w:hAnsi="Times New Roman"/>
        </w:rPr>
        <w:t>（4）</w:t>
      </w:r>
      <w:r>
        <w:rPr>
          <w:rFonts w:ascii="Times New Roman" w:hAnsi="Times New Roman"/>
        </w:rPr>
        <w:t>招标方对当次系统开发框架内的功能澄清、细化、完善、纠偏，中标方有义务予以响应并即时实施。</w:t>
      </w:r>
    </w:p>
    <w:p w14:paraId="03FC27E1">
      <w:pPr>
        <w:ind w:firstLine="480"/>
        <w:rPr>
          <w:rFonts w:ascii="Times New Roman" w:hAnsi="Times New Roman"/>
        </w:rPr>
      </w:pPr>
      <w:r>
        <w:rPr>
          <w:rFonts w:hint="eastAsia" w:ascii="Times New Roman" w:hAnsi="Times New Roman"/>
        </w:rPr>
        <w:t>（5）</w:t>
      </w:r>
      <w:r>
        <w:rPr>
          <w:rFonts w:ascii="Times New Roman" w:hAnsi="Times New Roman"/>
        </w:rPr>
        <w:t>中标方有责任协助招标方做好企业研发费用税前加计扣除工作，并在合同签订后3个月内，办理本合同在科技行政主管部门的认证登记手续。</w:t>
      </w:r>
    </w:p>
    <w:p w14:paraId="4673D50B">
      <w:pPr>
        <w:numPr>
          <w:ilvl w:val="0"/>
          <w:numId w:val="12"/>
        </w:numPr>
        <w:outlineLvl w:val="1"/>
        <w:rPr>
          <w:rFonts w:ascii="Times New Roman" w:hAnsi="Times New Roman"/>
        </w:rPr>
      </w:pPr>
      <w:bookmarkStart w:id="35" w:name="_Toc668"/>
      <w:r>
        <w:rPr>
          <w:rFonts w:hint="eastAsia" w:ascii="Times New Roman" w:hAnsi="Times New Roman"/>
        </w:rPr>
        <w:t>现场服务</w:t>
      </w:r>
      <w:bookmarkEnd w:id="35"/>
    </w:p>
    <w:p w14:paraId="6764CA6C">
      <w:pPr>
        <w:ind w:firstLine="480"/>
        <w:rPr>
          <w:rFonts w:ascii="Times New Roman" w:hAnsi="Times New Roman"/>
        </w:rPr>
      </w:pPr>
      <w:r>
        <w:rPr>
          <w:rFonts w:hint="eastAsia" w:ascii="Times New Roman" w:hAnsi="Times New Roman"/>
        </w:rPr>
        <w:t>（1）</w:t>
      </w:r>
      <w:r>
        <w:rPr>
          <w:rFonts w:ascii="Times New Roman" w:hAnsi="Times New Roman"/>
        </w:rPr>
        <w:t xml:space="preserve"> 当招标方对监测结果存在疑问时，中标方应按合同规定及时派工程技术人员到达现场服务。</w:t>
      </w:r>
    </w:p>
    <w:p w14:paraId="40A26C88">
      <w:pPr>
        <w:ind w:firstLine="480"/>
        <w:rPr>
          <w:rFonts w:ascii="Times New Roman" w:hAnsi="Times New Roman"/>
        </w:rPr>
      </w:pPr>
      <w:r>
        <w:rPr>
          <w:rFonts w:hint="eastAsia" w:ascii="Times New Roman" w:hAnsi="Times New Roman"/>
        </w:rPr>
        <w:t>（2）</w:t>
      </w:r>
      <w:r>
        <w:rPr>
          <w:rFonts w:ascii="Times New Roman" w:hAnsi="Times New Roman"/>
        </w:rPr>
        <w:t xml:space="preserve"> 中标方在项目实施过程中应至少为招标方免费提供一次技术指导，在不涉及机密资料泄露的情况下，中标方应尽最大可能将本单位相关算法、其他类似项目的研究结论等向招标方公开。</w:t>
      </w:r>
    </w:p>
    <w:p w14:paraId="07099BC5">
      <w:pPr>
        <w:numPr>
          <w:ilvl w:val="0"/>
          <w:numId w:val="12"/>
        </w:numPr>
        <w:outlineLvl w:val="1"/>
        <w:rPr>
          <w:rFonts w:ascii="Times New Roman" w:hAnsi="Times New Roman"/>
          <w:color w:val="auto"/>
        </w:rPr>
      </w:pPr>
      <w:bookmarkStart w:id="36" w:name="_Toc2600"/>
      <w:r>
        <w:rPr>
          <w:rFonts w:hint="eastAsia" w:ascii="Times New Roman" w:hAnsi="Times New Roman"/>
          <w:color w:val="auto"/>
        </w:rPr>
        <w:t xml:space="preserve"> 知识产权约定</w:t>
      </w:r>
      <w:bookmarkEnd w:id="36"/>
    </w:p>
    <w:p w14:paraId="15A1E5A4">
      <w:pPr>
        <w:ind w:firstLine="480"/>
        <w:rPr>
          <w:rFonts w:ascii="Times New Roman" w:hAnsi="Times New Roman"/>
        </w:rPr>
      </w:pPr>
      <w:r>
        <w:rPr>
          <w:rFonts w:hint="eastAsia" w:ascii="Times New Roman" w:hAnsi="Times New Roman"/>
        </w:rPr>
        <w:t>★在项目完成以后，中标方应向招标方提供该项目所有技术成果、项目建设文档、使用及运维说明等。</w:t>
      </w:r>
      <w:r>
        <w:rPr>
          <w:rFonts w:ascii="Times New Roman" w:hAnsi="Times New Roman"/>
        </w:rPr>
        <w:t>项目实施过程中形成的专利</w:t>
      </w:r>
      <w:r>
        <w:rPr>
          <w:rFonts w:hint="eastAsia" w:ascii="Times New Roman" w:hAnsi="Times New Roman"/>
        </w:rPr>
        <w:t>、</w:t>
      </w:r>
      <w:r>
        <w:rPr>
          <w:rFonts w:ascii="Times New Roman" w:hAnsi="Times New Roman"/>
        </w:rPr>
        <w:t>软件著作权</w:t>
      </w:r>
      <w:r>
        <w:rPr>
          <w:rFonts w:hint="eastAsia" w:ascii="Times New Roman" w:hAnsi="Times New Roman"/>
        </w:rPr>
        <w:t>及论文招标方独有</w:t>
      </w:r>
      <w:r>
        <w:rPr>
          <w:rFonts w:ascii="Times New Roman" w:hAnsi="Times New Roman"/>
        </w:rPr>
        <w:t>。</w:t>
      </w:r>
    </w:p>
    <w:p w14:paraId="17D984EC">
      <w:pPr>
        <w:ind w:firstLine="480"/>
        <w:rPr>
          <w:rFonts w:ascii="宋体" w:hAnsi="宋体"/>
        </w:rPr>
      </w:pPr>
      <w:r>
        <w:rPr>
          <w:rFonts w:hint="eastAsia" w:ascii="Times New Roman" w:hAnsi="Times New Roman"/>
        </w:rPr>
        <w:t>中标方应保证其提供的产品、工具、模型、方法、文档、知识资产及服务没有任何权利瑕疵，没有侵犯任何第三方权利。招标方在使用该产品或服务的任何一部分时，免受第三方提出的任何侵犯其知识产权的权利主张。如果任何人对招标方使用该产品及服务主张权利，由中标方负责处理一切纠纷及相关事宜，由此给招标人造成的损失，由中标人承担。</w:t>
      </w:r>
    </w:p>
    <w:p w14:paraId="41ED3FD4">
      <w:pPr>
        <w:pStyle w:val="4"/>
        <w:tabs>
          <w:tab w:val="left" w:pos="432"/>
        </w:tabs>
        <w:rPr>
          <w:sz w:val="24"/>
          <w:szCs w:val="24"/>
        </w:rPr>
      </w:pPr>
      <w:bookmarkStart w:id="37" w:name="_Toc506186791"/>
      <w:bookmarkStart w:id="38" w:name="_Toc137397828"/>
      <w:bookmarkStart w:id="39" w:name="_Toc93490801"/>
      <w:bookmarkStart w:id="40" w:name="_Toc93490580"/>
      <w:bookmarkStart w:id="41" w:name="_Toc3009"/>
      <w:bookmarkStart w:id="42" w:name="_Toc167003829"/>
      <w:bookmarkStart w:id="43" w:name="_Toc351129176"/>
      <w:bookmarkStart w:id="44" w:name="_Toc93490630"/>
      <w:r>
        <w:rPr>
          <w:rFonts w:hint="eastAsia"/>
          <w:sz w:val="24"/>
          <w:szCs w:val="24"/>
        </w:rPr>
        <w:t>附件</w:t>
      </w:r>
      <w:bookmarkEnd w:id="37"/>
      <w:bookmarkEnd w:id="38"/>
      <w:bookmarkEnd w:id="39"/>
      <w:bookmarkEnd w:id="40"/>
      <w:bookmarkEnd w:id="41"/>
      <w:bookmarkEnd w:id="42"/>
      <w:bookmarkEnd w:id="43"/>
      <w:bookmarkEnd w:id="44"/>
    </w:p>
    <w:p w14:paraId="00DBFF07">
      <w:pPr>
        <w:pStyle w:val="5"/>
        <w:rPr>
          <w:sz w:val="24"/>
        </w:rPr>
      </w:pPr>
      <w:bookmarkStart w:id="45" w:name="_Toc29086"/>
      <w:r>
        <w:rPr>
          <w:rFonts w:hint="eastAsia"/>
          <w:sz w:val="24"/>
        </w:rPr>
        <w:t>1、差异表</w:t>
      </w:r>
      <w:bookmarkEnd w:id="45"/>
    </w:p>
    <w:tbl>
      <w:tblPr>
        <w:tblStyle w:val="7"/>
        <w:tblW w:w="8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020"/>
        <w:gridCol w:w="2835"/>
        <w:gridCol w:w="1605"/>
        <w:gridCol w:w="2694"/>
      </w:tblGrid>
      <w:tr w14:paraId="54A2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6C0E419">
            <w:pPr>
              <w:rPr>
                <w:rFonts w:ascii="宋体" w:hAnsi="宋体"/>
                <w:szCs w:val="24"/>
              </w:rPr>
            </w:pPr>
            <w:r>
              <w:rPr>
                <w:rFonts w:hint="eastAsia" w:ascii="宋体" w:hAnsi="宋体"/>
                <w:szCs w:val="24"/>
              </w:rPr>
              <w:t>序号</w:t>
            </w:r>
          </w:p>
        </w:tc>
        <w:tc>
          <w:tcPr>
            <w:tcW w:w="3855" w:type="dxa"/>
            <w:gridSpan w:val="2"/>
            <w:tcBorders>
              <w:top w:val="single" w:color="auto" w:sz="4" w:space="0"/>
              <w:left w:val="single" w:color="auto" w:sz="4" w:space="0"/>
              <w:bottom w:val="single" w:color="auto" w:sz="4" w:space="0"/>
              <w:right w:val="single" w:color="auto" w:sz="4" w:space="0"/>
            </w:tcBorders>
            <w:vAlign w:val="center"/>
          </w:tcPr>
          <w:p w14:paraId="4F1FD9A6">
            <w:pPr>
              <w:ind w:firstLine="480"/>
              <w:jc w:val="center"/>
              <w:rPr>
                <w:rFonts w:ascii="宋体" w:hAnsi="宋体"/>
                <w:szCs w:val="24"/>
              </w:rPr>
            </w:pPr>
            <w:r>
              <w:rPr>
                <w:rFonts w:hint="eastAsia" w:ascii="宋体" w:hAnsi="宋体"/>
                <w:szCs w:val="24"/>
              </w:rPr>
              <w:t>招标文件</w:t>
            </w:r>
          </w:p>
        </w:tc>
        <w:tc>
          <w:tcPr>
            <w:tcW w:w="4299" w:type="dxa"/>
            <w:gridSpan w:val="2"/>
            <w:tcBorders>
              <w:top w:val="single" w:color="auto" w:sz="4" w:space="0"/>
              <w:left w:val="single" w:color="auto" w:sz="4" w:space="0"/>
              <w:bottom w:val="single" w:color="auto" w:sz="4" w:space="0"/>
              <w:right w:val="single" w:color="auto" w:sz="4" w:space="0"/>
            </w:tcBorders>
            <w:vAlign w:val="center"/>
          </w:tcPr>
          <w:p w14:paraId="1DB7243C">
            <w:pPr>
              <w:ind w:firstLine="480"/>
              <w:jc w:val="center"/>
              <w:rPr>
                <w:rFonts w:ascii="宋体" w:hAnsi="宋体"/>
                <w:szCs w:val="24"/>
              </w:rPr>
            </w:pPr>
            <w:r>
              <w:rPr>
                <w:rFonts w:hint="eastAsia" w:ascii="宋体" w:hAnsi="宋体"/>
                <w:szCs w:val="24"/>
              </w:rPr>
              <w:t>投标文件</w:t>
            </w:r>
          </w:p>
        </w:tc>
      </w:tr>
      <w:tr w14:paraId="6374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56E86C6">
            <w:pPr>
              <w:ind w:firstLine="480"/>
              <w:rPr>
                <w:rFonts w:ascii="宋体" w:hAnsi="宋体"/>
                <w:szCs w:val="24"/>
              </w:rPr>
            </w:pPr>
          </w:p>
        </w:tc>
        <w:tc>
          <w:tcPr>
            <w:tcW w:w="1020" w:type="dxa"/>
            <w:tcBorders>
              <w:top w:val="single" w:color="auto" w:sz="4" w:space="0"/>
              <w:left w:val="single" w:color="auto" w:sz="4" w:space="0"/>
              <w:bottom w:val="single" w:color="auto" w:sz="4" w:space="0"/>
              <w:right w:val="single" w:color="auto" w:sz="4" w:space="0"/>
            </w:tcBorders>
            <w:vAlign w:val="center"/>
          </w:tcPr>
          <w:p w14:paraId="1DE23983">
            <w:pPr>
              <w:rPr>
                <w:rFonts w:ascii="宋体" w:hAnsi="宋体"/>
                <w:szCs w:val="24"/>
              </w:rPr>
            </w:pPr>
            <w:r>
              <w:rPr>
                <w:rFonts w:hint="eastAsia" w:ascii="宋体" w:hAnsi="宋体"/>
                <w:szCs w:val="24"/>
              </w:rPr>
              <w:t>条目</w:t>
            </w:r>
          </w:p>
        </w:tc>
        <w:tc>
          <w:tcPr>
            <w:tcW w:w="2835" w:type="dxa"/>
            <w:tcBorders>
              <w:top w:val="single" w:color="auto" w:sz="4" w:space="0"/>
              <w:left w:val="single" w:color="auto" w:sz="4" w:space="0"/>
              <w:bottom w:val="single" w:color="auto" w:sz="4" w:space="0"/>
              <w:right w:val="single" w:color="auto" w:sz="4" w:space="0"/>
            </w:tcBorders>
            <w:vAlign w:val="center"/>
          </w:tcPr>
          <w:p w14:paraId="5725CD4B">
            <w:pPr>
              <w:ind w:firstLine="480"/>
              <w:rPr>
                <w:rFonts w:ascii="宋体" w:hAnsi="宋体"/>
                <w:szCs w:val="24"/>
              </w:rPr>
            </w:pPr>
            <w:r>
              <w:rPr>
                <w:rFonts w:hint="eastAsia" w:ascii="宋体" w:hAnsi="宋体"/>
                <w:szCs w:val="24"/>
              </w:rPr>
              <w:t>简要内容</w:t>
            </w:r>
          </w:p>
        </w:tc>
        <w:tc>
          <w:tcPr>
            <w:tcW w:w="1605" w:type="dxa"/>
            <w:tcBorders>
              <w:top w:val="single" w:color="auto" w:sz="4" w:space="0"/>
              <w:left w:val="single" w:color="auto" w:sz="4" w:space="0"/>
              <w:bottom w:val="single" w:color="auto" w:sz="4" w:space="0"/>
              <w:right w:val="single" w:color="auto" w:sz="4" w:space="0"/>
            </w:tcBorders>
            <w:vAlign w:val="center"/>
          </w:tcPr>
          <w:p w14:paraId="72458D35">
            <w:pPr>
              <w:ind w:firstLine="480"/>
              <w:rPr>
                <w:rFonts w:ascii="宋体" w:hAnsi="宋体"/>
                <w:szCs w:val="24"/>
              </w:rPr>
            </w:pPr>
            <w:r>
              <w:rPr>
                <w:rFonts w:hint="eastAsia" w:ascii="宋体" w:hAnsi="宋体"/>
                <w:szCs w:val="24"/>
              </w:rPr>
              <w:t>条目</w:t>
            </w:r>
          </w:p>
        </w:tc>
        <w:tc>
          <w:tcPr>
            <w:tcW w:w="2694" w:type="dxa"/>
            <w:tcBorders>
              <w:top w:val="single" w:color="auto" w:sz="4" w:space="0"/>
              <w:left w:val="single" w:color="auto" w:sz="4" w:space="0"/>
              <w:bottom w:val="single" w:color="auto" w:sz="4" w:space="0"/>
              <w:right w:val="single" w:color="auto" w:sz="4" w:space="0"/>
            </w:tcBorders>
            <w:vAlign w:val="center"/>
          </w:tcPr>
          <w:p w14:paraId="46575CB9">
            <w:pPr>
              <w:ind w:firstLine="480"/>
              <w:rPr>
                <w:rFonts w:ascii="宋体" w:hAnsi="宋体"/>
                <w:szCs w:val="24"/>
              </w:rPr>
            </w:pPr>
            <w:r>
              <w:rPr>
                <w:rFonts w:hint="eastAsia" w:ascii="宋体" w:hAnsi="宋体"/>
                <w:szCs w:val="24"/>
              </w:rPr>
              <w:t>简要内容</w:t>
            </w:r>
          </w:p>
        </w:tc>
      </w:tr>
      <w:tr w14:paraId="3415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14:paraId="0DAF1A0C">
            <w:pPr>
              <w:ind w:firstLine="480"/>
              <w:rPr>
                <w:rFonts w:ascii="宋体" w:hAnsi="宋体"/>
                <w:szCs w:val="24"/>
              </w:rPr>
            </w:pPr>
          </w:p>
        </w:tc>
        <w:tc>
          <w:tcPr>
            <w:tcW w:w="1020" w:type="dxa"/>
            <w:tcBorders>
              <w:top w:val="single" w:color="auto" w:sz="4" w:space="0"/>
              <w:left w:val="single" w:color="auto" w:sz="4" w:space="0"/>
              <w:bottom w:val="single" w:color="auto" w:sz="4" w:space="0"/>
              <w:right w:val="single" w:color="auto" w:sz="4" w:space="0"/>
            </w:tcBorders>
          </w:tcPr>
          <w:p w14:paraId="3D801C4C">
            <w:pPr>
              <w:ind w:firstLine="480"/>
              <w:rPr>
                <w:rFonts w:ascii="宋体" w:hAnsi="宋体"/>
                <w:szCs w:val="24"/>
              </w:rPr>
            </w:pPr>
          </w:p>
        </w:tc>
        <w:tc>
          <w:tcPr>
            <w:tcW w:w="2835" w:type="dxa"/>
            <w:tcBorders>
              <w:top w:val="single" w:color="auto" w:sz="4" w:space="0"/>
              <w:left w:val="single" w:color="auto" w:sz="4" w:space="0"/>
              <w:bottom w:val="single" w:color="auto" w:sz="4" w:space="0"/>
              <w:right w:val="single" w:color="auto" w:sz="4" w:space="0"/>
            </w:tcBorders>
          </w:tcPr>
          <w:p w14:paraId="0297A98E">
            <w:pPr>
              <w:ind w:firstLine="480"/>
              <w:rPr>
                <w:rFonts w:ascii="宋体" w:hAnsi="宋体"/>
                <w:szCs w:val="24"/>
              </w:rPr>
            </w:pPr>
          </w:p>
        </w:tc>
        <w:tc>
          <w:tcPr>
            <w:tcW w:w="1605" w:type="dxa"/>
            <w:tcBorders>
              <w:top w:val="single" w:color="auto" w:sz="4" w:space="0"/>
              <w:left w:val="single" w:color="auto" w:sz="4" w:space="0"/>
              <w:bottom w:val="single" w:color="auto" w:sz="4" w:space="0"/>
              <w:right w:val="single" w:color="auto" w:sz="4" w:space="0"/>
            </w:tcBorders>
          </w:tcPr>
          <w:p w14:paraId="71653704">
            <w:pPr>
              <w:ind w:firstLine="480"/>
              <w:rPr>
                <w:rFonts w:ascii="宋体" w:hAnsi="宋体"/>
                <w:szCs w:val="24"/>
              </w:rPr>
            </w:pPr>
          </w:p>
        </w:tc>
        <w:tc>
          <w:tcPr>
            <w:tcW w:w="2694" w:type="dxa"/>
            <w:tcBorders>
              <w:top w:val="single" w:color="auto" w:sz="4" w:space="0"/>
              <w:left w:val="single" w:color="auto" w:sz="4" w:space="0"/>
              <w:bottom w:val="single" w:color="auto" w:sz="4" w:space="0"/>
              <w:right w:val="single" w:color="auto" w:sz="4" w:space="0"/>
            </w:tcBorders>
          </w:tcPr>
          <w:p w14:paraId="726EE772">
            <w:pPr>
              <w:ind w:firstLine="480"/>
              <w:rPr>
                <w:rFonts w:ascii="宋体" w:hAnsi="宋体"/>
                <w:szCs w:val="24"/>
              </w:rPr>
            </w:pPr>
          </w:p>
        </w:tc>
      </w:tr>
      <w:tr w14:paraId="35F7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op w:val="single" w:color="auto" w:sz="4" w:space="0"/>
              <w:left w:val="single" w:color="auto" w:sz="4" w:space="0"/>
              <w:bottom w:val="single" w:color="auto" w:sz="4" w:space="0"/>
              <w:right w:val="single" w:color="auto" w:sz="4" w:space="0"/>
            </w:tcBorders>
          </w:tcPr>
          <w:p w14:paraId="35D8204B">
            <w:pPr>
              <w:ind w:firstLine="480"/>
              <w:rPr>
                <w:rFonts w:ascii="宋体" w:hAnsi="宋体"/>
                <w:szCs w:val="24"/>
              </w:rPr>
            </w:pPr>
          </w:p>
        </w:tc>
        <w:tc>
          <w:tcPr>
            <w:tcW w:w="1020" w:type="dxa"/>
            <w:tcBorders>
              <w:top w:val="single" w:color="auto" w:sz="4" w:space="0"/>
              <w:left w:val="single" w:color="auto" w:sz="4" w:space="0"/>
              <w:bottom w:val="single" w:color="auto" w:sz="4" w:space="0"/>
              <w:right w:val="single" w:color="auto" w:sz="4" w:space="0"/>
            </w:tcBorders>
          </w:tcPr>
          <w:p w14:paraId="53E8AA6F">
            <w:pPr>
              <w:ind w:firstLine="480"/>
              <w:rPr>
                <w:rFonts w:ascii="宋体" w:hAnsi="宋体"/>
                <w:szCs w:val="24"/>
              </w:rPr>
            </w:pPr>
          </w:p>
        </w:tc>
        <w:tc>
          <w:tcPr>
            <w:tcW w:w="2835" w:type="dxa"/>
            <w:tcBorders>
              <w:top w:val="single" w:color="auto" w:sz="4" w:space="0"/>
              <w:left w:val="single" w:color="auto" w:sz="4" w:space="0"/>
              <w:bottom w:val="single" w:color="auto" w:sz="4" w:space="0"/>
              <w:right w:val="single" w:color="auto" w:sz="4" w:space="0"/>
            </w:tcBorders>
          </w:tcPr>
          <w:p w14:paraId="1D38BE94">
            <w:pPr>
              <w:ind w:firstLine="480"/>
              <w:rPr>
                <w:rFonts w:ascii="宋体" w:hAnsi="宋体"/>
                <w:szCs w:val="24"/>
              </w:rPr>
            </w:pPr>
          </w:p>
        </w:tc>
        <w:tc>
          <w:tcPr>
            <w:tcW w:w="1605" w:type="dxa"/>
            <w:tcBorders>
              <w:top w:val="single" w:color="auto" w:sz="4" w:space="0"/>
              <w:left w:val="single" w:color="auto" w:sz="4" w:space="0"/>
              <w:bottom w:val="single" w:color="auto" w:sz="4" w:space="0"/>
              <w:right w:val="single" w:color="auto" w:sz="4" w:space="0"/>
            </w:tcBorders>
          </w:tcPr>
          <w:p w14:paraId="0706A789">
            <w:pPr>
              <w:ind w:firstLine="480"/>
              <w:rPr>
                <w:rFonts w:ascii="宋体" w:hAnsi="宋体"/>
                <w:szCs w:val="24"/>
              </w:rPr>
            </w:pPr>
          </w:p>
        </w:tc>
        <w:tc>
          <w:tcPr>
            <w:tcW w:w="2694" w:type="dxa"/>
            <w:tcBorders>
              <w:top w:val="single" w:color="auto" w:sz="4" w:space="0"/>
              <w:left w:val="single" w:color="auto" w:sz="4" w:space="0"/>
              <w:bottom w:val="single" w:color="auto" w:sz="4" w:space="0"/>
              <w:right w:val="single" w:color="auto" w:sz="4" w:space="0"/>
            </w:tcBorders>
          </w:tcPr>
          <w:p w14:paraId="79AECA0B">
            <w:pPr>
              <w:ind w:firstLine="480"/>
              <w:rPr>
                <w:rFonts w:ascii="宋体" w:hAnsi="宋体"/>
                <w:szCs w:val="24"/>
              </w:rPr>
            </w:pPr>
          </w:p>
        </w:tc>
      </w:tr>
    </w:tbl>
    <w:p w14:paraId="7AC66218">
      <w:pPr>
        <w:pStyle w:val="5"/>
      </w:pPr>
      <w:bookmarkStart w:id="46" w:name="_Toc6206"/>
      <w:r>
        <w:rPr>
          <w:rFonts w:hint="eastAsia"/>
          <w:sz w:val="24"/>
        </w:rPr>
        <w:t>2、投标方需要说明的其它问题</w:t>
      </w:r>
      <w:bookmarkEnd w:id="0"/>
      <w:bookmarkEnd w:id="18"/>
      <w:bookmarkEnd w:id="46"/>
    </w:p>
    <w:sectPr>
      <w:footerReference r:id="rId5" w:type="default"/>
      <w:pgSz w:w="11906" w:h="16838"/>
      <w:pgMar w:top="1474" w:right="1134" w:bottom="1134" w:left="1418" w:header="1134" w:footer="1077"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modern"/>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Book Antiqua">
    <w:altName w:val="FreeSerif"/>
    <w:panose1 w:val="02040602050305030304"/>
    <w:charset w:val="00"/>
    <w:family w:val="roman"/>
    <w:pitch w:val="default"/>
    <w:sig w:usb0="00000000" w:usb1="00000000" w:usb2="00000000" w:usb3="00000000" w:csb0="2000009F" w:csb1="DFD70000"/>
  </w:font>
  <w:font w:name="FreeSerif">
    <w:panose1 w:val="02020603050405020304"/>
    <w:charset w:val="00"/>
    <w:family w:val="auto"/>
    <w:pitch w:val="default"/>
    <w:sig w:usb0="E59FAFFF" w:usb1="C200FDFF" w:usb2="43501B29" w:usb3="04000043" w:csb0="600101FF" w:csb1="FFFF0000"/>
  </w:font>
  <w:font w:name="MathJax_Vector">
    <w:panose1 w:val="02000603000000000000"/>
    <w:charset w:val="00"/>
    <w:family w:val="auto"/>
    <w:pitch w:val="default"/>
    <w:sig w:usb0="00000001" w:usb1="00000020" w:usb2="00000000" w:usb3="00000000" w:csb0="00000001"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97B81">
    <w:pPr>
      <w:pStyle w:val="6"/>
      <w:jc w:val="center"/>
    </w:pPr>
    <w:r>
      <w:fldChar w:fldCharType="begin"/>
    </w:r>
    <w:r>
      <w:instrText xml:space="preserve"> PAGE   \* MERGEFORMAT </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C15F6"/>
    <w:multiLevelType w:val="singleLevel"/>
    <w:tmpl w:val="81AC15F6"/>
    <w:lvl w:ilvl="0" w:tentative="0">
      <w:start w:val="1"/>
      <w:numFmt w:val="decimal"/>
      <w:suff w:val="nothing"/>
      <w:lvlText w:val="%1．"/>
      <w:lvlJc w:val="left"/>
      <w:pPr>
        <w:ind w:left="0" w:firstLine="400"/>
      </w:pPr>
      <w:rPr>
        <w:rFonts w:hint="default"/>
      </w:rPr>
    </w:lvl>
  </w:abstractNum>
  <w:abstractNum w:abstractNumId="1">
    <w:nsid w:val="859A1022"/>
    <w:multiLevelType w:val="singleLevel"/>
    <w:tmpl w:val="859A1022"/>
    <w:lvl w:ilvl="0" w:tentative="0">
      <w:start w:val="1"/>
      <w:numFmt w:val="decimal"/>
      <w:suff w:val="nothing"/>
      <w:lvlText w:val="%1．"/>
      <w:lvlJc w:val="left"/>
      <w:pPr>
        <w:ind w:left="0" w:firstLine="400"/>
      </w:pPr>
      <w:rPr>
        <w:rFonts w:hint="default"/>
      </w:rPr>
    </w:lvl>
  </w:abstractNum>
  <w:abstractNum w:abstractNumId="2">
    <w:nsid w:val="8B10BCCE"/>
    <w:multiLevelType w:val="singleLevel"/>
    <w:tmpl w:val="8B10BCCE"/>
    <w:lvl w:ilvl="0" w:tentative="0">
      <w:start w:val="1"/>
      <w:numFmt w:val="decimal"/>
      <w:suff w:val="nothing"/>
      <w:lvlText w:val="%1．"/>
      <w:lvlJc w:val="left"/>
      <w:pPr>
        <w:ind w:left="0" w:firstLine="400"/>
      </w:pPr>
      <w:rPr>
        <w:rFonts w:hint="default"/>
      </w:rPr>
    </w:lvl>
  </w:abstractNum>
  <w:abstractNum w:abstractNumId="3">
    <w:nsid w:val="98108287"/>
    <w:multiLevelType w:val="singleLevel"/>
    <w:tmpl w:val="98108287"/>
    <w:lvl w:ilvl="0" w:tentative="0">
      <w:start w:val="1"/>
      <w:numFmt w:val="decimal"/>
      <w:suff w:val="nothing"/>
      <w:lvlText w:val="%1．"/>
      <w:lvlJc w:val="left"/>
      <w:pPr>
        <w:ind w:left="0" w:firstLine="400"/>
      </w:pPr>
      <w:rPr>
        <w:rFonts w:hint="default"/>
      </w:rPr>
    </w:lvl>
  </w:abstractNum>
  <w:abstractNum w:abstractNumId="4">
    <w:nsid w:val="BCA05B86"/>
    <w:multiLevelType w:val="singleLevel"/>
    <w:tmpl w:val="BCA05B86"/>
    <w:lvl w:ilvl="0" w:tentative="0">
      <w:start w:val="1"/>
      <w:numFmt w:val="decimal"/>
      <w:suff w:val="nothing"/>
      <w:lvlText w:val="%1．"/>
      <w:lvlJc w:val="left"/>
      <w:pPr>
        <w:ind w:left="0" w:firstLine="400"/>
      </w:pPr>
      <w:rPr>
        <w:rFonts w:hint="default"/>
      </w:rPr>
    </w:lvl>
  </w:abstractNum>
  <w:abstractNum w:abstractNumId="5">
    <w:nsid w:val="C0413AB2"/>
    <w:multiLevelType w:val="singleLevel"/>
    <w:tmpl w:val="C0413AB2"/>
    <w:lvl w:ilvl="0" w:tentative="0">
      <w:start w:val="1"/>
      <w:numFmt w:val="decimal"/>
      <w:suff w:val="nothing"/>
      <w:lvlText w:val="%1．"/>
      <w:lvlJc w:val="left"/>
      <w:pPr>
        <w:ind w:left="0" w:firstLine="400"/>
      </w:pPr>
      <w:rPr>
        <w:rFonts w:hint="default"/>
        <w:color w:val="auto"/>
      </w:rPr>
    </w:lvl>
  </w:abstractNum>
  <w:abstractNum w:abstractNumId="6">
    <w:nsid w:val="FB656EE4"/>
    <w:multiLevelType w:val="singleLevel"/>
    <w:tmpl w:val="FB656EE4"/>
    <w:lvl w:ilvl="0" w:tentative="0">
      <w:start w:val="1"/>
      <w:numFmt w:val="chineseCounting"/>
      <w:suff w:val="nothing"/>
      <w:lvlText w:val="（%1）"/>
      <w:lvlJc w:val="left"/>
      <w:pPr>
        <w:ind w:left="0" w:firstLine="420"/>
      </w:pPr>
      <w:rPr>
        <w:rFonts w:hint="eastAsia"/>
      </w:rPr>
    </w:lvl>
  </w:abstractNum>
  <w:abstractNum w:abstractNumId="7">
    <w:nsid w:val="00649733"/>
    <w:multiLevelType w:val="singleLevel"/>
    <w:tmpl w:val="00649733"/>
    <w:lvl w:ilvl="0" w:tentative="0">
      <w:start w:val="1"/>
      <w:numFmt w:val="decimal"/>
      <w:suff w:val="nothing"/>
      <w:lvlText w:val="%1．"/>
      <w:lvlJc w:val="left"/>
      <w:pPr>
        <w:ind w:left="0" w:firstLine="400"/>
      </w:pPr>
      <w:rPr>
        <w:rFonts w:hint="default"/>
      </w:rPr>
    </w:lvl>
  </w:abstractNum>
  <w:abstractNum w:abstractNumId="8">
    <w:nsid w:val="0429BEF4"/>
    <w:multiLevelType w:val="singleLevel"/>
    <w:tmpl w:val="0429BEF4"/>
    <w:lvl w:ilvl="0" w:tentative="0">
      <w:start w:val="1"/>
      <w:numFmt w:val="decimal"/>
      <w:suff w:val="nothing"/>
      <w:lvlText w:val="%1．"/>
      <w:lvlJc w:val="left"/>
      <w:pPr>
        <w:ind w:left="0" w:firstLine="400"/>
      </w:pPr>
      <w:rPr>
        <w:rFonts w:hint="default"/>
      </w:rPr>
    </w:lvl>
  </w:abstractNum>
  <w:abstractNum w:abstractNumId="9">
    <w:nsid w:val="3FB714FA"/>
    <w:multiLevelType w:val="multilevel"/>
    <w:tmpl w:val="3FB714F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569A4EBE"/>
    <w:multiLevelType w:val="singleLevel"/>
    <w:tmpl w:val="569A4EBE"/>
    <w:lvl w:ilvl="0" w:tentative="0">
      <w:start w:val="1"/>
      <w:numFmt w:val="chineseCounting"/>
      <w:suff w:val="nothing"/>
      <w:lvlText w:val="%1、"/>
      <w:lvlJc w:val="left"/>
      <w:pPr>
        <w:ind w:left="0" w:firstLine="420"/>
      </w:pPr>
      <w:rPr>
        <w:rFonts w:hint="eastAsia"/>
      </w:rPr>
    </w:lvl>
  </w:abstractNum>
  <w:abstractNum w:abstractNumId="11">
    <w:nsid w:val="69231DFA"/>
    <w:multiLevelType w:val="singleLevel"/>
    <w:tmpl w:val="69231DFA"/>
    <w:lvl w:ilvl="0" w:tentative="0">
      <w:start w:val="1"/>
      <w:numFmt w:val="chineseCounting"/>
      <w:suff w:val="nothing"/>
      <w:lvlText w:val="（%1）"/>
      <w:lvlJc w:val="left"/>
      <w:pPr>
        <w:ind w:left="0" w:firstLine="420"/>
      </w:pPr>
      <w:rPr>
        <w:rFonts w:hint="eastAsia"/>
      </w:rPr>
    </w:lvl>
  </w:abstractNum>
  <w:num w:numId="1">
    <w:abstractNumId w:val="10"/>
  </w:num>
  <w:num w:numId="2">
    <w:abstractNumId w:val="6"/>
  </w:num>
  <w:num w:numId="3">
    <w:abstractNumId w:val="7"/>
  </w:num>
  <w:num w:numId="4">
    <w:abstractNumId w:val="8"/>
  </w:num>
  <w:num w:numId="5">
    <w:abstractNumId w:val="11"/>
  </w:num>
  <w:num w:numId="6">
    <w:abstractNumId w:val="5"/>
  </w:num>
  <w:num w:numId="7">
    <w:abstractNumId w:val="4"/>
  </w:num>
  <w:num w:numId="8">
    <w:abstractNumId w:val="1"/>
  </w:num>
  <w:num w:numId="9">
    <w:abstractNumId w:val="9"/>
  </w:num>
  <w:num w:numId="10">
    <w:abstractNumId w:val="3"/>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NGQ4Yzg2NjQ1MDZjMWM2OTc5ZjgxYmUxNzRhZTAifQ=="/>
  </w:docVars>
  <w:rsids>
    <w:rsidRoot w:val="2F43059D"/>
    <w:rsid w:val="00197CB8"/>
    <w:rsid w:val="00565F6E"/>
    <w:rsid w:val="00610E1A"/>
    <w:rsid w:val="00E128BA"/>
    <w:rsid w:val="00F35C9C"/>
    <w:rsid w:val="010E72CB"/>
    <w:rsid w:val="018F0B1E"/>
    <w:rsid w:val="01C60D64"/>
    <w:rsid w:val="02C7409E"/>
    <w:rsid w:val="042807E2"/>
    <w:rsid w:val="04BC3254"/>
    <w:rsid w:val="05025F47"/>
    <w:rsid w:val="050510CA"/>
    <w:rsid w:val="05FA4E5A"/>
    <w:rsid w:val="05FE3860"/>
    <w:rsid w:val="06B45F08"/>
    <w:rsid w:val="075B6235"/>
    <w:rsid w:val="076A3DB7"/>
    <w:rsid w:val="095A48E7"/>
    <w:rsid w:val="0A5C798D"/>
    <w:rsid w:val="0A9F717D"/>
    <w:rsid w:val="0C533633"/>
    <w:rsid w:val="0C5D03D7"/>
    <w:rsid w:val="0CA73CCE"/>
    <w:rsid w:val="0D2B1D29"/>
    <w:rsid w:val="0D821B4C"/>
    <w:rsid w:val="0DA815A1"/>
    <w:rsid w:val="0DE77617"/>
    <w:rsid w:val="0F77606B"/>
    <w:rsid w:val="10EB7251"/>
    <w:rsid w:val="125F6DB3"/>
    <w:rsid w:val="15567D78"/>
    <w:rsid w:val="15574892"/>
    <w:rsid w:val="16213F5B"/>
    <w:rsid w:val="16445414"/>
    <w:rsid w:val="17E9701D"/>
    <w:rsid w:val="18324C3F"/>
    <w:rsid w:val="18422CDC"/>
    <w:rsid w:val="190C6E7B"/>
    <w:rsid w:val="19741C88"/>
    <w:rsid w:val="19846B6B"/>
    <w:rsid w:val="19C169D0"/>
    <w:rsid w:val="19DA3CF6"/>
    <w:rsid w:val="1B29692D"/>
    <w:rsid w:val="1CC34A3E"/>
    <w:rsid w:val="1CCD1822"/>
    <w:rsid w:val="1D767D65"/>
    <w:rsid w:val="1DF8703A"/>
    <w:rsid w:val="1E2A308C"/>
    <w:rsid w:val="1E2E283D"/>
    <w:rsid w:val="1EAF00AC"/>
    <w:rsid w:val="1F730AA4"/>
    <w:rsid w:val="1FA52578"/>
    <w:rsid w:val="1FB0418D"/>
    <w:rsid w:val="1FD7404C"/>
    <w:rsid w:val="204001F8"/>
    <w:rsid w:val="20A2556E"/>
    <w:rsid w:val="20A73C6F"/>
    <w:rsid w:val="20BF5AA4"/>
    <w:rsid w:val="21066CBD"/>
    <w:rsid w:val="24CE7073"/>
    <w:rsid w:val="256A1315"/>
    <w:rsid w:val="258E70E1"/>
    <w:rsid w:val="25D235CE"/>
    <w:rsid w:val="25EA2CC2"/>
    <w:rsid w:val="25F87A5A"/>
    <w:rsid w:val="27172430"/>
    <w:rsid w:val="286E03F0"/>
    <w:rsid w:val="2A933C0B"/>
    <w:rsid w:val="2BDF6B05"/>
    <w:rsid w:val="2F43059D"/>
    <w:rsid w:val="2F683B53"/>
    <w:rsid w:val="2FC46EA0"/>
    <w:rsid w:val="32067DEF"/>
    <w:rsid w:val="328949F5"/>
    <w:rsid w:val="333F770A"/>
    <w:rsid w:val="339E453D"/>
    <w:rsid w:val="33F87C9A"/>
    <w:rsid w:val="340764EB"/>
    <w:rsid w:val="340C4B71"/>
    <w:rsid w:val="34654306"/>
    <w:rsid w:val="37973DBF"/>
    <w:rsid w:val="38C9453B"/>
    <w:rsid w:val="38ED3A6E"/>
    <w:rsid w:val="393E44F9"/>
    <w:rsid w:val="3A2B35BD"/>
    <w:rsid w:val="3B823B52"/>
    <w:rsid w:val="3D6D1CD5"/>
    <w:rsid w:val="3E325B6B"/>
    <w:rsid w:val="3E756C84"/>
    <w:rsid w:val="3E8649A0"/>
    <w:rsid w:val="3FBC469A"/>
    <w:rsid w:val="3FC60BB0"/>
    <w:rsid w:val="40D432EC"/>
    <w:rsid w:val="40F612A2"/>
    <w:rsid w:val="41535DB8"/>
    <w:rsid w:val="4170316A"/>
    <w:rsid w:val="421325A4"/>
    <w:rsid w:val="468A764A"/>
    <w:rsid w:val="47675D33"/>
    <w:rsid w:val="481203CA"/>
    <w:rsid w:val="48F9DEAE"/>
    <w:rsid w:val="495A19E6"/>
    <w:rsid w:val="4AF76896"/>
    <w:rsid w:val="4B211352"/>
    <w:rsid w:val="4B523D1F"/>
    <w:rsid w:val="4B7F716D"/>
    <w:rsid w:val="4D3929A5"/>
    <w:rsid w:val="4D813E5E"/>
    <w:rsid w:val="4DB95793"/>
    <w:rsid w:val="4DBA3214"/>
    <w:rsid w:val="4E0868C6"/>
    <w:rsid w:val="4F722CCD"/>
    <w:rsid w:val="50776590"/>
    <w:rsid w:val="51A83198"/>
    <w:rsid w:val="51FC1C0F"/>
    <w:rsid w:val="56574DB7"/>
    <w:rsid w:val="56BE21DD"/>
    <w:rsid w:val="573C246E"/>
    <w:rsid w:val="59152109"/>
    <w:rsid w:val="598D6DCE"/>
    <w:rsid w:val="5CBC4731"/>
    <w:rsid w:val="5D122F42"/>
    <w:rsid w:val="5DE50D1C"/>
    <w:rsid w:val="5E4951BD"/>
    <w:rsid w:val="5E77028A"/>
    <w:rsid w:val="5EEF11CE"/>
    <w:rsid w:val="5F0223ED"/>
    <w:rsid w:val="5FCF62BD"/>
    <w:rsid w:val="60972F7F"/>
    <w:rsid w:val="61457124"/>
    <w:rsid w:val="62566357"/>
    <w:rsid w:val="640C0830"/>
    <w:rsid w:val="66AF0E04"/>
    <w:rsid w:val="66B40B0F"/>
    <w:rsid w:val="67C91C64"/>
    <w:rsid w:val="693E4935"/>
    <w:rsid w:val="698E59B9"/>
    <w:rsid w:val="69D306AC"/>
    <w:rsid w:val="69ED6F02"/>
    <w:rsid w:val="6E9B7E17"/>
    <w:rsid w:val="6EBD1AB8"/>
    <w:rsid w:val="6F1E2564"/>
    <w:rsid w:val="6F34087B"/>
    <w:rsid w:val="6F4B4F26"/>
    <w:rsid w:val="6F904BDE"/>
    <w:rsid w:val="6FE10C9C"/>
    <w:rsid w:val="707A7B96"/>
    <w:rsid w:val="70A873E0"/>
    <w:rsid w:val="714814E8"/>
    <w:rsid w:val="71D026C6"/>
    <w:rsid w:val="72492390"/>
    <w:rsid w:val="73100AD4"/>
    <w:rsid w:val="7640418E"/>
    <w:rsid w:val="76DB1E0E"/>
    <w:rsid w:val="77B04009"/>
    <w:rsid w:val="78257AE6"/>
    <w:rsid w:val="784F7772"/>
    <w:rsid w:val="78BA359E"/>
    <w:rsid w:val="790C33A8"/>
    <w:rsid w:val="79D143EB"/>
    <w:rsid w:val="79D762F4"/>
    <w:rsid w:val="7A9E02BB"/>
    <w:rsid w:val="7AF741CD"/>
    <w:rsid w:val="7B0E4166"/>
    <w:rsid w:val="7C0D364E"/>
    <w:rsid w:val="7C3A3560"/>
    <w:rsid w:val="7DB73ACD"/>
    <w:rsid w:val="7EAE1D0F"/>
    <w:rsid w:val="7F6A3397"/>
    <w:rsid w:val="DCB7F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00" w:beforeAutospacing="1" w:after="100" w:afterAutospacing="1" w:line="360" w:lineRule="auto"/>
    </w:pPr>
    <w:rPr>
      <w:rFonts w:ascii="Book Antiqua" w:hAnsi="Book Antiqua" w:eastAsia="宋体" w:cs="Times New Roman"/>
      <w:sz w:val="24"/>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99"/>
    <w:pPr>
      <w:keepNext/>
      <w:keepLines/>
      <w:tabs>
        <w:tab w:val="left" w:pos="0"/>
      </w:tabs>
      <w:outlineLvl w:val="1"/>
    </w:pPr>
    <w:rPr>
      <w:rFonts w:ascii="宋体" w:hAnsi="宋体" w:cs="宋体"/>
      <w:b/>
      <w:bCs/>
      <w:sz w:val="28"/>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afterAutospacing="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6">
    <w:name w:val="footer"/>
    <w:basedOn w:val="1"/>
    <w:unhideWhenUsed/>
    <w:qFormat/>
    <w:uiPriority w:val="0"/>
    <w:pPr>
      <w:tabs>
        <w:tab w:val="center" w:pos="4320"/>
        <w:tab w:val="right" w:pos="8640"/>
      </w:tabs>
      <w:spacing w:before="0" w:after="0" w:line="240" w:lineRule="auto"/>
    </w:p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4300</Words>
  <Characters>4350</Characters>
  <Lines>27</Lines>
  <Paragraphs>7</Paragraphs>
  <TotalTime>3</TotalTime>
  <ScaleCrop>false</ScaleCrop>
  <LinksUpToDate>false</LinksUpToDate>
  <CharactersWithSpaces>4378</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2023-06-01T01:29:00Z</dcterms:created>
  <dc:creator>左边口袋</dc:creator>
  <cp:lastModifiedBy>HZPCLI-BQ</cp:lastModifiedBy>
  <dcterms:modified xsi:type="dcterms:W3CDTF">2026-06-17T16:04:33Z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A8FE7EF347234DFE97B4B4569B42D954_13</vt:lpwstr>
  </property>
  <property fmtid="{D5CDD505-2E9C-101B-9397-08002B2CF9AE}" pid="4" name="KSOTemplateDocerSaveRecord">
    <vt:lpwstr>eyJoZGlkIjoiNmUwZThlNzcwZDVlN2I0ZTMzZDU3N2Y5OWY4OWFmZDkiLCJ1c2VySWQiOiIxMjA0ODk3OTI2In0=</vt:lpwstr>
  </property>
</Properties>
</file>