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ageBreakBefore/>
        <w:tabs>
          <w:tab w:val="left" w:pos="0"/>
        </w:tabs>
        <w:ind w:firstLine="480"/>
        <w:jc w:val="center"/>
        <w:rPr>
          <w:rFonts w:ascii="仿宋_GB2312"/>
        </w:rPr>
      </w:pPr>
      <w:bookmarkStart w:id="0" w:name="_Toc309593257"/>
      <w:bookmarkStart w:id="1" w:name="_Toc307577976"/>
      <w:bookmarkStart w:id="2" w:name="_Toc309593186"/>
      <w:bookmarkStart w:id="3" w:name="_Toc309805581"/>
    </w:p>
    <w:p>
      <w:pPr>
        <w:tabs>
          <w:tab w:val="left" w:pos="0"/>
        </w:tabs>
        <w:ind w:firstLine="1044"/>
        <w:jc w:val="center"/>
        <w:rPr>
          <w:rFonts w:ascii="仿宋_GB2312"/>
          <w:sz w:val="44"/>
        </w:rPr>
      </w:pPr>
    </w:p>
    <w:p>
      <w:pPr>
        <w:tabs>
          <w:tab w:val="left" w:pos="0"/>
        </w:tabs>
        <w:ind w:firstLine="964"/>
        <w:jc w:val="center"/>
        <w:rPr>
          <w:rFonts w:hint="eastAsia" w:ascii="宋体" w:hAnsi="宋体"/>
          <w:b/>
          <w:sz w:val="48"/>
          <w:szCs w:val="48"/>
        </w:rPr>
      </w:pPr>
    </w:p>
    <w:p>
      <w:pPr>
        <w:tabs>
          <w:tab w:val="left" w:pos="0"/>
        </w:tabs>
        <w:ind w:firstLine="964"/>
        <w:jc w:val="center"/>
        <w:rPr>
          <w:rFonts w:hint="eastAsia" w:ascii="宋体" w:hAnsi="宋体"/>
          <w:b/>
          <w:sz w:val="48"/>
          <w:szCs w:val="48"/>
        </w:rPr>
      </w:pPr>
    </w:p>
    <w:p>
      <w:pPr>
        <w:tabs>
          <w:tab w:val="left" w:pos="0"/>
        </w:tabs>
        <w:spacing w:line="240" w:lineRule="auto"/>
        <w:ind w:firstLine="964"/>
        <w:jc w:val="center"/>
        <w:rPr>
          <w:rFonts w:hint="eastAsia" w:ascii="宋体" w:hAnsi="宋体"/>
          <w:b/>
          <w:sz w:val="48"/>
          <w:szCs w:val="48"/>
        </w:rPr>
      </w:pPr>
    </w:p>
    <w:p>
      <w:pPr>
        <w:adjustRightInd w:val="0"/>
        <w:snapToGrid w:val="0"/>
        <w:ind w:firstLine="0" w:firstLineChars="0"/>
        <w:jc w:val="center"/>
        <w:rPr>
          <w:rFonts w:ascii="Calibri" w:hAnsi="Calibri" w:eastAsia="黑体"/>
          <w:b/>
          <w:sz w:val="52"/>
        </w:rPr>
      </w:pPr>
      <w:r>
        <w:rPr>
          <w:rFonts w:hint="eastAsia" w:ascii="Calibri" w:hAnsi="Calibri" w:eastAsia="黑体"/>
          <w:b/>
          <w:sz w:val="52"/>
          <w:lang w:val="en-US" w:eastAsia="zh-CN"/>
        </w:rPr>
        <w:t>超高压输电公司百色局2026年职工创新项目（</w:t>
      </w:r>
      <w:r>
        <w:rPr>
          <w:rFonts w:hint="eastAsia" w:ascii="Calibri" w:hAnsi="Calibri" w:eastAsia="黑体" w:cs="Times New Roman"/>
          <w:b/>
          <w:sz w:val="52"/>
          <w:lang w:val="en-US" w:eastAsia="zh-CN"/>
        </w:rPr>
        <w:t>一种塔杆拉线检测装置研制）</w:t>
      </w:r>
      <w:r>
        <w:rPr>
          <w:rFonts w:hint="eastAsia" w:ascii="Calibri" w:hAnsi="Calibri" w:eastAsia="黑体"/>
          <w:b/>
          <w:sz w:val="52"/>
          <w:lang w:val="en-US" w:eastAsia="zh-CN"/>
        </w:rPr>
        <w:t>技术规范书</w:t>
      </w:r>
    </w:p>
    <w:p>
      <w:pPr>
        <w:ind w:firstLine="600"/>
        <w:rPr>
          <w:sz w:val="30"/>
          <w:szCs w:val="30"/>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批准：</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审定：</w:t>
      </w:r>
    </w:p>
    <w:p>
      <w:pPr>
        <w:ind w:firstLine="1800" w:firstLineChars="600"/>
        <w:rPr>
          <w:color w:val="000000" w:themeColor="text1"/>
          <w:sz w:val="30"/>
          <w:szCs w:val="30"/>
          <w14:textFill>
            <w14:solidFill>
              <w14:schemeClr w14:val="tx1"/>
            </w14:solidFill>
          </w14:textFill>
        </w:rPr>
      </w:pPr>
    </w:p>
    <w:p>
      <w:pPr>
        <w:ind w:firstLine="1800" w:firstLineChars="600"/>
        <w:rPr>
          <w:color w:val="000000" w:themeColor="text1"/>
          <w:sz w:val="30"/>
          <w:szCs w:val="30"/>
          <w14:textFill>
            <w14:solidFill>
              <w14:schemeClr w14:val="tx1"/>
            </w14:solidFill>
          </w14:textFill>
        </w:rPr>
      </w:pPr>
      <w:r>
        <w:rPr>
          <w:rFonts w:hint="eastAsia"/>
          <w:color w:val="000000" w:themeColor="text1"/>
          <w:sz w:val="30"/>
          <w:szCs w:val="30"/>
          <w14:textFill>
            <w14:solidFill>
              <w14:schemeClr w14:val="tx1"/>
            </w14:solidFill>
          </w14:textFill>
        </w:rPr>
        <w:t>审核：</w:t>
      </w:r>
      <w:r>
        <w:rPr>
          <w:color w:val="000000" w:themeColor="text1"/>
          <w:sz w:val="30"/>
          <w:szCs w:val="30"/>
          <w14:textFill>
            <w14:solidFill>
              <w14:schemeClr w14:val="tx1"/>
            </w14:solidFill>
          </w14:textFill>
        </w:rPr>
        <w:t xml:space="preserve"> </w:t>
      </w:r>
    </w:p>
    <w:p>
      <w:pPr>
        <w:ind w:firstLine="1800" w:firstLineChars="600"/>
        <w:rPr>
          <w:color w:val="000000" w:themeColor="text1"/>
          <w:sz w:val="30"/>
          <w:szCs w:val="30"/>
          <w14:textFill>
            <w14:solidFill>
              <w14:schemeClr w14:val="tx1"/>
            </w14:solidFill>
          </w14:textFill>
        </w:rPr>
      </w:pPr>
    </w:p>
    <w:p>
      <w:pPr>
        <w:adjustRightInd w:val="0"/>
        <w:snapToGrid w:val="0"/>
        <w:ind w:firstLine="1800" w:firstLineChars="600"/>
        <w:rPr>
          <w:sz w:val="28"/>
          <w:szCs w:val="36"/>
        </w:rPr>
      </w:pPr>
      <w:r>
        <w:rPr>
          <w:rFonts w:hint="eastAsia"/>
          <w:color w:val="000000" w:themeColor="text1"/>
          <w:sz w:val="30"/>
          <w:szCs w:val="30"/>
          <w14:textFill>
            <w14:solidFill>
              <w14:schemeClr w14:val="tx1"/>
            </w14:solidFill>
          </w14:textFill>
        </w:rPr>
        <w:t>编写：</w:t>
      </w:r>
    </w:p>
    <w:p>
      <w:pPr>
        <w:pStyle w:val="6"/>
        <w:rPr>
          <w:sz w:val="28"/>
          <w:szCs w:val="36"/>
        </w:rPr>
      </w:pPr>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color w:val="000000" w:themeColor="text1"/>
          <w:sz w:val="36"/>
          <w14:textFill>
            <w14:solidFill>
              <w14:schemeClr w14:val="tx1"/>
            </w14:solidFill>
          </w14:textFill>
        </w:rPr>
      </w:pPr>
      <w:bookmarkStart w:id="4" w:name="_Toc30053"/>
      <w:bookmarkStart w:id="5" w:name="_Toc19998"/>
      <w:bookmarkStart w:id="6" w:name="_Toc218675718"/>
      <w:r>
        <w:rPr>
          <w:rFonts w:hint="eastAsia" w:ascii="宋体" w:hAnsi="宋体"/>
          <w:b/>
          <w:color w:val="000000" w:themeColor="text1"/>
          <w:sz w:val="36"/>
          <w:highlight w:val="none"/>
          <w:lang w:val="en-US" w:eastAsia="zh-CN"/>
          <w14:textFill>
            <w14:solidFill>
              <w14:schemeClr w14:val="tx1"/>
            </w14:solidFill>
          </w14:textFill>
        </w:rPr>
        <w:t>南网</w:t>
      </w:r>
      <w:r>
        <w:rPr>
          <w:rFonts w:hint="eastAsia" w:ascii="宋体" w:hAnsi="宋体"/>
          <w:b/>
          <w:color w:val="000000" w:themeColor="text1"/>
          <w:sz w:val="36"/>
          <w:highlight w:val="none"/>
          <w14:textFill>
            <w14:solidFill>
              <w14:schemeClr w14:val="tx1"/>
            </w14:solidFill>
          </w14:textFill>
        </w:rPr>
        <w:t>超高压</w:t>
      </w:r>
      <w:r>
        <w:rPr>
          <w:rFonts w:hint="eastAsia" w:ascii="宋体" w:hAnsi="宋体"/>
          <w:b/>
          <w:color w:val="000000" w:themeColor="text1"/>
          <w:sz w:val="36"/>
          <w14:textFill>
            <w14:solidFill>
              <w14:schemeClr w14:val="tx1"/>
            </w14:solidFill>
          </w14:textFill>
        </w:rPr>
        <w:t>公司</w:t>
      </w:r>
      <w:bookmarkEnd w:id="4"/>
      <w:r>
        <w:rPr>
          <w:rFonts w:hint="eastAsia" w:ascii="宋体" w:hAnsi="宋体"/>
          <w:b/>
          <w:color w:val="000000" w:themeColor="text1"/>
          <w:sz w:val="36"/>
          <w14:textFill>
            <w14:solidFill>
              <w14:schemeClr w14:val="tx1"/>
            </w14:solidFill>
          </w14:textFill>
        </w:rPr>
        <w:t>百色局</w:t>
      </w:r>
      <w:bookmarkEnd w:id="5"/>
      <w:bookmarkEnd w:id="6"/>
    </w:p>
    <w:p>
      <w:pPr>
        <w:keepNext w:val="0"/>
        <w:keepLines w:val="0"/>
        <w:pageBreakBefore w:val="0"/>
        <w:widowControl w:val="0"/>
        <w:kinsoku/>
        <w:wordWrap/>
        <w:overflowPunct/>
        <w:topLinePunct w:val="0"/>
        <w:autoSpaceDE/>
        <w:autoSpaceDN/>
        <w:bidi w:val="0"/>
        <w:adjustRightInd/>
        <w:snapToGrid/>
        <w:ind w:firstLine="723"/>
        <w:jc w:val="center"/>
        <w:textAlignment w:val="auto"/>
        <w:outlineLvl w:val="9"/>
        <w:rPr>
          <w:rFonts w:hint="eastAsia" w:ascii="宋体" w:hAnsi="宋体"/>
          <w:b/>
          <w:sz w:val="36"/>
        </w:rPr>
      </w:pPr>
      <w:r>
        <w:rPr>
          <w:rFonts w:hint="eastAsia" w:ascii="宋体" w:hAnsi="宋体"/>
          <w:b/>
          <w:sz w:val="36"/>
        </w:rPr>
        <w:t>2026年</w:t>
      </w:r>
      <w:r>
        <w:rPr>
          <w:rFonts w:hint="eastAsia" w:ascii="宋体" w:hAnsi="宋体"/>
          <w:b/>
          <w:sz w:val="36"/>
          <w:lang w:val="en-US" w:eastAsia="zh-CN"/>
        </w:rPr>
        <w:t>6</w:t>
      </w:r>
      <w:r>
        <w:rPr>
          <w:rFonts w:hint="eastAsia" w:ascii="宋体" w:hAnsi="宋体"/>
          <w:b/>
          <w:sz w:val="36"/>
        </w:rPr>
        <w:t>月</w:t>
      </w:r>
    </w:p>
    <w:p>
      <w:pPr>
        <w:adjustRightInd w:val="0"/>
        <w:snapToGrid w:val="0"/>
        <w:ind w:firstLine="640"/>
        <w:jc w:val="center"/>
        <w:rPr>
          <w:rFonts w:hint="eastAsia" w:ascii="黑体" w:hAnsi="黑体" w:eastAsia="黑体" w:cs="黑体"/>
          <w:sz w:val="32"/>
          <w:szCs w:val="32"/>
        </w:rPr>
        <w:sectPr>
          <w:headerReference r:id="rId7" w:type="first"/>
          <w:footerReference r:id="rId10" w:type="first"/>
          <w:headerReference r:id="rId5" w:type="default"/>
          <w:footerReference r:id="rId8" w:type="default"/>
          <w:headerReference r:id="rId6" w:type="even"/>
          <w:footerReference r:id="rId9" w:type="even"/>
          <w:pgSz w:w="11906" w:h="16838"/>
          <w:pgMar w:top="1440" w:right="1800" w:bottom="1440" w:left="1800" w:header="851" w:footer="992" w:gutter="0"/>
          <w:cols w:space="425" w:num="1"/>
          <w:docGrid w:type="lines" w:linePitch="312" w:charSpace="0"/>
        </w:sectPr>
      </w:pPr>
    </w:p>
    <w:p>
      <w:pPr>
        <w:ind w:firstLine="0" w:firstLineChars="0"/>
        <w:jc w:val="center"/>
        <w:rPr>
          <w:rFonts w:hint="eastAsia" w:hAnsi="宋体"/>
          <w:b/>
          <w:spacing w:val="100"/>
          <w:sz w:val="32"/>
          <w:szCs w:val="30"/>
        </w:rPr>
      </w:pPr>
      <w:bookmarkStart w:id="70" w:name="_GoBack"/>
      <w:bookmarkEnd w:id="70"/>
    </w:p>
    <w:p>
      <w:pPr>
        <w:spacing w:line="240" w:lineRule="auto"/>
        <w:ind w:firstLine="0" w:firstLineChars="0"/>
        <w:jc w:val="center"/>
        <w:rPr>
          <w:rFonts w:hint="eastAsia" w:hAnsi="宋体"/>
          <w:b/>
          <w:spacing w:val="100"/>
          <w:sz w:val="32"/>
          <w:szCs w:val="30"/>
        </w:rPr>
      </w:pPr>
      <w:r>
        <w:rPr>
          <w:rFonts w:hAnsi="宋体"/>
          <w:b/>
          <w:spacing w:val="100"/>
          <w:sz w:val="32"/>
          <w:szCs w:val="30"/>
        </w:rPr>
        <w:t>目录</w:t>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TOC \o "1-1" \h \u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_Toc9520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1.总则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_Toc9520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_Toc5588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2.应遵循的主要标准</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PAGEREF _Toc5588 \h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1</w:t>
      </w:r>
      <w:r>
        <w:rPr>
          <w:rStyle w:val="23"/>
          <w:rFonts w:hint="eastAsia"/>
          <w:b/>
          <w:bCs/>
          <w:color w:val="000000" w:themeColor="text1"/>
          <w:highlight w:val="none"/>
          <w:lang w:val="en-US" w:eastAsia="zh-CN"/>
          <w14:textFill>
            <w14:solidFill>
              <w14:schemeClr w14:val="tx1"/>
            </w14:solidFill>
          </w14:textFill>
        </w:rPr>
        <w:fldChar w:fldCharType="end"/>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_Toc16474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3.使用条件</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2</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_Toc27043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4.制作原则</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2</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_Toc22696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5.技术服务内容及方式</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3</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_Toc23208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6.对投标方的要求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4</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_Toc30826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7.售后服务及其它服务要求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5</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Style w:val="23"/>
          <w:rFonts w:hint="eastAsia"/>
          <w:b/>
          <w:bCs/>
          <w:color w:val="000000" w:themeColor="text1"/>
          <w:highlight w:val="none"/>
          <w:lang w:val="en-US" w:eastAsia="zh-CN"/>
          <w14:textFill>
            <w14:solidFill>
              <w14:schemeClr w14:val="tx1"/>
            </w14:solidFill>
          </w14:textFill>
        </w:rPr>
      </w:pPr>
      <w:r>
        <w:rPr>
          <w:rStyle w:val="23"/>
          <w:rFonts w:hint="eastAsia"/>
          <w:b/>
          <w:bCs/>
          <w:color w:val="000000" w:themeColor="text1"/>
          <w:highlight w:val="none"/>
          <w:lang w:val="en-US" w:eastAsia="zh-CN"/>
          <w14:textFill>
            <w14:solidFill>
              <w14:schemeClr w14:val="tx1"/>
            </w14:solidFill>
          </w14:textFill>
        </w:rPr>
        <w:fldChar w:fldCharType="begin"/>
      </w:r>
      <w:r>
        <w:rPr>
          <w:rStyle w:val="23"/>
          <w:rFonts w:hint="eastAsia"/>
          <w:b/>
          <w:bCs/>
          <w:color w:val="000000" w:themeColor="text1"/>
          <w:highlight w:val="none"/>
          <w:lang w:val="en-US" w:eastAsia="zh-CN"/>
          <w14:textFill>
            <w14:solidFill>
              <w14:schemeClr w14:val="tx1"/>
            </w14:solidFill>
          </w14:textFill>
        </w:rPr>
        <w:instrText xml:space="preserve"> HYPERLINK \l _Toc16657 </w:instrText>
      </w:r>
      <w:r>
        <w:rPr>
          <w:rStyle w:val="23"/>
          <w:rFonts w:hint="eastAsia"/>
          <w:b/>
          <w:bCs/>
          <w:color w:val="000000" w:themeColor="text1"/>
          <w:highlight w:val="none"/>
          <w:lang w:val="en-US" w:eastAsia="zh-CN"/>
          <w14:textFill>
            <w14:solidFill>
              <w14:schemeClr w14:val="tx1"/>
            </w14:solidFill>
          </w14:textFill>
        </w:rPr>
        <w:fldChar w:fldCharType="separate"/>
      </w:r>
      <w:r>
        <w:rPr>
          <w:rStyle w:val="23"/>
          <w:rFonts w:hint="eastAsia"/>
          <w:b/>
          <w:bCs/>
          <w:color w:val="000000" w:themeColor="text1"/>
          <w:highlight w:val="none"/>
          <w:lang w:val="en-US" w:eastAsia="zh-CN"/>
          <w14:textFill>
            <w14:solidFill>
              <w14:schemeClr w14:val="tx1"/>
            </w14:solidFill>
          </w14:textFill>
        </w:rPr>
        <w:t>8.对投标技术文件的要求</w:t>
      </w:r>
      <w:r>
        <w:rPr>
          <w:rStyle w:val="23"/>
          <w:rFonts w:hint="eastAsia"/>
          <w:b/>
          <w:bCs/>
          <w:color w:val="000000" w:themeColor="text1"/>
          <w:highlight w:val="none"/>
          <w:lang w:val="en-US" w:eastAsia="zh-CN"/>
          <w14:textFill>
            <w14:solidFill>
              <w14:schemeClr w14:val="tx1"/>
            </w14:solidFill>
          </w14:textFill>
        </w:rPr>
        <w:tab/>
      </w:r>
      <w:r>
        <w:rPr>
          <w:rStyle w:val="23"/>
          <w:rFonts w:hint="eastAsia"/>
          <w:b/>
          <w:bCs/>
          <w:color w:val="000000" w:themeColor="text1"/>
          <w:highlight w:val="none"/>
          <w:lang w:val="en-US" w:eastAsia="zh-CN"/>
          <w14:textFill>
            <w14:solidFill>
              <w14:schemeClr w14:val="tx1"/>
            </w14:solidFill>
          </w14:textFill>
        </w:rPr>
        <w:t>6</w:t>
      </w: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pPr>
      <w:r>
        <w:rPr>
          <w:rStyle w:val="23"/>
          <w:rFonts w:hint="eastAsia"/>
          <w:b/>
          <w:bCs/>
          <w:color w:val="000000" w:themeColor="text1"/>
          <w:highlight w:val="none"/>
          <w:lang w:val="en-US" w:eastAsia="zh-CN"/>
          <w14:textFill>
            <w14:solidFill>
              <w14:schemeClr w14:val="tx1"/>
            </w14:solidFill>
          </w14:textFill>
        </w:rPr>
        <w:fldChar w:fldCharType="end"/>
      </w:r>
    </w:p>
    <w:p>
      <w:pPr>
        <w:pStyle w:val="15"/>
        <w:tabs>
          <w:tab w:val="right" w:leader="dot" w:pos="8296"/>
        </w:tabs>
        <w:spacing w:line="360" w:lineRule="auto"/>
        <w:rPr>
          <w:rFonts w:eastAsia="黑体"/>
          <w:sz w:val="30"/>
          <w:u w:color="000000"/>
        </w:rPr>
        <w:sectPr>
          <w:headerReference r:id="rId13" w:type="first"/>
          <w:footerReference r:id="rId16" w:type="first"/>
          <w:headerReference r:id="rId11" w:type="default"/>
          <w:footerReference r:id="rId14" w:type="default"/>
          <w:headerReference r:id="rId12" w:type="even"/>
          <w:footerReference r:id="rId15" w:type="even"/>
          <w:pgSz w:w="11906" w:h="16838"/>
          <w:pgMar w:top="1440" w:right="1800" w:bottom="1440" w:left="1800" w:header="851" w:footer="992" w:gutter="0"/>
          <w:cols w:space="720" w:num="1"/>
          <w:docGrid w:type="lines" w:linePitch="312" w:charSpace="0"/>
        </w:sectPr>
      </w:pPr>
      <w:r>
        <w:rPr>
          <w:rFonts w:eastAsia="黑体"/>
          <w:sz w:val="30"/>
          <w:u w:color="000000"/>
        </w:rPr>
        <w:br w:type="page"/>
      </w:r>
    </w:p>
    <w:p>
      <w:pPr>
        <w:pStyle w:val="4"/>
        <w:numPr>
          <w:ilvl w:val="255"/>
          <w:numId w:val="0"/>
        </w:numPr>
        <w:spacing w:before="312" w:after="156"/>
        <w:rPr>
          <w:rFonts w:hint="eastAsia" w:ascii="宋体" w:hAnsi="宋体" w:eastAsia="宋体" w:cs="Times New Roman"/>
        </w:rPr>
      </w:pPr>
      <w:bookmarkStart w:id="7" w:name="_Toc28984"/>
      <w:bookmarkStart w:id="8" w:name="_Toc9520"/>
      <w:bookmarkStart w:id="9" w:name="_Toc5872"/>
      <w:r>
        <w:rPr>
          <w:rFonts w:hint="eastAsia" w:ascii="宋体" w:hAnsi="宋体" w:eastAsia="宋体" w:cs="Times New Roman"/>
        </w:rPr>
        <w:t>1.</w:t>
      </w:r>
      <w:r>
        <w:rPr>
          <w:rFonts w:ascii="宋体" w:hAnsi="宋体" w:eastAsia="宋体" w:cs="Times New Roman"/>
        </w:rPr>
        <w:t>总则</w:t>
      </w:r>
      <w:bookmarkEnd w:id="7"/>
      <w:bookmarkEnd w:id="8"/>
      <w:bookmarkEnd w:id="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 本技术规范书适用于《南网超高压公司百色局2026年职创项目（</w:t>
      </w:r>
      <w:r>
        <w:rPr>
          <w:rFonts w:hint="eastAsia"/>
          <w:color w:val="auto"/>
          <w:sz w:val="28"/>
          <w:szCs w:val="28"/>
          <w:highlight w:val="none"/>
          <w:lang w:val="en-US" w:eastAsia="zh-CN"/>
        </w:rPr>
        <w:t>一种塔杆拉线检测装置研制</w:t>
      </w:r>
      <w:r>
        <w:rPr>
          <w:rFonts w:hint="eastAsia" w:ascii="宋体" w:hAnsi="宋体" w:eastAsia="宋体" w:cs="宋体"/>
          <w:lang w:val="en-US" w:eastAsia="zh-CN"/>
        </w:rPr>
        <w:t>）》，提出了项目的技术内容、工期进度等要求，投标方应针对自身特点，根据本技术规范书所描述的具体要求，提供完整的解决方案。</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1.2 本次专项招标采购方为中国南方电网有限责任公司超高压输电公司百色局（以下简称“招标方”或“百色局”），在本文中，具备所要求资质参与投标的供应商简称“投标方”，中标的投标人简称“中标方”。</w:t>
      </w:r>
    </w:p>
    <w:p>
      <w:pPr>
        <w:tabs>
          <w:tab w:val="left" w:pos="851"/>
        </w:tabs>
        <w:ind w:firstLine="480"/>
        <w:rPr>
          <w:rFonts w:hint="eastAsia" w:ascii="宋体" w:hAnsi="宋体" w:eastAsia="宋体" w:cs="宋体"/>
          <w:lang w:val="en-US" w:eastAsia="zh-CN"/>
        </w:rPr>
      </w:pPr>
      <w:bookmarkStart w:id="10" w:name="_Toc14127"/>
      <w:r>
        <w:rPr>
          <w:rFonts w:hint="eastAsia" w:ascii="宋体" w:hAnsi="宋体" w:eastAsia="宋体" w:cs="宋体"/>
          <w:lang w:val="en-US" w:eastAsia="zh-CN"/>
        </w:rPr>
        <w:t>1.3 如投标方提供的技术服务或方案与本技术规范书要求有差异，即使是微小的差异，也应以书面形式言明，并说明原因。如投标方没有以书面形式对本技术规范书的条文提出异议，那么投标方提供的技术服务或方案应完全满足本技术规范书的要求。</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1.4 在根据本技术规范书签订协议之后，招标方有权提出因标准或规程规范发生变化而产生的一些补充，具体项目由招、投标双方共同商定。</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1.5 本技术规范书所使用的标准如遇与投标方所执行的标准发生矛盾时，按较高标准执行，本技术规范书未全部引用应用标准，凡是本技术规范书牵涉的各项内容均按最新标准实施。</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1.6 本技术规范书经招、投标双方确认后作为签订合同的技术附件，与合同正文具有同等法律效力。同时，技术规范书未尽事宜，由招、投标双方协商确定。</w:t>
      </w:r>
    </w:p>
    <w:p>
      <w:pPr>
        <w:pStyle w:val="4"/>
        <w:numPr>
          <w:ilvl w:val="255"/>
          <w:numId w:val="0"/>
        </w:numPr>
        <w:spacing w:before="312" w:after="156"/>
        <w:rPr>
          <w:rFonts w:hint="eastAsia" w:ascii="宋体" w:hAnsi="宋体" w:eastAsia="宋体" w:cs="Times New Roman"/>
        </w:rPr>
      </w:pPr>
      <w:bookmarkStart w:id="11" w:name="_Toc2740"/>
      <w:bookmarkStart w:id="12" w:name="_Toc5588"/>
      <w:r>
        <w:rPr>
          <w:rFonts w:hint="eastAsia" w:ascii="宋体" w:hAnsi="宋体" w:eastAsia="宋体" w:cs="Times New Roman"/>
        </w:rPr>
        <w:t>2.应遵循的主要标准</w:t>
      </w:r>
      <w:bookmarkEnd w:id="10"/>
      <w:bookmarkEnd w:id="11"/>
      <w:bookmarkEnd w:id="12"/>
    </w:p>
    <w:bookmarkEnd w:id="0"/>
    <w:bookmarkEnd w:id="1"/>
    <w:bookmarkEnd w:id="2"/>
    <w:bookmarkEnd w:id="3"/>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项目制作过程及成果须满足IEC标准、国家行业标准、南方电网企业标准（规范）。若已颁布的相关技术标准或规范被修订，使用本技术规范书的各方应探讨使用最新版本的可能性。</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本项目实施过程中所应用到的各种标准，由投标方推荐，经招标方确认后由投标方提供并在项目中使用。</w:t>
      </w: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推荐使用但不限于以下标准：</w:t>
      </w:r>
    </w:p>
    <w:tbl>
      <w:tblPr>
        <w:tblStyle w:val="18"/>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733"/>
        <w:gridCol w:w="578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33"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标准号</w:t>
            </w:r>
          </w:p>
        </w:tc>
        <w:tc>
          <w:tcPr>
            <w:tcW w:w="5786" w:type="dxa"/>
            <w:noWrap w:val="0"/>
            <w:vAlign w:val="center"/>
          </w:tcPr>
          <w:p>
            <w:pPr>
              <w:pStyle w:val="37"/>
              <w:tabs>
                <w:tab w:val="left" w:pos="2160"/>
                <w:tab w:val="clear" w:pos="4201"/>
                <w:tab w:val="clear" w:pos="9298"/>
              </w:tabs>
              <w:adjustRightInd w:val="0"/>
              <w:snapToGrid w:val="0"/>
              <w:spacing w:line="360" w:lineRule="auto"/>
              <w:ind w:firstLine="0" w:firstLineChars="0"/>
              <w:jc w:val="center"/>
              <w:rPr>
                <w:rFonts w:ascii="Times New Roman"/>
                <w:b/>
                <w:bCs/>
                <w:szCs w:val="21"/>
              </w:rPr>
            </w:pPr>
            <w:r>
              <w:rPr>
                <w:rFonts w:hint="eastAsia" w:ascii="Times New Roman"/>
                <w:b/>
                <w:bCs/>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eastAsia="宋体" w:cs="Times New Roman"/>
                <w:color w:val="000000"/>
                <w:sz w:val="21"/>
                <w:szCs w:val="21"/>
                <w:lang w:val="en-US" w:eastAsia="zh-CN"/>
              </w:rPr>
              <w:t>GB 50545-2010</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《110kV~750kV架空输电线路设计规范》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eastAsia="宋体"/>
                <w:szCs w:val="21"/>
                <w:lang w:val="en-US" w:eastAsia="zh-CN"/>
              </w:rPr>
            </w:pPr>
            <w:r>
              <w:rPr>
                <w:rFonts w:hint="eastAsia" w:ascii="Times New Roman" w:hAnsi="Times New Roman" w:eastAsia="宋体" w:cs="Times New Roman"/>
                <w:color w:val="000000"/>
                <w:sz w:val="21"/>
                <w:szCs w:val="21"/>
                <w:lang w:val="en-US" w:eastAsia="zh-CN"/>
              </w:rPr>
              <w:t>DL/T 741-2019</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《架空输电线路运行规程》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szCs w:val="21"/>
                <w:lang w:val="en-US" w:eastAsia="zh-CN"/>
              </w:rPr>
            </w:pPr>
            <w:r>
              <w:rPr>
                <w:rFonts w:hint="eastAsia" w:ascii="Times New Roman" w:hAnsi="Times New Roman" w:eastAsia="宋体" w:cs="Times New Roman"/>
                <w:color w:val="000000"/>
                <w:sz w:val="21"/>
                <w:szCs w:val="21"/>
                <w:lang w:val="en-US" w:eastAsia="zh-CN"/>
              </w:rPr>
              <w:t>DL/T 1731-2017</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eastAsia" w:ascii="Times New Roman" w:hAnsi="Times New Roman" w:eastAsia="宋体" w:cs="Times New Roman"/>
                <w:color w:val="000000"/>
                <w:sz w:val="21"/>
                <w:szCs w:val="21"/>
                <w:lang w:val="en-US" w:eastAsia="zh-CN"/>
              </w:rPr>
              <w:t>《架空输电线路状态监测装置通用技术规范》</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eastAsia="宋体" w:cs="Times New Roman"/>
                <w:color w:val="000000"/>
                <w:sz w:val="21"/>
                <w:szCs w:val="21"/>
                <w:lang w:val="en-US" w:eastAsia="zh-CN"/>
              </w:rPr>
              <w:t>DL/T 5462-2012</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s="Times New Roman"/>
                <w:color w:val="000000"/>
                <w:sz w:val="21"/>
                <w:szCs w:val="21"/>
                <w:lang w:val="en-US" w:eastAsia="zh-CN"/>
              </w:rPr>
            </w:pPr>
            <w:r>
              <w:rPr>
                <w:rFonts w:hint="default" w:ascii="Times New Roman" w:hAnsi="Times New Roman" w:eastAsia="宋体" w:cs="Times New Roman"/>
                <w:color w:val="000000"/>
                <w:sz w:val="21"/>
                <w:szCs w:val="21"/>
                <w:lang w:val="en-US" w:eastAsia="zh-CN"/>
              </w:rPr>
              <w:t xml:space="preserve"> </w:t>
            </w:r>
            <w:r>
              <w:rPr>
                <w:rFonts w:hint="eastAsia" w:ascii="Times New Roman" w:hAnsi="Times New Roman" w:eastAsia="宋体" w:cs="Times New Roman"/>
                <w:color w:val="000000"/>
                <w:sz w:val="21"/>
                <w:szCs w:val="21"/>
                <w:lang w:val="en-US" w:eastAsia="zh-CN"/>
              </w:rPr>
              <w:t>《架空输电线路覆冰观测技术规定》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eastAsia="宋体" w:cs="Times New Roman"/>
                <w:color w:val="000000"/>
                <w:sz w:val="21"/>
                <w:szCs w:val="21"/>
                <w:lang w:val="en-US" w:eastAsia="zh-CN"/>
              </w:rPr>
              <w:t>DL/T 5509-2015</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《架空输电线路覆冰勘测规程》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3"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lang w:val="en-US" w:eastAsia="zh-CN"/>
              </w:rPr>
            </w:pPr>
            <w:r>
              <w:rPr>
                <w:rFonts w:hint="eastAsia" w:ascii="Times New Roman" w:hAnsi="Times New Roman" w:eastAsia="宋体" w:cs="Times New Roman"/>
                <w:color w:val="000000"/>
                <w:sz w:val="21"/>
                <w:szCs w:val="21"/>
                <w:lang w:val="en-US" w:eastAsia="zh-CN"/>
              </w:rPr>
              <w:t>DL/T 5168</w:t>
            </w:r>
          </w:p>
        </w:tc>
        <w:tc>
          <w:tcPr>
            <w:tcW w:w="5786" w:type="dxa"/>
            <w:noWrap w:val="0"/>
            <w:vAlign w:val="center"/>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s="Times New Roman"/>
                <w:color w:val="000000"/>
                <w:sz w:val="21"/>
                <w:szCs w:val="21"/>
              </w:rPr>
            </w:pPr>
            <w:r>
              <w:rPr>
                <w:rFonts w:hint="eastAsia" w:ascii="Times New Roman" w:hAnsi="Times New Roman" w:eastAsia="宋体" w:cs="Times New Roman"/>
                <w:color w:val="000000"/>
                <w:sz w:val="21"/>
                <w:szCs w:val="21"/>
                <w:lang w:val="en-US" w:eastAsia="zh-CN"/>
              </w:rPr>
              <w:t>《110kV-750kV架空输电线路施工质量检验及评定规程》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3"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s="Times New Roman"/>
                <w:color w:val="000000"/>
                <w:sz w:val="21"/>
                <w:szCs w:val="21"/>
                <w:lang w:val="en-US" w:eastAsia="zh-CN"/>
              </w:rPr>
              <w:t>DL/T 976-2017</w:t>
            </w:r>
          </w:p>
        </w:tc>
        <w:tc>
          <w:tcPr>
            <w:tcW w:w="578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eastAsia" w:ascii="Times New Roman" w:hAnsi="Times New Roman" w:eastAsia="宋体"/>
                <w:color w:val="000000"/>
                <w:sz w:val="21"/>
                <w:szCs w:val="21"/>
              </w:rPr>
            </w:pPr>
            <w:r>
              <w:rPr>
                <w:rFonts w:hint="eastAsia" w:ascii="Times New Roman" w:hAnsi="Times New Roman" w:eastAsia="宋体" w:cs="Times New Roman"/>
                <w:color w:val="000000"/>
                <w:sz w:val="21"/>
                <w:szCs w:val="21"/>
                <w:lang w:val="en-US" w:eastAsia="zh-CN"/>
              </w:rPr>
              <w:t xml:space="preserve"> 带电作业工具、装置和设备预防性试验规程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 w:hRule="atLeast"/>
          <w:jc w:val="center"/>
        </w:trPr>
        <w:tc>
          <w:tcPr>
            <w:tcW w:w="2733"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bookmarkStart w:id="13" w:name="_Toc25883"/>
            <w:bookmarkStart w:id="14" w:name="_Toc16474"/>
            <w:bookmarkStart w:id="15" w:name="_Toc7639"/>
            <w:r>
              <w:rPr>
                <w:rFonts w:hint="eastAsia" w:ascii="Times New Roman" w:hAnsi="Times New Roman" w:eastAsia="宋体" w:cs="Times New Roman"/>
                <w:color w:val="000000"/>
                <w:sz w:val="21"/>
                <w:szCs w:val="21"/>
                <w:lang w:val="en-US" w:eastAsia="zh-CN"/>
              </w:rPr>
              <w:t>DL/T 1476-2015</w:t>
            </w:r>
          </w:p>
        </w:tc>
        <w:tc>
          <w:tcPr>
            <w:tcW w:w="5786" w:type="dxa"/>
            <w:noWrap w:val="0"/>
            <w:vAlign w:val="top"/>
          </w:tcPr>
          <w:p>
            <w:pPr>
              <w:pStyle w:val="37"/>
              <w:tabs>
                <w:tab w:val="left" w:pos="2160"/>
                <w:tab w:val="clear" w:pos="4201"/>
                <w:tab w:val="clear" w:pos="9298"/>
              </w:tabs>
              <w:adjustRightInd w:val="0"/>
              <w:snapToGrid w:val="0"/>
              <w:spacing w:beforeLines="0" w:afterLines="0" w:line="360" w:lineRule="auto"/>
              <w:ind w:firstLine="0" w:firstLineChars="0"/>
              <w:jc w:val="left"/>
              <w:rPr>
                <w:rFonts w:hint="default" w:ascii="Times New Roman" w:hAnsi="Times New Roman" w:eastAsia="宋体"/>
                <w:color w:val="000000"/>
                <w:sz w:val="21"/>
                <w:szCs w:val="21"/>
                <w:lang w:val="en-US" w:eastAsia="zh-CN"/>
              </w:rPr>
            </w:pPr>
            <w:r>
              <w:rPr>
                <w:rFonts w:hint="eastAsia" w:ascii="Times New Roman" w:hAnsi="Times New Roman" w:eastAsia="宋体" w:cs="Times New Roman"/>
                <w:color w:val="000000"/>
                <w:sz w:val="21"/>
                <w:szCs w:val="21"/>
                <w:lang w:val="en-US" w:eastAsia="zh-CN"/>
              </w:rPr>
              <w:t xml:space="preserve"> 电力安全工作规程 电力线路部分</w:t>
            </w:r>
          </w:p>
        </w:tc>
      </w:tr>
    </w:tbl>
    <w:p>
      <w:pPr>
        <w:pStyle w:val="4"/>
        <w:keepNext w:val="0"/>
        <w:keepLines w:val="0"/>
        <w:pageBreakBefore w:val="0"/>
        <w:widowControl/>
        <w:numPr>
          <w:ilvl w:val="255"/>
          <w:numId w:val="0"/>
        </w:numPr>
        <w:kinsoku/>
        <w:wordWrap/>
        <w:overflowPunct/>
        <w:topLinePunct w:val="0"/>
        <w:autoSpaceDE/>
        <w:autoSpaceDN/>
        <w:bidi w:val="0"/>
        <w:adjustRightInd/>
        <w:snapToGrid/>
        <w:spacing w:before="312" w:after="156" w:line="360" w:lineRule="auto"/>
        <w:textAlignment w:val="auto"/>
        <w:rPr>
          <w:rFonts w:hint="eastAsia" w:ascii="宋体" w:hAnsi="宋体" w:eastAsia="宋体" w:cs="Times New Roman"/>
          <w:lang w:val="en-US" w:eastAsia="zh-CN"/>
        </w:rPr>
      </w:pPr>
      <w:r>
        <w:rPr>
          <w:rFonts w:hint="eastAsia" w:ascii="宋体" w:hAnsi="宋体" w:eastAsia="宋体" w:cs="Times New Roman"/>
          <w:lang w:val="en-US" w:eastAsia="zh-CN"/>
        </w:rPr>
        <w:t>3.</w:t>
      </w:r>
      <w:bookmarkStart w:id="16" w:name="OLE_LINK1"/>
      <w:r>
        <w:rPr>
          <w:rFonts w:hint="eastAsia" w:ascii="宋体" w:hAnsi="宋体" w:eastAsia="宋体" w:cs="Times New Roman"/>
          <w:lang w:val="en-US" w:eastAsia="zh-CN"/>
        </w:rPr>
        <w:t>使用条件</w:t>
      </w:r>
      <w:bookmarkEnd w:id="13"/>
      <w:bookmarkEnd w:id="14"/>
    </w:p>
    <w:bookmarkEnd w:id="16"/>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bookmarkStart w:id="17" w:name="_Toc27043"/>
      <w:bookmarkStart w:id="18" w:name="_Toc14218"/>
      <w:r>
        <w:rPr>
          <w:rFonts w:hint="eastAsia" w:ascii="宋体" w:hAnsi="宋体" w:eastAsia="宋体" w:cs="宋体"/>
          <w:b w:val="0"/>
          <w:bCs w:val="0"/>
          <w:kern w:val="2"/>
          <w:sz w:val="24"/>
          <w:szCs w:val="24"/>
          <w:lang w:val="en-US" w:eastAsia="zh-CN" w:bidi="ar-SA"/>
        </w:rPr>
        <w:t>3.1正常工作条件</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（1）海拔高度：4000m及以下任何海拔高度均可正常使用（北京54坐标系）；</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（2）最高环境温度：+55ºC；</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（3）最低环境温度：-20ºC；</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（4）年平均气温：20ºC；</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（5）覆冰厚度：0～30mm；</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（6）最大设计风速：20m/s</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（7）环境相对湿度：80%；</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（8）工器具应该能在规定的荷载内正常运行。</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3.2特殊工作条件</w:t>
      </w:r>
    </w:p>
    <w:p>
      <w:pPr>
        <w:pStyle w:val="4"/>
        <w:keepNext w:val="0"/>
        <w:keepLines w:val="0"/>
        <w:pageBreakBefore w:val="0"/>
        <w:widowControl/>
        <w:numPr>
          <w:ilvl w:val="255"/>
          <w:numId w:val="0"/>
        </w:numPr>
        <w:kinsoku/>
        <w:wordWrap/>
        <w:overflowPunct/>
        <w:topLinePunct w:val="0"/>
        <w:autoSpaceDE/>
        <w:autoSpaceDN/>
        <w:bidi w:val="0"/>
        <w:adjustRightInd/>
        <w:snapToGrid/>
        <w:spacing w:beforeLines="0" w:afterLines="0" w:line="360" w:lineRule="auto"/>
        <w:textAlignment w:val="auto"/>
        <w:rPr>
          <w:rFonts w:hint="eastAsia" w:ascii="宋体" w:hAnsi="宋体" w:eastAsia="宋体" w:cs="宋体"/>
          <w:b w:val="0"/>
          <w:bCs w:val="0"/>
          <w:kern w:val="2"/>
          <w:sz w:val="24"/>
          <w:szCs w:val="24"/>
          <w:lang w:val="en-US" w:eastAsia="zh-CN" w:bidi="ar-SA"/>
        </w:rPr>
      </w:pPr>
      <w:r>
        <w:rPr>
          <w:rFonts w:hint="eastAsia" w:ascii="宋体" w:hAnsi="宋体" w:eastAsia="宋体" w:cs="宋体"/>
          <w:b w:val="0"/>
          <w:bCs w:val="0"/>
          <w:kern w:val="2"/>
          <w:sz w:val="24"/>
          <w:szCs w:val="24"/>
          <w:lang w:val="en-US" w:eastAsia="zh-CN" w:bidi="ar-SA"/>
        </w:rPr>
        <w:t>针对具体应用工况，用户根据实际需求提出特殊工作条件。当超出正常与特殊工作条件时，由用户与供应商协商确定。</w:t>
      </w:r>
    </w:p>
    <w:p>
      <w:pPr>
        <w:pStyle w:val="4"/>
        <w:keepLines w:val="0"/>
        <w:pageBreakBefore w:val="0"/>
        <w:numPr>
          <w:ilvl w:val="255"/>
          <w:numId w:val="0"/>
        </w:numPr>
        <w:kinsoku/>
        <w:wordWrap/>
        <w:overflowPunct/>
        <w:topLinePunct w:val="0"/>
        <w:autoSpaceDE/>
        <w:autoSpaceDN/>
        <w:bidi w:val="0"/>
        <w:adjustRightInd/>
        <w:snapToGrid/>
        <w:spacing w:before="312" w:after="156"/>
        <w:textAlignment w:val="auto"/>
        <w:rPr>
          <w:rFonts w:hint="eastAsia" w:ascii="宋体" w:hAnsi="宋体" w:eastAsia="宋体" w:cs="Times New Roman"/>
          <w:lang w:val="en-US" w:eastAsia="zh-CN"/>
        </w:rPr>
      </w:pPr>
      <w:r>
        <w:rPr>
          <w:rFonts w:hint="eastAsia" w:ascii="宋体" w:hAnsi="宋体" w:eastAsia="宋体" w:cs="Times New Roman"/>
          <w:lang w:val="en-US" w:eastAsia="zh-CN"/>
        </w:rPr>
        <w:t>4.制作原则</w:t>
      </w:r>
      <w:bookmarkEnd w:id="17"/>
      <w:bookmarkEnd w:id="18"/>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（1）先进性原则</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遵循南方电网公司的软件优化总体规划与要求，并结合南方电网公司现状，参考国际经验，充分利用各项先进技术，采用创新型设计技术。以现场实际实用为目标，采用安全、高效、便携的技术方案，全面实现能效提升、业务提升及管理提升，确保软件的先进性和实用性。</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（2）安全性原则</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 xml:space="preserve">  系统功能应满足《电力二次系统安全防护技术规范》《南方电网二次系统安全防护业务指导书》《南方电网网络安全管理办法》《南方电网互联网应用管理办法》《南方电网智能电网电力监控系统网络安全防护技术导则》最新发布版本和南方电网反措的相关要求，并结合平台功能的业务特点加强信息安全防护，支持多种安全可靠性技术手段，制定严格的安全可靠性管理措施。通过权限管理、安全隔离、信息加密等措施，构建通信层、网络层、系统层、应用层等多层面的立体安全防护体系，确保平台安全。</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（3）可靠性原则</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系统需要7*24小时不间断、可靠运行，因此必须配备完善的可靠性措施设计，保证系统运行的高度可靠。要充分考虑关键应用的可靠性要求，在数据库、主机、应用部署、网络等关键环节配备多种高可用性方案。</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（4）规范化原则</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设计应遵循相关国际标准、国家标准、行业标准及公司标准，统一设计、统一开发和应用，遵循南方电网公司数字电网模型设计，保持平台设计、开发、实施过程中全程规范化管理，对项目质量和进度严格管控。</w:t>
      </w:r>
    </w:p>
    <w:p>
      <w:pPr>
        <w:pStyle w:val="4"/>
        <w:keepLines w:val="0"/>
        <w:pageBreakBefore w:val="0"/>
        <w:numPr>
          <w:ilvl w:val="255"/>
          <w:numId w:val="0"/>
        </w:numPr>
        <w:kinsoku/>
        <w:wordWrap/>
        <w:overflowPunct/>
        <w:topLinePunct w:val="0"/>
        <w:autoSpaceDE/>
        <w:autoSpaceDN/>
        <w:bidi w:val="0"/>
        <w:adjustRightInd/>
        <w:snapToGrid/>
        <w:spacing w:before="312" w:after="156"/>
        <w:textAlignment w:val="auto"/>
        <w:rPr>
          <w:rFonts w:hint="eastAsia" w:ascii="宋体" w:hAnsi="宋体" w:eastAsia="宋体" w:cs="Times New Roman"/>
        </w:rPr>
      </w:pPr>
      <w:bookmarkStart w:id="19" w:name="_Toc22696"/>
      <w:bookmarkStart w:id="20" w:name="_Toc32566"/>
      <w:r>
        <w:rPr>
          <w:rFonts w:hint="eastAsia" w:ascii="宋体" w:hAnsi="宋体" w:eastAsia="宋体" w:cs="Times New Roman"/>
          <w:lang w:val="en-US" w:eastAsia="zh-CN"/>
        </w:rPr>
        <w:t>5</w:t>
      </w:r>
      <w:r>
        <w:rPr>
          <w:rFonts w:hint="eastAsia" w:cs="Times New Roman"/>
          <w:lang w:val="en-US" w:eastAsia="zh-CN"/>
        </w:rPr>
        <w:t>.</w:t>
      </w:r>
      <w:r>
        <w:rPr>
          <w:rFonts w:hint="eastAsia" w:ascii="宋体" w:hAnsi="宋体" w:eastAsia="宋体" w:cs="Times New Roman"/>
        </w:rPr>
        <w:t>技术服务内容及方式</w:t>
      </w:r>
      <w:bookmarkEnd w:id="15"/>
      <w:bookmarkEnd w:id="19"/>
      <w:bookmarkEnd w:id="20"/>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bookmarkStart w:id="21" w:name="_Toc369561308"/>
      <w:bookmarkStart w:id="22" w:name="_Toc369559705"/>
      <w:r>
        <w:rPr>
          <w:rFonts w:hint="eastAsia" w:ascii="宋体" w:hAnsi="宋体" w:eastAsia="宋体" w:cs="宋体"/>
          <w:lang w:val="en-US" w:eastAsia="zh-CN"/>
        </w:rPr>
        <w:t>服务期限为合同生效之日起至2026年1</w:t>
      </w:r>
      <w:r>
        <w:rPr>
          <w:rFonts w:hint="eastAsia" w:ascii="宋体" w:hAnsi="宋体" w:cs="宋体"/>
          <w:lang w:val="en-US" w:eastAsia="zh-CN"/>
        </w:rPr>
        <w:t>2</w:t>
      </w:r>
      <w:r>
        <w:rPr>
          <w:rFonts w:hint="eastAsia" w:ascii="宋体" w:hAnsi="宋体" w:eastAsia="宋体" w:cs="宋体"/>
          <w:lang w:val="en-US" w:eastAsia="zh-CN"/>
        </w:rPr>
        <w:t>月</w:t>
      </w:r>
      <w:r>
        <w:rPr>
          <w:rFonts w:hint="eastAsia" w:ascii="宋体" w:hAnsi="宋体" w:cs="宋体"/>
          <w:lang w:val="en-US" w:eastAsia="zh-CN"/>
        </w:rPr>
        <w:t>20</w:t>
      </w:r>
      <w:r>
        <w:rPr>
          <w:rFonts w:hint="eastAsia" w:ascii="宋体" w:hAnsi="宋体" w:eastAsia="宋体" w:cs="宋体"/>
          <w:lang w:val="en-US" w:eastAsia="zh-CN"/>
        </w:rPr>
        <w:t>日。</w:t>
      </w:r>
    </w:p>
    <w:p>
      <w:pPr>
        <w:keepLines w:val="0"/>
        <w:pageBreakBefore w:val="0"/>
        <w:tabs>
          <w:tab w:val="left" w:pos="851"/>
        </w:tabs>
        <w:kinsoku/>
        <w:wordWrap/>
        <w:overflowPunct/>
        <w:topLinePunct w:val="0"/>
        <w:autoSpaceDE/>
        <w:autoSpaceDN/>
        <w:bidi w:val="0"/>
        <w:adjustRightInd/>
        <w:snapToGrid/>
        <w:ind w:firstLine="480"/>
        <w:textAlignment w:val="auto"/>
        <w:rPr>
          <w:rFonts w:hint="eastAsia" w:ascii="宋体" w:hAnsi="宋体" w:eastAsia="宋体" w:cs="宋体"/>
          <w:lang w:val="en-US" w:eastAsia="zh-CN"/>
        </w:rPr>
      </w:pPr>
      <w:r>
        <w:rPr>
          <w:rFonts w:hint="eastAsia" w:ascii="宋体" w:hAnsi="宋体" w:eastAsia="宋体" w:cs="宋体"/>
          <w:lang w:val="en-US" w:eastAsia="zh-CN"/>
        </w:rPr>
        <w:t>本创新项目需根据加工、制作、调试的实际情况前往现场开展勘查、安装及调试工作，具体项目地点需联系相关项目负责人。</w:t>
      </w:r>
    </w:p>
    <w:bookmarkEnd w:id="21"/>
    <w:bookmarkEnd w:id="22"/>
    <w:p>
      <w:pPr>
        <w:snapToGrid w:val="0"/>
        <w:spacing w:line="360" w:lineRule="auto"/>
        <w:ind w:firstLine="0" w:firstLineChars="0"/>
        <w:jc w:val="center"/>
        <w:rPr>
          <w:rFonts w:hint="eastAsia"/>
          <w:color w:val="auto"/>
          <w:szCs w:val="21"/>
          <w:highlight w:val="none"/>
        </w:rPr>
      </w:pPr>
      <w:bookmarkStart w:id="23" w:name="_Toc27075"/>
      <w:bookmarkStart w:id="24" w:name="_Toc12318"/>
    </w:p>
    <w:p>
      <w:pPr>
        <w:snapToGrid w:val="0"/>
        <w:spacing w:line="360" w:lineRule="auto"/>
        <w:ind w:firstLine="0" w:firstLineChars="0"/>
        <w:jc w:val="center"/>
        <w:rPr>
          <w:rFonts w:hint="eastAsia"/>
          <w:color w:val="auto"/>
          <w:szCs w:val="21"/>
          <w:highlight w:val="none"/>
        </w:rPr>
      </w:pPr>
    </w:p>
    <w:p>
      <w:pPr>
        <w:snapToGrid w:val="0"/>
        <w:spacing w:line="360" w:lineRule="auto"/>
        <w:ind w:firstLine="0" w:firstLineChars="0"/>
        <w:jc w:val="center"/>
        <w:rPr>
          <w:rFonts w:hint="eastAsia"/>
          <w:color w:val="auto"/>
          <w:szCs w:val="21"/>
          <w:highlight w:val="none"/>
          <w:lang w:val="en-US" w:eastAsia="zh-CN"/>
        </w:rPr>
      </w:pPr>
      <w:r>
        <w:rPr>
          <w:rFonts w:hint="eastAsia"/>
          <w:color w:val="auto"/>
          <w:szCs w:val="21"/>
          <w:highlight w:val="none"/>
        </w:rPr>
        <w:t>表</w:t>
      </w:r>
      <w:r>
        <w:rPr>
          <w:rFonts w:hint="eastAsia"/>
          <w:color w:val="auto"/>
          <w:szCs w:val="21"/>
          <w:highlight w:val="none"/>
          <w:lang w:val="en-US" w:eastAsia="zh-CN"/>
        </w:rPr>
        <w:t>5.1</w:t>
      </w:r>
      <w:r>
        <w:rPr>
          <w:rFonts w:hint="eastAsia"/>
          <w:color w:val="auto"/>
          <w:szCs w:val="21"/>
          <w:highlight w:val="none"/>
        </w:rPr>
        <w:t xml:space="preserve">  </w:t>
      </w:r>
      <w:r>
        <w:rPr>
          <w:rFonts w:hint="eastAsia"/>
          <w:color w:val="auto"/>
          <w:szCs w:val="21"/>
          <w:highlight w:val="none"/>
          <w:lang w:val="en-US" w:eastAsia="zh-CN"/>
        </w:rPr>
        <w:t>技术服务内容</w:t>
      </w:r>
    </w:p>
    <w:tbl>
      <w:tblPr>
        <w:tblStyle w:val="19"/>
        <w:tblW w:w="94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0"/>
        <w:gridCol w:w="1338"/>
        <w:gridCol w:w="4348"/>
        <w:gridCol w:w="2048"/>
        <w:gridCol w:w="1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序号</w:t>
            </w:r>
          </w:p>
        </w:tc>
        <w:tc>
          <w:tcPr>
            <w:tcW w:w="133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标的名称</w:t>
            </w:r>
          </w:p>
        </w:tc>
        <w:tc>
          <w:tcPr>
            <w:tcW w:w="4348" w:type="dxa"/>
            <w:noWrap w:val="0"/>
            <w:vAlign w:val="center"/>
          </w:tcPr>
          <w:p>
            <w:pPr>
              <w:widowControl w:val="0"/>
              <w:spacing w:line="420" w:lineRule="exact"/>
              <w:jc w:val="center"/>
              <w:textAlignment w:val="center"/>
              <w:rPr>
                <w:rFonts w:hint="eastAsia"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服务内容</w:t>
            </w:r>
          </w:p>
        </w:tc>
        <w:tc>
          <w:tcPr>
            <w:tcW w:w="2048"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交付物</w:t>
            </w:r>
          </w:p>
        </w:tc>
        <w:tc>
          <w:tcPr>
            <w:tcW w:w="1309" w:type="dxa"/>
            <w:noWrap w:val="0"/>
            <w:vAlign w:val="center"/>
          </w:tcPr>
          <w:p>
            <w:pPr>
              <w:widowControl w:val="0"/>
              <w:spacing w:line="420" w:lineRule="exact"/>
              <w:jc w:val="center"/>
              <w:textAlignment w:val="center"/>
              <w:rPr>
                <w:rFonts w:hint="default" w:ascii="Calibri" w:hAnsi="Calibri" w:eastAsia="宋体" w:cs="Times New Roman"/>
                <w:kern w:val="2"/>
                <w:sz w:val="21"/>
                <w:szCs w:val="20"/>
                <w:highlight w:val="none"/>
                <w:vertAlign w:val="baseline"/>
                <w:lang w:val="en-US" w:eastAsia="zh-CN" w:bidi="ar-SA"/>
              </w:rPr>
            </w:pPr>
            <w:r>
              <w:rPr>
                <w:rFonts w:hint="eastAsia" w:ascii="Calibri" w:hAnsi="Calibri" w:eastAsia="宋体" w:cs="Times New Roman"/>
                <w:kern w:val="2"/>
                <w:sz w:val="21"/>
                <w:szCs w:val="20"/>
                <w:highlight w:val="none"/>
                <w:vertAlign w:val="baseline"/>
                <w:lang w:val="en-US" w:eastAsia="zh-CN" w:bidi="ar-SA"/>
              </w:rPr>
              <w:t>服务地点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0"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bookmarkStart w:id="25" w:name="_Toc14394"/>
            <w:bookmarkStart w:id="26" w:name="_Toc2581"/>
            <w:bookmarkStart w:id="27" w:name="_Toc369559710"/>
            <w:bookmarkStart w:id="28" w:name="_Toc12691"/>
            <w:bookmarkStart w:id="29" w:name="_Toc369561313"/>
            <w:bookmarkStart w:id="30" w:name="_Toc7886"/>
            <w:r>
              <w:rPr>
                <w:rFonts w:hint="eastAsia" w:ascii="宋体" w:hAnsi="宋体" w:cs="宋体"/>
                <w:i w:val="0"/>
                <w:iCs w:val="0"/>
                <w:color w:val="000000"/>
                <w:kern w:val="0"/>
                <w:sz w:val="20"/>
                <w:szCs w:val="20"/>
                <w:highlight w:val="none"/>
                <w:u w:val="none"/>
                <w:lang w:val="en-US" w:eastAsia="zh-CN" w:bidi="ar"/>
              </w:rPr>
              <w:t>1</w:t>
            </w:r>
          </w:p>
        </w:tc>
        <w:tc>
          <w:tcPr>
            <w:tcW w:w="133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一种塔杆拉线检测装置研制</w:t>
            </w:r>
          </w:p>
        </w:tc>
        <w:tc>
          <w:tcPr>
            <w:tcW w:w="4348" w:type="dxa"/>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根据招标方设计方案，协助完成：</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1、一种塔杆拉线检测装置1套的设计与制作，能够全天候监控拉线张力、杆塔倾斜及震动情况，实现远程实时监控，解决人工巡检周期长、盲区多的问题，大幅提高运维工作的覆盖面和及时性，有效填补人工巡检的盲区。</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2、投标方根据招标方制定的项目研发方案要求开展研制工作，并有义务向采购方（招标方）明确整个研制过程可能存在的风险因素和防控措施；若现场条件不满足研制要求，投标方应积极配合调整研发方案，编制新的解决方案并提供相应资源支持。</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、投标方所安排技术人员应严格遵守招标方现场安全管理规定，清楚并严格遵守补充安全管理协议各项要求及罚则。</w:t>
            </w:r>
          </w:p>
        </w:tc>
        <w:tc>
          <w:tcPr>
            <w:tcW w:w="2048" w:type="dxa"/>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配合</w:t>
            </w:r>
            <w:r>
              <w:rPr>
                <w:rFonts w:hint="eastAsia" w:ascii="宋体" w:hAnsi="宋体" w:eastAsia="宋体" w:cs="宋体"/>
                <w:i w:val="0"/>
                <w:iCs w:val="0"/>
                <w:color w:val="000000"/>
                <w:kern w:val="0"/>
                <w:sz w:val="20"/>
                <w:szCs w:val="20"/>
                <w:highlight w:val="none"/>
                <w:u w:val="none"/>
                <w:lang w:val="en-US" w:eastAsia="zh-CN" w:bidi="ar"/>
              </w:rPr>
              <w:t>设计生产</w:t>
            </w:r>
            <w:r>
              <w:rPr>
                <w:rFonts w:hint="default" w:ascii="宋体" w:hAnsi="宋体" w:eastAsia="宋体" w:cs="宋体"/>
                <w:i w:val="0"/>
                <w:iCs w:val="0"/>
                <w:color w:val="000000"/>
                <w:kern w:val="0"/>
                <w:sz w:val="20"/>
                <w:szCs w:val="20"/>
                <w:highlight w:val="none"/>
                <w:u w:val="none"/>
                <w:lang w:val="en-US" w:eastAsia="zh-CN" w:bidi="ar"/>
              </w:rPr>
              <w:t>一种塔杆拉线检测装置1套</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2、</w:t>
            </w:r>
            <w:r>
              <w:rPr>
                <w:rFonts w:hint="eastAsia" w:ascii="宋体" w:hAnsi="宋体" w:eastAsia="宋体" w:cs="宋体"/>
                <w:i w:val="0"/>
                <w:iCs w:val="0"/>
                <w:color w:val="000000"/>
                <w:kern w:val="0"/>
                <w:sz w:val="20"/>
                <w:szCs w:val="20"/>
                <w:highlight w:val="none"/>
                <w:u w:val="none"/>
                <w:lang w:val="en-US" w:eastAsia="zh-CN" w:bidi="ar"/>
              </w:rPr>
              <w:t>配合撰写</w:t>
            </w:r>
            <w:r>
              <w:rPr>
                <w:rFonts w:hint="default" w:ascii="宋体" w:hAnsi="宋体" w:eastAsia="宋体" w:cs="宋体"/>
                <w:i w:val="0"/>
                <w:iCs w:val="0"/>
                <w:color w:val="000000"/>
                <w:kern w:val="0"/>
                <w:sz w:val="20"/>
                <w:szCs w:val="20"/>
                <w:highlight w:val="none"/>
                <w:u w:val="none"/>
                <w:lang w:val="en-US" w:eastAsia="zh-CN" w:bidi="ar"/>
              </w:rPr>
              <w:t>项目研究报告1份</w:t>
            </w:r>
            <w:r>
              <w:rPr>
                <w:rFonts w:hint="eastAsia"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配合撰写发明专利文本</w:t>
            </w:r>
            <w:r>
              <w:rPr>
                <w:rFonts w:hint="default" w:ascii="宋体" w:hAnsi="宋体" w:eastAsia="宋体" w:cs="宋体"/>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项</w:t>
            </w:r>
            <w:r>
              <w:rPr>
                <w:rFonts w:hint="default"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4、完成第三方检测（检测机构应具备CMA或CNAS认证资质）；</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5.在超特高压新型电气装备科技成果转化中试基地完成中试</w:t>
            </w:r>
          </w:p>
        </w:tc>
        <w:tc>
          <w:tcPr>
            <w:tcW w:w="1309" w:type="dxa"/>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招标方指定地点</w:t>
            </w:r>
          </w:p>
        </w:tc>
      </w:tr>
      <w:bookmarkEnd w:id="23"/>
      <w:bookmarkEnd w:id="24"/>
    </w:tbl>
    <w:p>
      <w:pPr>
        <w:pStyle w:val="4"/>
        <w:numPr>
          <w:ilvl w:val="255"/>
          <w:numId w:val="0"/>
        </w:numPr>
        <w:spacing w:before="312" w:after="156"/>
        <w:rPr>
          <w:rFonts w:hint="eastAsia" w:ascii="宋体" w:hAnsi="宋体" w:eastAsia="宋体" w:cs="Times New Roman"/>
        </w:rPr>
      </w:pPr>
      <w:bookmarkStart w:id="31" w:name="_Toc23208"/>
      <w:r>
        <w:rPr>
          <w:rFonts w:hint="eastAsia" w:ascii="宋体" w:hAnsi="宋体" w:eastAsia="宋体" w:cs="Times New Roman"/>
          <w:lang w:val="en-US" w:eastAsia="zh-CN"/>
        </w:rPr>
        <w:t>6.</w:t>
      </w:r>
      <w:r>
        <w:rPr>
          <w:rFonts w:hint="eastAsia" w:ascii="宋体" w:hAnsi="宋体" w:eastAsia="宋体" w:cs="Times New Roman"/>
        </w:rPr>
        <w:t>对投标方的要求</w:t>
      </w:r>
      <w:bookmarkEnd w:id="25"/>
      <w:bookmarkEnd w:id="26"/>
      <w:bookmarkEnd w:id="27"/>
      <w:bookmarkEnd w:id="28"/>
      <w:bookmarkEnd w:id="29"/>
      <w:bookmarkEnd w:id="30"/>
      <w:bookmarkEnd w:id="31"/>
    </w:p>
    <w:p>
      <w:pPr>
        <w:tabs>
          <w:tab w:val="left" w:pos="851"/>
        </w:tabs>
        <w:ind w:firstLine="480"/>
        <w:rPr>
          <w:rFonts w:hint="eastAsia" w:ascii="宋体" w:hAnsi="宋体" w:eastAsia="宋体" w:cs="宋体"/>
          <w:lang w:val="en-US" w:eastAsia="zh-CN"/>
        </w:rPr>
      </w:pPr>
      <w:bookmarkStart w:id="32" w:name="_Toc16150"/>
      <w:bookmarkStart w:id="33" w:name="_Toc369561314"/>
      <w:bookmarkStart w:id="34" w:name="_Toc28495"/>
      <w:bookmarkStart w:id="35" w:name="_Toc31887"/>
      <w:bookmarkStart w:id="36" w:name="_Toc369559711"/>
      <w:r>
        <w:rPr>
          <w:rFonts w:hint="eastAsia" w:ascii="宋体" w:hAnsi="宋体" w:eastAsia="宋体" w:cs="宋体"/>
          <w:lang w:val="en-US" w:eastAsia="zh-CN"/>
        </w:rPr>
        <w:t>（1）投标方按照本技术规范书技术服务范围及技术指标要求等相关技术标准制定严谨、全面、可实现的技术实施方案，并严格按照实施方案进行实施。在项目服务周期内中标方有义务在实施过程中对项目涉及的技术问题进行答疑。在项目全周期中禁止投标方再次分包本项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（2）为保证投标方有效进行项目制作工作，招标方提供与项目有关的技术资料，并协助投标方协调项目实施过程中所需解决的事项。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（3）在项目实施期间，招标方可派出技术人员并参加项目的管理及实施，投标方有责任对其进行技术指导和答疑，同时投标方也应协助提供招标方编写论文或申请专利所需的项目数据。</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在项目进行期内，双方均指定项目联系人。项目联系人承担以下责任：a、沟通项目所需的资料收集；b、沟通项目进度信息；c、协商解决项目执行过程中遇到的问题。一方变更项目联系人的，应当及时以书面形式通知另一方。未及时通知并影响项目进行或造成损失的，应承担相应的责任。</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（5）投标方必须向招标方保证工程人员组织的稳定性，保证工程按招标方的要求如期进行；在本工程结束前，参加本工程的人员变动必须取得招标方同意；</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（6）投标方负责对招标方专业人员的技术培训 （包括硬件、软件的维护及运行培训），并提供必要的工作场地；</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（7）投标方协助招标方产品开发、负责产品制作、加工、测试、实施及现场调试，参加现场验收和整体考核验收；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（8）投标方负责提供制作范围内所有设备的文件资料和运行维护手册；</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（9）保证期以后应招标方要求，投标方应协助招标方对所供系统进行扩容升级、增加功能等工作，并优惠提供最新开发的应用软件。</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10）投标方应按照本规范书要求完成项目，项目制作的工具、方法、进度和全过程应在招标方可控的范围之内，并向招标方交付项目相关技术资料，不限于项目实施过程中产生的试验数据、电路布图、仿真模型、算法、程序、装置及零部件图纸等。未经招标方书面同意，投标方不得在其他项目中使用上述技术资料，或向任何第三方披露、使用上述技术资料。</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11）项目实施过程中形成的知识产权归招标方所有，投标方经招标方书面同意后方可使用制作成果，但无转让权。招标方可以不定期（不限于项目期间）采取以下措施：对技术成果知识产权进行申请和保护，包括就任何技术成果申请专利、维持专利或专利有效性和对任何涉嫌或实际侵犯技术成果知识产权的行为采取一切合理必要措施。投标方参与到技术成果创造的学术应当为招标法采取上述措施提供合理的帮助。</w:t>
      </w:r>
    </w:p>
    <w:p>
      <w:pPr>
        <w:pStyle w:val="4"/>
        <w:numPr>
          <w:ilvl w:val="255"/>
          <w:numId w:val="0"/>
        </w:numPr>
        <w:spacing w:before="312" w:after="156"/>
        <w:rPr>
          <w:rFonts w:hint="eastAsia" w:ascii="宋体" w:hAnsi="宋体" w:eastAsia="宋体" w:cs="Times New Roman"/>
        </w:rPr>
      </w:pPr>
      <w:bookmarkStart w:id="37" w:name="_Toc30826"/>
      <w:bookmarkStart w:id="38" w:name="_Toc2553"/>
      <w:r>
        <w:rPr>
          <w:rFonts w:hint="eastAsia" w:ascii="宋体" w:hAnsi="宋体" w:eastAsia="宋体" w:cs="Times New Roman"/>
          <w:lang w:val="en-US" w:eastAsia="zh-CN"/>
        </w:rPr>
        <w:t>7</w:t>
      </w:r>
      <w:bookmarkEnd w:id="32"/>
      <w:bookmarkEnd w:id="33"/>
      <w:bookmarkEnd w:id="34"/>
      <w:bookmarkEnd w:id="35"/>
      <w:bookmarkEnd w:id="36"/>
      <w:r>
        <w:rPr>
          <w:rFonts w:hint="eastAsia" w:ascii="宋体" w:hAnsi="宋体" w:eastAsia="宋体" w:cs="Times New Roman"/>
          <w:lang w:val="en-US" w:eastAsia="zh-CN"/>
        </w:rPr>
        <w:t>.</w:t>
      </w:r>
      <w:r>
        <w:rPr>
          <w:rFonts w:hint="eastAsia" w:ascii="宋体" w:hAnsi="宋体" w:eastAsia="宋体" w:cs="Times New Roman"/>
        </w:rPr>
        <w:t>售后服务及其它服务要求</w:t>
      </w:r>
      <w:bookmarkEnd w:id="37"/>
      <w:bookmarkEnd w:id="38"/>
    </w:p>
    <w:p>
      <w:pPr>
        <w:tabs>
          <w:tab w:val="left" w:pos="851"/>
        </w:tabs>
        <w:ind w:firstLine="480"/>
        <w:rPr>
          <w:rFonts w:hint="eastAsia" w:ascii="宋体" w:hAnsi="宋体" w:eastAsia="宋体" w:cs="宋体"/>
          <w:lang w:val="en-US" w:eastAsia="zh-CN"/>
        </w:rPr>
      </w:pPr>
      <w:bookmarkStart w:id="39" w:name="_Toc20198"/>
      <w:bookmarkStart w:id="40" w:name="_Toc10389"/>
      <w:bookmarkStart w:id="41" w:name="_Toc28511"/>
      <w:bookmarkStart w:id="42" w:name="_Toc29252"/>
      <w:bookmarkStart w:id="43" w:name="_Toc10829"/>
      <w:bookmarkStart w:id="44" w:name="_Toc11564"/>
      <w:bookmarkStart w:id="45" w:name="_Toc13136"/>
      <w:bookmarkStart w:id="46" w:name="_Toc20620"/>
      <w:bookmarkStart w:id="47" w:name="_Toc30582"/>
      <w:bookmarkStart w:id="48" w:name="_Toc10420"/>
      <w:bookmarkStart w:id="49" w:name="_Toc28372"/>
      <w:bookmarkStart w:id="50" w:name="_Toc26277"/>
      <w:bookmarkStart w:id="51" w:name="_Toc26310"/>
      <w:bookmarkStart w:id="52" w:name="_Toc20141"/>
      <w:r>
        <w:rPr>
          <w:rFonts w:hint="eastAsia" w:ascii="宋体" w:hAnsi="宋体" w:eastAsia="宋体" w:cs="宋体"/>
          <w:lang w:val="en-US" w:eastAsia="zh-CN"/>
        </w:rPr>
        <w:t>7.1 售后服务</w:t>
      </w:r>
      <w:bookmarkEnd w:id="39"/>
      <w:bookmarkEnd w:id="40"/>
      <w:bookmarkEnd w:id="41"/>
      <w:bookmarkEnd w:id="42"/>
      <w:bookmarkEnd w:id="43"/>
      <w:bookmarkEnd w:id="44"/>
      <w:bookmarkEnd w:id="45"/>
      <w:bookmarkEnd w:id="46"/>
      <w:bookmarkEnd w:id="47"/>
      <w:bookmarkEnd w:id="48"/>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（1）项目质保期为12个月，质保期自项目完工并通过招标方验收之日起开始计算。投标方应免费提供系统软件升级、培训、设计联络、技术服务，并保障设备生命周期内所有软件系统的技术支持；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（2）提供7×24小时的技术支持服务，制定固定的技术负责人及联络电话等，技术负责人变更前应书面通知招标方。</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（3）在用户发现软件故障时，投标方必须在用户提出维护要求的4小时内作出响应，24小时内提交故障分析报告和解决方案，48小时内解决故障；</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（4）对于用户提出的软件性能提高、功能增加等改进要求，如属“技术规范书”的范畴，投标方应在2周内予以解决；如属“技术规范书”以外的功能制作，也应提供优惠服务。</w:t>
      </w:r>
    </w:p>
    <w:p>
      <w:pPr>
        <w:tabs>
          <w:tab w:val="left" w:pos="851"/>
        </w:tabs>
        <w:ind w:firstLine="480"/>
        <w:rPr>
          <w:rFonts w:hint="eastAsia" w:ascii="宋体" w:hAnsi="宋体" w:eastAsia="宋体" w:cs="宋体"/>
          <w:lang w:val="en-US" w:eastAsia="zh-CN"/>
        </w:rPr>
      </w:pPr>
      <w:bookmarkStart w:id="53" w:name="_Toc12828"/>
      <w:bookmarkStart w:id="54" w:name="_Toc3047"/>
      <w:bookmarkStart w:id="55" w:name="_Toc10191"/>
      <w:bookmarkStart w:id="56" w:name="_Toc29014"/>
      <w:bookmarkStart w:id="57" w:name="_Toc12127"/>
      <w:bookmarkStart w:id="58" w:name="_Toc24565"/>
      <w:bookmarkStart w:id="59" w:name="_Toc9332"/>
      <w:bookmarkStart w:id="60" w:name="_Toc17466"/>
      <w:bookmarkStart w:id="61" w:name="_Toc12748"/>
      <w:bookmarkStart w:id="62" w:name="_Toc11532"/>
      <w:bookmarkStart w:id="63" w:name="_Toc22421"/>
      <w:bookmarkStart w:id="64" w:name="_Toc6703"/>
      <w:r>
        <w:rPr>
          <w:rFonts w:hint="eastAsia" w:ascii="宋体" w:hAnsi="宋体" w:eastAsia="宋体" w:cs="宋体"/>
          <w:lang w:val="en-US" w:eastAsia="zh-CN"/>
        </w:rPr>
        <w:t>7.2 其它服务要求</w:t>
      </w:r>
      <w:bookmarkEnd w:id="53"/>
      <w:bookmarkEnd w:id="54"/>
      <w:bookmarkEnd w:id="55"/>
      <w:bookmarkEnd w:id="56"/>
      <w:bookmarkEnd w:id="57"/>
      <w:bookmarkEnd w:id="58"/>
      <w:bookmarkEnd w:id="59"/>
      <w:bookmarkEnd w:id="60"/>
      <w:bookmarkEnd w:id="61"/>
      <w:bookmarkEnd w:id="62"/>
      <w:bookmarkEnd w:id="63"/>
      <w:bookmarkEnd w:id="64"/>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（1）应对技术支持人员进行网络安全身份认证及背景审查，并进行安全教育、培训；</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（2） 投标方人员现场按规定流程工作，严禁使用非专用终端（笔记本电脑）、移动介质（U盘），防范病毒感染等风险；系统应满足信息网络安全要求，以及南方电网公司网络安全合规库要求，系统涉及的操作系统、数据库等均应为自主可控的产品；</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（3）投标方应做好有关信息的保密工作，严禁将带有南方电网公司标志及相关信息的制作、测试环境接入互联网等外部环境，严禁将系统运行的业务数据拷贝或发送到外部使用。</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4）投标人提供的操作系统、数据库、中间件等应选用安全可靠的产品。操作系统须通过中国信息安全测评中心、国家保密科技测评中心的安全可靠测评（如麒麟、统信等操作系统）。使用的集中式数据库必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5）若涉及计算机（服务器、工作站、便携式电脑等）、网络设备（交换机、路由器）、网络安全设备（防火墙、加密、态势感知装置等）及计算机外接设备（打印机、扫描仪、多功能一体机）应选用安全可靠产品，其产品的中央处理器（CPU）须通过中国信息安全测评中心、国家保密科技测评中心的安全可靠测评。</w:t>
      </w:r>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6）投标人提供的其他网信软、硬件产品应满足国产化要求，具有完整国产自主知识产权（提供专利证书或软件著作权证书），不得使用未通过国家网络安全审查的设备元件、组件。禁止选用经国家相关部门检测认定并经国家能源局通报存在漏洞和风险的系统及设备。除安全接入区外，禁止选用具有无线通信功能的设备。</w:t>
      </w:r>
      <w:bookmarkEnd w:id="49"/>
      <w:bookmarkEnd w:id="50"/>
      <w:bookmarkEnd w:id="51"/>
      <w:bookmarkEnd w:id="52"/>
      <w:bookmarkStart w:id="65" w:name="_Toc16657"/>
      <w:bookmarkStart w:id="66" w:name="_Toc1182"/>
    </w:p>
    <w:p>
      <w:pPr>
        <w:pStyle w:val="4"/>
        <w:numPr>
          <w:ilvl w:val="255"/>
          <w:numId w:val="0"/>
        </w:numPr>
        <w:spacing w:before="312" w:after="156"/>
        <w:rPr>
          <w:rFonts w:hint="eastAsia" w:ascii="宋体" w:hAnsi="宋体" w:eastAsia="宋体" w:cs="Times New Roman"/>
        </w:rPr>
      </w:pPr>
      <w:r>
        <w:rPr>
          <w:rFonts w:hint="eastAsia" w:ascii="宋体" w:hAnsi="宋体" w:eastAsia="宋体" w:cs="Times New Roman"/>
          <w:lang w:val="en-US" w:eastAsia="zh-CN"/>
        </w:rPr>
        <w:t>8.</w:t>
      </w:r>
      <w:r>
        <w:rPr>
          <w:rFonts w:hint="eastAsia" w:ascii="宋体" w:hAnsi="宋体" w:eastAsia="宋体" w:cs="Times New Roman"/>
        </w:rPr>
        <w:t>对投标技术文件的要求</w:t>
      </w:r>
      <w:bookmarkEnd w:id="65"/>
      <w:bookmarkEnd w:id="66"/>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投标技术文件必须包括但不限于以下内容：投标技术文件响应，技术差异表。</w:t>
      </w:r>
    </w:p>
    <w:p>
      <w:pPr>
        <w:tabs>
          <w:tab w:val="left" w:pos="851"/>
        </w:tabs>
        <w:ind w:firstLine="480"/>
        <w:rPr>
          <w:rFonts w:hint="eastAsia" w:ascii="宋体" w:hAnsi="宋体" w:eastAsia="宋体" w:cs="宋体"/>
          <w:lang w:val="en-US" w:eastAsia="zh-CN"/>
        </w:rPr>
      </w:pPr>
      <w:bookmarkStart w:id="67" w:name="_Toc11575"/>
      <w:r>
        <w:rPr>
          <w:rFonts w:hint="eastAsia" w:ascii="宋体" w:hAnsi="宋体" w:eastAsia="宋体" w:cs="宋体"/>
          <w:lang w:val="en-US" w:eastAsia="zh-CN"/>
        </w:rPr>
        <w:t>8.1投标文件的响应</w:t>
      </w:r>
      <w:bookmarkEnd w:id="67"/>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人的投标技术文件响应中，要求对本招标文件所提出各项要求进行逐条逐项答复、说明和解释。首先对实现或满足程度明确作出“满足”、“部分满足”、“不满足”等应答，不得使用“明白”、“理解”等词语。凡采用“详见”、“参见”等方式说明的，应指明参见文档的章节及页码。凡采用“部分满足”应答的，应详细说明哪部分满足或不满足。</w:t>
      </w:r>
    </w:p>
    <w:p>
      <w:pPr>
        <w:snapToGrid w:val="0"/>
        <w:spacing w:line="360" w:lineRule="auto"/>
        <w:ind w:firstLine="0" w:firstLineChars="0"/>
        <w:jc w:val="center"/>
        <w:rPr>
          <w:color w:val="auto"/>
          <w:szCs w:val="21"/>
          <w:highlight w:val="none"/>
        </w:rPr>
      </w:pPr>
      <w:bookmarkStart w:id="68" w:name="_Toc283142574"/>
      <w:r>
        <w:rPr>
          <w:rFonts w:hint="eastAsia"/>
          <w:color w:val="auto"/>
          <w:szCs w:val="21"/>
          <w:highlight w:val="none"/>
        </w:rPr>
        <w:t>表</w:t>
      </w:r>
      <w:r>
        <w:rPr>
          <w:rFonts w:hint="eastAsia"/>
          <w:color w:val="auto"/>
          <w:szCs w:val="21"/>
          <w:highlight w:val="none"/>
          <w:lang w:val="en-US" w:eastAsia="zh-CN"/>
        </w:rPr>
        <w:t>8.1</w:t>
      </w:r>
      <w:r>
        <w:rPr>
          <w:color w:val="auto"/>
          <w:szCs w:val="21"/>
          <w:highlight w:val="none"/>
        </w:rPr>
        <w:t xml:space="preserve">  </w:t>
      </w:r>
      <w:bookmarkEnd w:id="68"/>
      <w:r>
        <w:rPr>
          <w:rFonts w:hint="eastAsia"/>
          <w:color w:val="auto"/>
          <w:szCs w:val="21"/>
          <w:highlight w:val="none"/>
        </w:rPr>
        <w:t>技术参数和性能要求响应表</w:t>
      </w:r>
    </w:p>
    <w:tbl>
      <w:tblPr>
        <w:tblStyle w:val="19"/>
        <w:tblW w:w="499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2"/>
        <w:gridCol w:w="2141"/>
        <w:gridCol w:w="3649"/>
        <w:gridCol w:w="19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471"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序号</w:t>
            </w:r>
          </w:p>
        </w:tc>
        <w:tc>
          <w:tcPr>
            <w:tcW w:w="1258" w:type="pct"/>
            <w:noWrap w:val="0"/>
            <w:vAlign w:val="center"/>
          </w:tcPr>
          <w:p>
            <w:pPr>
              <w:adjustRightInd w:val="0"/>
              <w:snapToGrid w:val="0"/>
              <w:spacing w:line="348" w:lineRule="auto"/>
              <w:ind w:firstLine="0" w:firstLineChars="0"/>
              <w:jc w:val="center"/>
              <w:rPr>
                <w:rFonts w:hint="eastAsia" w:ascii="宋体" w:hAnsi="宋体" w:eastAsia="宋体" w:cs="宋体"/>
                <w:sz w:val="24"/>
                <w:szCs w:val="24"/>
                <w:highlight w:val="none"/>
                <w:vertAlign w:val="baseline"/>
                <w:lang w:val="en-US" w:eastAsia="zh-CN"/>
              </w:rPr>
            </w:pPr>
            <w:r>
              <w:rPr>
                <w:rFonts w:hint="eastAsia" w:ascii="宋体" w:hAnsi="宋体" w:eastAsia="宋体" w:cs="宋体"/>
                <w:sz w:val="24"/>
                <w:szCs w:val="24"/>
                <w:highlight w:val="none"/>
                <w:vertAlign w:val="baseline"/>
                <w:lang w:val="en-US" w:eastAsia="zh-CN"/>
              </w:rPr>
              <w:t>标的名称</w:t>
            </w:r>
          </w:p>
        </w:tc>
        <w:tc>
          <w:tcPr>
            <w:tcW w:w="2144"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项目要求值</w:t>
            </w:r>
          </w:p>
        </w:tc>
        <w:tc>
          <w:tcPr>
            <w:tcW w:w="1125" w:type="pct"/>
            <w:noWrap w:val="0"/>
            <w:vAlign w:val="center"/>
          </w:tcPr>
          <w:p>
            <w:pPr>
              <w:widowControl w:val="0"/>
              <w:ind w:firstLine="0" w:firstLineChars="0"/>
              <w:jc w:val="center"/>
              <w:rPr>
                <w:rFonts w:hint="eastAsia" w:ascii="宋体" w:hAnsi="宋体" w:eastAsia="宋体" w:cs="宋体"/>
                <w:kern w:val="2"/>
                <w:sz w:val="24"/>
                <w:szCs w:val="24"/>
                <w:highlight w:val="none"/>
                <w:vertAlign w:val="baseline"/>
                <w:lang w:val="en-US" w:eastAsia="zh-CN" w:bidi="ar-SA"/>
              </w:rPr>
            </w:pPr>
            <w:r>
              <w:rPr>
                <w:rFonts w:hint="eastAsia" w:ascii="宋体" w:hAnsi="宋体" w:eastAsia="宋体" w:cs="宋体"/>
                <w:kern w:val="2"/>
                <w:sz w:val="24"/>
                <w:szCs w:val="24"/>
                <w:highlight w:val="none"/>
                <w:lang w:val="en-US" w:eastAsia="zh-CN" w:bidi="ar-SA"/>
              </w:rPr>
              <w:t>投标方保证值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71" w:type="pct"/>
            <w:noWrap w:val="0"/>
            <w:vAlign w:val="center"/>
          </w:tcPr>
          <w:p>
            <w:pPr>
              <w:keepNext w:val="0"/>
              <w:keepLines w:val="0"/>
              <w:widowControl/>
              <w:suppressLineNumbers w:val="0"/>
              <w:spacing w:line="240" w:lineRule="auto"/>
              <w:ind w:firstLine="0" w:firstLineChars="0"/>
              <w:jc w:val="center"/>
              <w:textAlignment w:val="center"/>
              <w:rPr>
                <w:rFonts w:hint="default" w:ascii="宋体" w:hAnsi="宋体" w:eastAsia="宋体" w:cs="宋体"/>
                <w:i w:val="0"/>
                <w:iCs w:val="0"/>
                <w:color w:val="000000"/>
                <w:kern w:val="0"/>
                <w:sz w:val="20"/>
                <w:szCs w:val="20"/>
                <w:highlight w:val="none"/>
                <w:u w:val="none"/>
                <w:lang w:val="en-US" w:eastAsia="zh-CN" w:bidi="ar"/>
              </w:rPr>
            </w:pPr>
            <w:r>
              <w:rPr>
                <w:rFonts w:hint="eastAsia" w:ascii="宋体" w:hAnsi="宋体" w:cs="宋体"/>
                <w:i w:val="0"/>
                <w:iCs w:val="0"/>
                <w:color w:val="000000"/>
                <w:kern w:val="0"/>
                <w:sz w:val="20"/>
                <w:szCs w:val="20"/>
                <w:highlight w:val="none"/>
                <w:u w:val="none"/>
                <w:lang w:val="en-US" w:eastAsia="zh-CN" w:bidi="ar"/>
              </w:rPr>
              <w:t>1</w:t>
            </w:r>
          </w:p>
        </w:tc>
        <w:tc>
          <w:tcPr>
            <w:tcW w:w="1258"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一种塔杆拉线检测装置研制</w:t>
            </w:r>
          </w:p>
        </w:tc>
        <w:tc>
          <w:tcPr>
            <w:tcW w:w="2144" w:type="pct"/>
            <w:noWrap w:val="0"/>
            <w:vAlign w:val="center"/>
          </w:tcPr>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1、</w:t>
            </w:r>
            <w:r>
              <w:rPr>
                <w:rFonts w:hint="eastAsia" w:ascii="宋体" w:hAnsi="宋体" w:cs="宋体"/>
                <w:i w:val="0"/>
                <w:iCs w:val="0"/>
                <w:color w:val="000000"/>
                <w:kern w:val="0"/>
                <w:sz w:val="20"/>
                <w:szCs w:val="20"/>
                <w:highlight w:val="none"/>
                <w:u w:val="none"/>
                <w:lang w:val="en-US" w:eastAsia="zh-CN" w:bidi="ar"/>
              </w:rPr>
              <w:t>配合设计生产</w:t>
            </w:r>
            <w:r>
              <w:rPr>
                <w:rFonts w:hint="default" w:ascii="宋体" w:hAnsi="宋体" w:eastAsia="宋体" w:cs="宋体"/>
                <w:i w:val="0"/>
                <w:iCs w:val="0"/>
                <w:color w:val="000000"/>
                <w:kern w:val="0"/>
                <w:sz w:val="20"/>
                <w:szCs w:val="20"/>
                <w:highlight w:val="none"/>
                <w:u w:val="none"/>
                <w:lang w:val="en-US" w:eastAsia="zh-CN" w:bidi="ar"/>
              </w:rPr>
              <w:t>一种塔杆拉线检测装置1套</w:t>
            </w:r>
            <w:r>
              <w:rPr>
                <w:rFonts w:hint="eastAsia" w:ascii="宋体" w:hAnsi="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2、</w:t>
            </w:r>
            <w:r>
              <w:rPr>
                <w:rFonts w:hint="eastAsia" w:ascii="宋体" w:hAnsi="宋体" w:cs="宋体"/>
                <w:i w:val="0"/>
                <w:iCs w:val="0"/>
                <w:color w:val="000000"/>
                <w:kern w:val="0"/>
                <w:sz w:val="20"/>
                <w:szCs w:val="20"/>
                <w:highlight w:val="none"/>
                <w:u w:val="none"/>
                <w:lang w:val="en-US" w:eastAsia="zh-CN" w:bidi="ar"/>
              </w:rPr>
              <w:t>配合撰写</w:t>
            </w:r>
            <w:r>
              <w:rPr>
                <w:rFonts w:hint="default" w:ascii="宋体" w:hAnsi="宋体" w:eastAsia="宋体" w:cs="宋体"/>
                <w:i w:val="0"/>
                <w:iCs w:val="0"/>
                <w:color w:val="000000"/>
                <w:kern w:val="0"/>
                <w:sz w:val="20"/>
                <w:szCs w:val="20"/>
                <w:highlight w:val="none"/>
                <w:u w:val="none"/>
                <w:lang w:val="en-US" w:eastAsia="zh-CN" w:bidi="ar"/>
              </w:rPr>
              <w:t>项目研究报告1份</w:t>
            </w:r>
            <w:r>
              <w:rPr>
                <w:rFonts w:hint="eastAsia" w:ascii="宋体" w:hAnsi="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default" w:ascii="宋体" w:hAnsi="宋体" w:eastAsia="宋体" w:cs="宋体"/>
                <w:i w:val="0"/>
                <w:iCs w:val="0"/>
                <w:color w:val="000000"/>
                <w:kern w:val="0"/>
                <w:sz w:val="20"/>
                <w:szCs w:val="20"/>
                <w:highlight w:val="none"/>
                <w:u w:val="none"/>
                <w:lang w:val="en-US" w:eastAsia="zh-CN" w:bidi="ar"/>
              </w:rPr>
            </w:pPr>
            <w:r>
              <w:rPr>
                <w:rFonts w:hint="default" w:ascii="宋体" w:hAnsi="宋体" w:eastAsia="宋体" w:cs="宋体"/>
                <w:i w:val="0"/>
                <w:iCs w:val="0"/>
                <w:color w:val="000000"/>
                <w:kern w:val="0"/>
                <w:sz w:val="20"/>
                <w:szCs w:val="20"/>
                <w:highlight w:val="none"/>
                <w:u w:val="none"/>
                <w:lang w:val="en-US" w:eastAsia="zh-CN" w:bidi="ar"/>
              </w:rPr>
              <w:t>3、</w:t>
            </w:r>
            <w:r>
              <w:rPr>
                <w:rFonts w:hint="eastAsia" w:ascii="宋体" w:hAnsi="宋体" w:eastAsia="宋体" w:cs="宋体"/>
                <w:i w:val="0"/>
                <w:iCs w:val="0"/>
                <w:color w:val="000000"/>
                <w:kern w:val="0"/>
                <w:sz w:val="20"/>
                <w:szCs w:val="20"/>
                <w:highlight w:val="none"/>
                <w:u w:val="none"/>
                <w:lang w:val="en-US" w:eastAsia="zh-CN" w:bidi="ar"/>
              </w:rPr>
              <w:t>配合撰写发明专利文本</w:t>
            </w:r>
            <w:r>
              <w:rPr>
                <w:rFonts w:hint="default" w:ascii="宋体" w:hAnsi="宋体" w:eastAsia="宋体" w:cs="宋体"/>
                <w:i w:val="0"/>
                <w:iCs w:val="0"/>
                <w:color w:val="000000"/>
                <w:kern w:val="0"/>
                <w:sz w:val="20"/>
                <w:szCs w:val="20"/>
                <w:highlight w:val="none"/>
                <w:u w:val="none"/>
                <w:lang w:val="en-US" w:eastAsia="zh-CN" w:bidi="ar"/>
              </w:rPr>
              <w:t>1</w:t>
            </w:r>
            <w:r>
              <w:rPr>
                <w:rFonts w:hint="eastAsia" w:ascii="宋体" w:hAnsi="宋体" w:eastAsia="宋体" w:cs="宋体"/>
                <w:i w:val="0"/>
                <w:iCs w:val="0"/>
                <w:color w:val="000000"/>
                <w:kern w:val="0"/>
                <w:sz w:val="20"/>
                <w:szCs w:val="20"/>
                <w:highlight w:val="none"/>
                <w:u w:val="none"/>
                <w:lang w:val="en-US" w:eastAsia="zh-CN" w:bidi="ar"/>
              </w:rPr>
              <w:t>项</w:t>
            </w:r>
            <w:r>
              <w:rPr>
                <w:rFonts w:hint="default" w:ascii="宋体" w:hAnsi="宋体" w:eastAsia="宋体" w:cs="宋体"/>
                <w:i w:val="0"/>
                <w:iCs w:val="0"/>
                <w:color w:val="000000"/>
                <w:kern w:val="0"/>
                <w:sz w:val="20"/>
                <w:szCs w:val="20"/>
                <w:highlight w:val="none"/>
                <w:u w:val="none"/>
                <w:lang w:val="en-US" w:eastAsia="zh-CN" w:bidi="ar"/>
              </w:rPr>
              <w:t>。</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4、完成第三方检测（检测机构应具备CMA或CNAS认证资质）；</w:t>
            </w:r>
          </w:p>
          <w:p>
            <w:pPr>
              <w:keepNext w:val="0"/>
              <w:keepLines w:val="0"/>
              <w:widowControl/>
              <w:suppressLineNumbers w:val="0"/>
              <w:spacing w:line="240" w:lineRule="auto"/>
              <w:ind w:firstLine="0" w:firstLineChars="0"/>
              <w:jc w:val="both"/>
              <w:textAlignment w:val="center"/>
              <w:rPr>
                <w:rFonts w:hint="eastAsia" w:ascii="宋体" w:hAnsi="宋体" w:eastAsia="宋体" w:cs="宋体"/>
                <w:i w:val="0"/>
                <w:iCs w:val="0"/>
                <w:color w:val="000000"/>
                <w:kern w:val="0"/>
                <w:sz w:val="20"/>
                <w:szCs w:val="20"/>
                <w:highlight w:val="none"/>
                <w:u w:val="none"/>
                <w:lang w:val="en-US" w:eastAsia="zh-CN" w:bidi="ar"/>
              </w:rPr>
            </w:pPr>
            <w:r>
              <w:rPr>
                <w:rFonts w:hint="eastAsia" w:ascii="宋体" w:hAnsi="宋体" w:eastAsia="宋体" w:cs="宋体"/>
                <w:i w:val="0"/>
                <w:iCs w:val="0"/>
                <w:color w:val="000000"/>
                <w:kern w:val="0"/>
                <w:sz w:val="20"/>
                <w:szCs w:val="20"/>
                <w:highlight w:val="none"/>
                <w:u w:val="none"/>
                <w:lang w:val="en-US" w:eastAsia="zh-CN" w:bidi="ar"/>
              </w:rPr>
              <w:t>5.在超特高压新型电气装备科技成果转化中试基地完成中试。</w:t>
            </w:r>
          </w:p>
        </w:tc>
        <w:tc>
          <w:tcPr>
            <w:tcW w:w="1125" w:type="pct"/>
            <w:noWrap w:val="0"/>
            <w:vAlign w:val="center"/>
          </w:tcPr>
          <w:p>
            <w:pPr>
              <w:keepNext w:val="0"/>
              <w:keepLines w:val="0"/>
              <w:widowControl/>
              <w:suppressLineNumbers w:val="0"/>
              <w:spacing w:line="240" w:lineRule="auto"/>
              <w:ind w:firstLine="0" w:firstLineChars="0"/>
              <w:jc w:val="both"/>
              <w:textAlignment w:val="center"/>
              <w:rPr>
                <w:rFonts w:hint="eastAsia" w:ascii="宋体" w:hAnsi="宋体" w:eastAsia="宋体" w:cs="宋体"/>
                <w:sz w:val="24"/>
                <w:szCs w:val="24"/>
                <w:highlight w:val="none"/>
                <w:vertAlign w:val="baseline"/>
              </w:rPr>
            </w:pPr>
          </w:p>
        </w:tc>
      </w:tr>
    </w:tbl>
    <w:p>
      <w:pPr>
        <w:ind w:left="0" w:leftChars="0" w:firstLine="0" w:firstLineChars="0"/>
        <w:rPr>
          <w:rFonts w:hint="eastAsia" w:ascii="宋体" w:hAnsi="宋体" w:cs="宋体"/>
          <w:sz w:val="24"/>
          <w:szCs w:val="24"/>
          <w:highlight w:val="none"/>
        </w:rPr>
      </w:pPr>
    </w:p>
    <w:p>
      <w:pPr>
        <w:tabs>
          <w:tab w:val="left" w:pos="851"/>
        </w:tabs>
        <w:ind w:left="0" w:leftChars="0" w:firstLine="0" w:firstLineChars="0"/>
        <w:rPr>
          <w:rFonts w:hint="eastAsia" w:ascii="宋体" w:hAnsi="宋体" w:eastAsia="宋体" w:cs="宋体"/>
          <w:lang w:val="en-US" w:eastAsia="zh-CN"/>
        </w:rPr>
      </w:pPr>
      <w:bookmarkStart w:id="69" w:name="_Toc23057"/>
      <w:r>
        <w:rPr>
          <w:rFonts w:hint="eastAsia" w:ascii="宋体" w:hAnsi="宋体" w:eastAsia="宋体" w:cs="宋体"/>
          <w:lang w:val="en-US" w:eastAsia="zh-CN"/>
        </w:rPr>
        <w:t>8.2投标方技术偏差表</w:t>
      </w:r>
      <w:bookmarkEnd w:id="69"/>
    </w:p>
    <w:p>
      <w:pPr>
        <w:tabs>
          <w:tab w:val="left" w:pos="851"/>
        </w:tabs>
        <w:ind w:firstLine="480"/>
        <w:rPr>
          <w:rFonts w:hint="eastAsia" w:ascii="宋体" w:hAnsi="宋体" w:eastAsia="宋体" w:cs="宋体"/>
          <w:lang w:val="en-US" w:eastAsia="zh-CN"/>
        </w:rPr>
      </w:pPr>
      <w:r>
        <w:rPr>
          <w:rFonts w:hint="eastAsia" w:ascii="宋体" w:hAnsi="宋体" w:eastAsia="宋体" w:cs="宋体"/>
          <w:lang w:val="en-US" w:eastAsia="zh-CN"/>
        </w:rPr>
        <w:t>投标方提供的产品技术规范应与本技术规范中规定的要求一致。若有偏差投标方应如实、认真地填写偏差值；若无技术偏差则视为完全满足本技术规范的要求，且在投标方技术偏差表中填写“无偏差”。</w:t>
      </w:r>
    </w:p>
    <w:p>
      <w:pPr>
        <w:keepNext/>
        <w:keepLines w:val="0"/>
        <w:pageBreakBefore w:val="0"/>
        <w:widowControl w:val="0"/>
        <w:kinsoku/>
        <w:wordWrap/>
        <w:overflowPunct/>
        <w:topLinePunct w:val="0"/>
        <w:autoSpaceDE/>
        <w:autoSpaceDN/>
        <w:bidi w:val="0"/>
        <w:adjustRightInd/>
        <w:snapToGrid/>
        <w:jc w:val="center"/>
        <w:textAlignment w:val="auto"/>
        <w:rPr>
          <w:rFonts w:eastAsia="宋"/>
          <w:color w:val="auto"/>
          <w:highlight w:val="none"/>
        </w:rPr>
      </w:pPr>
      <w:r>
        <w:rPr>
          <w:rFonts w:hint="eastAsia" w:eastAsia="宋"/>
          <w:color w:val="auto"/>
          <w:highlight w:val="none"/>
          <w:lang w:val="en-US" w:eastAsia="zh-CN"/>
        </w:rPr>
        <w:t>表8.2</w:t>
      </w:r>
      <w:r>
        <w:rPr>
          <w:rFonts w:hint="eastAsia" w:eastAsia="宋"/>
          <w:color w:val="auto"/>
          <w:highlight w:val="none"/>
        </w:rPr>
        <w:t>投标方技术偏差表</w:t>
      </w:r>
    </w:p>
    <w:tbl>
      <w:tblPr>
        <w:tblStyle w:val="18"/>
        <w:tblpPr w:leftFromText="180" w:rightFromText="180" w:vertAnchor="text" w:horzAnchor="page" w:tblpX="1857" w:tblpY="313"/>
        <w:tblOverlap w:val="never"/>
        <w:tblW w:w="8417" w:type="dxa"/>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0" w:type="dxa"/>
          <w:bottom w:w="0" w:type="dxa"/>
          <w:right w:w="0" w:type="dxa"/>
        </w:tblCellMar>
      </w:tblPr>
      <w:tblGrid>
        <w:gridCol w:w="601"/>
        <w:gridCol w:w="1104"/>
        <w:gridCol w:w="1760"/>
        <w:gridCol w:w="2013"/>
        <w:gridCol w:w="1613"/>
        <w:gridCol w:w="1326"/>
      </w:tblGrid>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序号</w:t>
            </w:r>
          </w:p>
        </w:tc>
        <w:tc>
          <w:tcPr>
            <w:tcW w:w="1104"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项目</w:t>
            </w:r>
          </w:p>
        </w:tc>
        <w:tc>
          <w:tcPr>
            <w:tcW w:w="1760"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对应条款编号</w:t>
            </w:r>
          </w:p>
        </w:tc>
        <w:tc>
          <w:tcPr>
            <w:tcW w:w="2013" w:type="dxa"/>
            <w:noWrap w:val="0"/>
            <w:tcMar>
              <w:left w:w="0" w:type="dxa"/>
              <w:right w:w="0" w:type="dxa"/>
            </w:tcMar>
            <w:vAlign w:val="center"/>
          </w:tcPr>
          <w:p>
            <w:pPr>
              <w:widowControl w:val="0"/>
              <w:topLinePunct/>
              <w:snapToGrid w:val="0"/>
              <w:spacing w:before="60" w:after="60"/>
              <w:ind w:left="0" w:leftChars="0" w:firstLine="0" w:firstLineChars="0"/>
              <w:contextualSpacing/>
              <w:jc w:val="center"/>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技术招标文件要求</w:t>
            </w:r>
          </w:p>
        </w:tc>
        <w:tc>
          <w:tcPr>
            <w:tcW w:w="1613"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偏差</w:t>
            </w:r>
          </w:p>
        </w:tc>
        <w:tc>
          <w:tcPr>
            <w:tcW w:w="1326" w:type="dxa"/>
            <w:noWrap w:val="0"/>
            <w:tcMar>
              <w:left w:w="0" w:type="dxa"/>
              <w:right w:w="0" w:type="dxa"/>
            </w:tcMar>
            <w:vAlign w:val="center"/>
          </w:tcPr>
          <w:p>
            <w:pPr>
              <w:widowControl w:val="0"/>
              <w:topLinePunct/>
              <w:snapToGrid w:val="0"/>
              <w:spacing w:before="60" w:after="6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备注</w:t>
            </w: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1</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ascii="Calibri" w:hAnsi="Calibri" w:eastAsia="宋" w:cs="Times New Roman"/>
                <w:color w:val="auto"/>
                <w:kern w:val="2"/>
                <w:sz w:val="21"/>
                <w:szCs w:val="21"/>
                <w:highlight w:val="none"/>
                <w:lang w:val="en-US" w:eastAsia="zh-CN" w:bidi="ar-SA"/>
              </w:rPr>
            </w:pPr>
            <w:r>
              <w:rPr>
                <w:rFonts w:ascii="Calibri" w:hAnsi="Calibri" w:eastAsia="宋" w:cs="Times New Roman"/>
                <w:color w:val="auto"/>
                <w:kern w:val="2"/>
                <w:sz w:val="21"/>
                <w:szCs w:val="21"/>
                <w:highlight w:val="none"/>
                <w:lang w:val="en-US" w:eastAsia="zh-CN" w:bidi="ar-SA"/>
              </w:rPr>
              <w:t>2</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r>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0" w:type="dxa"/>
            <w:bottom w:w="0" w:type="dxa"/>
            <w:right w:w="0" w:type="dxa"/>
          </w:tblCellMar>
        </w:tblPrEx>
        <w:trPr>
          <w:trHeight w:val="20" w:hRule="atLeast"/>
        </w:trPr>
        <w:tc>
          <w:tcPr>
            <w:tcW w:w="601" w:type="dxa"/>
            <w:noWrap w:val="0"/>
            <w:tcMar>
              <w:left w:w="0" w:type="dxa"/>
              <w:right w:w="0" w:type="dxa"/>
            </w:tcMar>
            <w:vAlign w:val="center"/>
          </w:tcPr>
          <w:p>
            <w:pPr>
              <w:widowControl w:val="0"/>
              <w:topLinePunct/>
              <w:snapToGrid w:val="0"/>
              <w:spacing w:before="60" w:after="60"/>
              <w:ind w:left="0" w:leftChars="0" w:firstLine="210" w:firstLineChars="100"/>
              <w:contextualSpacing/>
              <w:jc w:val="both"/>
              <w:rPr>
                <w:rFonts w:hint="eastAsia" w:ascii="Calibri" w:hAnsi="Calibri" w:eastAsia="宋" w:cs="Times New Roman"/>
                <w:color w:val="auto"/>
                <w:kern w:val="2"/>
                <w:sz w:val="21"/>
                <w:szCs w:val="21"/>
                <w:highlight w:val="none"/>
                <w:lang w:val="en-US" w:eastAsia="zh-CN" w:bidi="ar-SA"/>
              </w:rPr>
            </w:pPr>
            <w:r>
              <w:rPr>
                <w:rFonts w:hint="eastAsia" w:ascii="Calibri" w:hAnsi="Calibri" w:eastAsia="宋" w:cs="Times New Roman"/>
                <w:color w:val="auto"/>
                <w:kern w:val="2"/>
                <w:sz w:val="21"/>
                <w:szCs w:val="21"/>
                <w:highlight w:val="none"/>
                <w:lang w:val="en-US" w:eastAsia="zh-CN" w:bidi="ar-SA"/>
              </w:rPr>
              <w:t>3</w:t>
            </w:r>
          </w:p>
        </w:tc>
        <w:tc>
          <w:tcPr>
            <w:tcW w:w="1104"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760"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20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613"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c>
          <w:tcPr>
            <w:tcW w:w="1326" w:type="dxa"/>
            <w:noWrap w:val="0"/>
            <w:tcMar>
              <w:left w:w="0" w:type="dxa"/>
              <w:right w:w="0" w:type="dxa"/>
            </w:tcMar>
            <w:vAlign w:val="center"/>
          </w:tcPr>
          <w:p>
            <w:pPr>
              <w:widowControl w:val="0"/>
              <w:topLinePunct/>
              <w:snapToGrid w:val="0"/>
              <w:spacing w:before="60" w:after="60"/>
              <w:contextualSpacing/>
              <w:jc w:val="center"/>
              <w:rPr>
                <w:rFonts w:ascii="Calibri" w:hAnsi="Calibri" w:eastAsia="宋" w:cs="Times New Roman"/>
                <w:color w:val="auto"/>
                <w:kern w:val="2"/>
                <w:sz w:val="21"/>
                <w:szCs w:val="21"/>
                <w:highlight w:val="none"/>
                <w:lang w:val="en-US" w:eastAsia="zh-CN" w:bidi="ar-SA"/>
              </w:rPr>
            </w:pPr>
          </w:p>
        </w:tc>
      </w:tr>
    </w:tbl>
    <w:p>
      <w:pPr>
        <w:ind w:firstLine="480"/>
        <w:rPr>
          <w:rFonts w:hint="eastAsia" w:ascii="宋体" w:hAnsi="宋体"/>
        </w:rPr>
      </w:pPr>
    </w:p>
    <w:sectPr>
      <w:headerReference r:id="rId17" w:type="default"/>
      <w:footerReference r:id="rId18" w:type="default"/>
      <w:pgSz w:w="11906" w:h="16838"/>
      <w:pgMar w:top="1440" w:right="1800" w:bottom="1440" w:left="1800" w:header="851" w:footer="549" w:gutter="0"/>
      <w:pgNumType w:start="1"/>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480"/>
      </w:pPr>
      <w:r>
        <w:separator/>
      </w:r>
    </w:p>
  </w:endnote>
  <w:endnote w:type="continuationSeparator" w:id="1">
    <w:p>
      <w:pPr>
        <w:spacing w:line="240" w:lineRule="auto"/>
        <w:ind w:firstLine="48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Calibri Light">
    <w:panose1 w:val="020F0302020204030204"/>
    <w:charset w:val="00"/>
    <w:family w:val="swiss"/>
    <w:pitch w:val="default"/>
    <w:sig w:usb0="A00002EF" w:usb1="4000207B" w:usb2="00000000" w:usb3="00000000" w:csb0="2000019F" w:csb1="00000000"/>
  </w:font>
  <w:font w:name="方正书宋简体">
    <w:altName w:val="宋体"/>
    <w:panose1 w:val="00000000000000000000"/>
    <w:charset w:val="86"/>
    <w:family w:val="auto"/>
    <w:pitch w:val="default"/>
    <w:sig w:usb0="00000000" w:usb1="00000000" w:usb2="00000010" w:usb3="00000000" w:csb0="00040000" w:csb1="00000000"/>
  </w:font>
  <w:font w:name="仿宋_GB2312">
    <w:panose1 w:val="02010609030101010101"/>
    <w:charset w:val="86"/>
    <w:family w:val="modern"/>
    <w:pitch w:val="default"/>
    <w:sig w:usb0="00000001" w:usb1="080E0000" w:usb2="00000000" w:usb3="00000000" w:csb0="00040000" w:csb1="00000000"/>
  </w:font>
  <w:font w:name="宋">
    <w:altName w:val="宋体"/>
    <w:panose1 w:val="00000000000000000000"/>
    <w:charset w:val="86"/>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ind w:firstLine="360"/>
      <w:jc w:val="center"/>
    </w:pPr>
    <w:r>
      <w:fldChar w:fldCharType="begin"/>
    </w:r>
    <w:r>
      <w:instrText xml:space="preserve"> PAGE   \* MERGEFORMAT </w:instrText>
    </w:r>
    <w:r>
      <w:fldChar w:fldCharType="separate"/>
    </w:r>
    <w:r>
      <w:t>7</w:t>
    </w:r>
    <w:r>
      <w:fldChar w:fldCharType="end"/>
    </w:r>
  </w:p>
  <w:p>
    <w:pPr>
      <w:pStyle w:val="13"/>
      <w:ind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480"/>
      </w:pPr>
      <w:r>
        <w:separator/>
      </w:r>
    </w:p>
  </w:footnote>
  <w:footnote w:type="continuationSeparator" w:id="1">
    <w:p>
      <w:pPr>
        <w:spacing w:line="360" w:lineRule="auto"/>
        <w:ind w:firstLine="48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top w:val="none" w:color="auto" w:sz="0" w:space="0"/>
        <w:left w:val="none" w:color="auto" w:sz="0" w:space="0"/>
        <w:bottom w:val="none" w:color="auto" w:sz="0" w:space="1"/>
        <w:right w:val="none" w:color="auto" w:sz="0" w:space="0"/>
        <w:between w:val="none" w:color="auto" w:sz="0" w:space="0"/>
      </w:pBdr>
      <w:ind w:firstLine="360"/>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-1138555</wp:posOffset>
          </wp:positionH>
          <wp:positionV relativeFrom="paragraph">
            <wp:posOffset>-828040</wp:posOffset>
          </wp:positionV>
          <wp:extent cx="7765415" cy="10979150"/>
          <wp:effectExtent l="0" t="0" r="6985" b="0"/>
          <wp:wrapNone/>
          <wp:docPr id="1"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1"/>
                  <a:srcRect/>
                  <a:stretch>
                    <a:fillRect/>
                  </a:stretch>
                </pic:blipFill>
                <pic:spPr>
                  <a:xfrm>
                    <a:off x="0" y="0"/>
                    <a:ext cx="7765415" cy="10979150"/>
                  </a:xfrm>
                  <a:prstGeom prst="rect">
                    <a:avLst/>
                  </a:prstGeom>
                  <a:noFill/>
                  <a:ln w="9525">
                    <a:noFill/>
                    <a:miter lim="800000"/>
                    <a:headEnd/>
                    <a:tailEnd/>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ind w:firstLine="360"/>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ind w:firstLine="0" w:firstLineChars="0"/>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0"/>
    <w:multiLevelType w:val="multilevel"/>
    <w:tmpl w:val="00000010"/>
    <w:lvl w:ilvl="0" w:tentative="0">
      <w:start w:val="1"/>
      <w:numFmt w:val="decimal"/>
      <w:pStyle w:val="4"/>
      <w:suff w:val="space"/>
      <w:lvlText w:val="%1."/>
      <w:lvlJc w:val="left"/>
      <w:pPr>
        <w:ind w:left="720" w:firstLine="0"/>
      </w:pPr>
      <w:rPr>
        <w:rFonts w:hint="eastAsia"/>
      </w:rPr>
    </w:lvl>
    <w:lvl w:ilvl="1" w:tentative="0">
      <w:start w:val="1"/>
      <w:numFmt w:val="decimal"/>
      <w:lvlText w:val="%1.%2."/>
      <w:lvlJc w:val="left"/>
      <w:pPr>
        <w:ind w:left="0" w:firstLine="0"/>
      </w:pPr>
      <w:rPr>
        <w:rFonts w:hint="eastAsia"/>
      </w:rPr>
    </w:lvl>
    <w:lvl w:ilvl="2" w:tentative="0">
      <w:start w:val="1"/>
      <w:numFmt w:val="decimal"/>
      <w:lvlText w:val="%1.%2.%3."/>
      <w:lvlJc w:val="left"/>
      <w:pPr>
        <w:ind w:left="0" w:firstLine="0"/>
      </w:pPr>
      <w:rPr>
        <w:rFonts w:hint="eastAsia"/>
      </w:rPr>
    </w:lvl>
    <w:lvl w:ilvl="3" w:tentative="0">
      <w:start w:val="1"/>
      <w:numFmt w:val="decimal"/>
      <w:lvlText w:val="%1.%2.%3.%4."/>
      <w:lvlJc w:val="left"/>
      <w:pPr>
        <w:ind w:left="0" w:firstLine="0"/>
      </w:pPr>
      <w:rPr>
        <w:rFonts w:hint="eastAsia"/>
      </w:rPr>
    </w:lvl>
    <w:lvl w:ilvl="4" w:tentative="0">
      <w:start w:val="1"/>
      <w:numFmt w:val="decimal"/>
      <w:lvlText w:val="%1.%2.%3.%4.%5."/>
      <w:lvlJc w:val="left"/>
      <w:pPr>
        <w:ind w:left="0" w:firstLine="0"/>
      </w:pPr>
      <w:rPr>
        <w:rFonts w:hint="eastAsia"/>
      </w:rPr>
    </w:lvl>
    <w:lvl w:ilvl="5" w:tentative="0">
      <w:start w:val="1"/>
      <w:numFmt w:val="decimal"/>
      <w:lvlText w:val="%1.%2.%3.%4.%5.%6."/>
      <w:lvlJc w:val="left"/>
      <w:pPr>
        <w:ind w:left="0" w:firstLine="0"/>
      </w:pPr>
      <w:rPr>
        <w:rFonts w:hint="eastAsia"/>
      </w:rPr>
    </w:lvl>
    <w:lvl w:ilvl="6" w:tentative="0">
      <w:start w:val="1"/>
      <w:numFmt w:val="decimal"/>
      <w:lvlText w:val="%1.%2.%3.%4.%5.%6.%7."/>
      <w:lvlJc w:val="left"/>
      <w:pPr>
        <w:ind w:left="0" w:firstLine="0"/>
      </w:pPr>
      <w:rPr>
        <w:rFonts w:hint="eastAsia"/>
      </w:rPr>
    </w:lvl>
    <w:lvl w:ilvl="7" w:tentative="0">
      <w:start w:val="1"/>
      <w:numFmt w:val="decimal"/>
      <w:lvlText w:val="%1.%2.%3.%4.%5.%6.%7.%8."/>
      <w:lvlJc w:val="left"/>
      <w:pPr>
        <w:ind w:left="0" w:firstLine="0"/>
      </w:pPr>
      <w:rPr>
        <w:rFonts w:hint="eastAsia"/>
      </w:rPr>
    </w:lvl>
    <w:lvl w:ilvl="8" w:tentative="0">
      <w:start w:val="1"/>
      <w:numFmt w:val="decimal"/>
      <w:lvlText w:val="%1.%2.%3.%4.%5.%6.%7.%8.%9."/>
      <w:lvlJc w:val="left"/>
      <w:pPr>
        <w:ind w:left="0" w:firstLine="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AxNTEzOTdjZTdkOGE4MWIyMGZiYWQ4MWJkOTIwYTIifQ=="/>
  </w:docVars>
  <w:rsids>
    <w:rsidRoot w:val="00172A27"/>
    <w:rsid w:val="00004157"/>
    <w:rsid w:val="000041A4"/>
    <w:rsid w:val="000052EC"/>
    <w:rsid w:val="00007D13"/>
    <w:rsid w:val="000224BF"/>
    <w:rsid w:val="000258D4"/>
    <w:rsid w:val="00030479"/>
    <w:rsid w:val="00032717"/>
    <w:rsid w:val="00033440"/>
    <w:rsid w:val="00033F7F"/>
    <w:rsid w:val="00035681"/>
    <w:rsid w:val="00035D33"/>
    <w:rsid w:val="00043144"/>
    <w:rsid w:val="00044CDB"/>
    <w:rsid w:val="00046DFE"/>
    <w:rsid w:val="00050BDA"/>
    <w:rsid w:val="00054AA8"/>
    <w:rsid w:val="00055E63"/>
    <w:rsid w:val="00056767"/>
    <w:rsid w:val="000661E0"/>
    <w:rsid w:val="00070856"/>
    <w:rsid w:val="00072157"/>
    <w:rsid w:val="000802B5"/>
    <w:rsid w:val="00085586"/>
    <w:rsid w:val="000874A2"/>
    <w:rsid w:val="00095CB6"/>
    <w:rsid w:val="00096F1E"/>
    <w:rsid w:val="000A263D"/>
    <w:rsid w:val="000A5721"/>
    <w:rsid w:val="000A722B"/>
    <w:rsid w:val="000B3BEC"/>
    <w:rsid w:val="000B435C"/>
    <w:rsid w:val="000B4BE8"/>
    <w:rsid w:val="000B5F9E"/>
    <w:rsid w:val="000D090E"/>
    <w:rsid w:val="000D5CC4"/>
    <w:rsid w:val="000E0498"/>
    <w:rsid w:val="000E0616"/>
    <w:rsid w:val="000E0E62"/>
    <w:rsid w:val="000E5032"/>
    <w:rsid w:val="000E5C42"/>
    <w:rsid w:val="000E64A4"/>
    <w:rsid w:val="000F0767"/>
    <w:rsid w:val="00104CFA"/>
    <w:rsid w:val="001109DD"/>
    <w:rsid w:val="00111650"/>
    <w:rsid w:val="001148D6"/>
    <w:rsid w:val="00122043"/>
    <w:rsid w:val="00122E5E"/>
    <w:rsid w:val="00122E78"/>
    <w:rsid w:val="00124416"/>
    <w:rsid w:val="00124504"/>
    <w:rsid w:val="00135D83"/>
    <w:rsid w:val="00150A8E"/>
    <w:rsid w:val="00151D98"/>
    <w:rsid w:val="0016086E"/>
    <w:rsid w:val="001626EF"/>
    <w:rsid w:val="00166883"/>
    <w:rsid w:val="001668FD"/>
    <w:rsid w:val="00171826"/>
    <w:rsid w:val="00172A27"/>
    <w:rsid w:val="00176332"/>
    <w:rsid w:val="001825A1"/>
    <w:rsid w:val="0018662B"/>
    <w:rsid w:val="001945DC"/>
    <w:rsid w:val="00197251"/>
    <w:rsid w:val="00197F2E"/>
    <w:rsid w:val="001A79DB"/>
    <w:rsid w:val="001B531B"/>
    <w:rsid w:val="001C4316"/>
    <w:rsid w:val="001C52D8"/>
    <w:rsid w:val="001C5D9F"/>
    <w:rsid w:val="001D1368"/>
    <w:rsid w:val="001D3DBA"/>
    <w:rsid w:val="001D73FA"/>
    <w:rsid w:val="001D7C43"/>
    <w:rsid w:val="001E16E7"/>
    <w:rsid w:val="001E240F"/>
    <w:rsid w:val="001E5350"/>
    <w:rsid w:val="001E56E3"/>
    <w:rsid w:val="001E6310"/>
    <w:rsid w:val="001F1B3A"/>
    <w:rsid w:val="001F2E26"/>
    <w:rsid w:val="001F5E12"/>
    <w:rsid w:val="00200344"/>
    <w:rsid w:val="00204DDE"/>
    <w:rsid w:val="00206CA6"/>
    <w:rsid w:val="002076A9"/>
    <w:rsid w:val="002129DB"/>
    <w:rsid w:val="00214076"/>
    <w:rsid w:val="00215454"/>
    <w:rsid w:val="00215C24"/>
    <w:rsid w:val="002170DB"/>
    <w:rsid w:val="00221DD8"/>
    <w:rsid w:val="00223528"/>
    <w:rsid w:val="00227267"/>
    <w:rsid w:val="002272F7"/>
    <w:rsid w:val="00232F10"/>
    <w:rsid w:val="002447E5"/>
    <w:rsid w:val="00244A2F"/>
    <w:rsid w:val="00244F7C"/>
    <w:rsid w:val="00253136"/>
    <w:rsid w:val="00254812"/>
    <w:rsid w:val="0025554B"/>
    <w:rsid w:val="00256DFA"/>
    <w:rsid w:val="002578A1"/>
    <w:rsid w:val="00263624"/>
    <w:rsid w:val="0026366A"/>
    <w:rsid w:val="00273D45"/>
    <w:rsid w:val="0027655A"/>
    <w:rsid w:val="00277AB6"/>
    <w:rsid w:val="0028170E"/>
    <w:rsid w:val="00281CC3"/>
    <w:rsid w:val="00284961"/>
    <w:rsid w:val="00286DFD"/>
    <w:rsid w:val="00291885"/>
    <w:rsid w:val="00293207"/>
    <w:rsid w:val="00296ABB"/>
    <w:rsid w:val="00297FC6"/>
    <w:rsid w:val="002A2204"/>
    <w:rsid w:val="002A3CE3"/>
    <w:rsid w:val="002B11FE"/>
    <w:rsid w:val="002B3FC8"/>
    <w:rsid w:val="002B6605"/>
    <w:rsid w:val="002C3F8E"/>
    <w:rsid w:val="002C416A"/>
    <w:rsid w:val="002C6F94"/>
    <w:rsid w:val="002D2215"/>
    <w:rsid w:val="002E4799"/>
    <w:rsid w:val="002F0B3F"/>
    <w:rsid w:val="00303976"/>
    <w:rsid w:val="00304504"/>
    <w:rsid w:val="003056CF"/>
    <w:rsid w:val="00323D15"/>
    <w:rsid w:val="00330DB3"/>
    <w:rsid w:val="00331942"/>
    <w:rsid w:val="003374FB"/>
    <w:rsid w:val="00337E95"/>
    <w:rsid w:val="0035398A"/>
    <w:rsid w:val="00367D06"/>
    <w:rsid w:val="00370CBE"/>
    <w:rsid w:val="00374D73"/>
    <w:rsid w:val="00375A24"/>
    <w:rsid w:val="00383D96"/>
    <w:rsid w:val="0038428A"/>
    <w:rsid w:val="00384DD9"/>
    <w:rsid w:val="00387572"/>
    <w:rsid w:val="00390743"/>
    <w:rsid w:val="003A5221"/>
    <w:rsid w:val="003B44D9"/>
    <w:rsid w:val="003B4B63"/>
    <w:rsid w:val="003B71DA"/>
    <w:rsid w:val="003C474C"/>
    <w:rsid w:val="003D2D90"/>
    <w:rsid w:val="003D518E"/>
    <w:rsid w:val="003D5A88"/>
    <w:rsid w:val="003D6855"/>
    <w:rsid w:val="003E1652"/>
    <w:rsid w:val="003E7211"/>
    <w:rsid w:val="003F3D66"/>
    <w:rsid w:val="003F6647"/>
    <w:rsid w:val="0041096A"/>
    <w:rsid w:val="00410AB4"/>
    <w:rsid w:val="00413078"/>
    <w:rsid w:val="00414022"/>
    <w:rsid w:val="004141AF"/>
    <w:rsid w:val="00420404"/>
    <w:rsid w:val="00424010"/>
    <w:rsid w:val="004319DD"/>
    <w:rsid w:val="00431A70"/>
    <w:rsid w:val="0043697B"/>
    <w:rsid w:val="0044008D"/>
    <w:rsid w:val="004428FF"/>
    <w:rsid w:val="004436AF"/>
    <w:rsid w:val="00445A6C"/>
    <w:rsid w:val="004460FA"/>
    <w:rsid w:val="00450340"/>
    <w:rsid w:val="0046254A"/>
    <w:rsid w:val="00464CA7"/>
    <w:rsid w:val="004656FF"/>
    <w:rsid w:val="004715E2"/>
    <w:rsid w:val="00481534"/>
    <w:rsid w:val="004824FD"/>
    <w:rsid w:val="00483253"/>
    <w:rsid w:val="00486E6D"/>
    <w:rsid w:val="00490469"/>
    <w:rsid w:val="00496968"/>
    <w:rsid w:val="004977C0"/>
    <w:rsid w:val="004A3092"/>
    <w:rsid w:val="004A5258"/>
    <w:rsid w:val="004B422D"/>
    <w:rsid w:val="004B73DC"/>
    <w:rsid w:val="004B7665"/>
    <w:rsid w:val="004C2C32"/>
    <w:rsid w:val="004C679B"/>
    <w:rsid w:val="004D40D4"/>
    <w:rsid w:val="004D4E92"/>
    <w:rsid w:val="004D5806"/>
    <w:rsid w:val="004D632E"/>
    <w:rsid w:val="004E0983"/>
    <w:rsid w:val="004E0AD2"/>
    <w:rsid w:val="004E1EF8"/>
    <w:rsid w:val="004E7B53"/>
    <w:rsid w:val="004F5CCD"/>
    <w:rsid w:val="00503AB9"/>
    <w:rsid w:val="00504879"/>
    <w:rsid w:val="005067D0"/>
    <w:rsid w:val="00510D9A"/>
    <w:rsid w:val="00511A84"/>
    <w:rsid w:val="00515454"/>
    <w:rsid w:val="005200C1"/>
    <w:rsid w:val="0052107D"/>
    <w:rsid w:val="00521DD7"/>
    <w:rsid w:val="00525600"/>
    <w:rsid w:val="00532496"/>
    <w:rsid w:val="00533557"/>
    <w:rsid w:val="0053627F"/>
    <w:rsid w:val="005365C7"/>
    <w:rsid w:val="00541F49"/>
    <w:rsid w:val="00542F5A"/>
    <w:rsid w:val="0054505D"/>
    <w:rsid w:val="00546480"/>
    <w:rsid w:val="0055140F"/>
    <w:rsid w:val="005546AC"/>
    <w:rsid w:val="00555060"/>
    <w:rsid w:val="005550E0"/>
    <w:rsid w:val="00570A2E"/>
    <w:rsid w:val="00575B70"/>
    <w:rsid w:val="00576175"/>
    <w:rsid w:val="005770D1"/>
    <w:rsid w:val="00577103"/>
    <w:rsid w:val="005808E9"/>
    <w:rsid w:val="00584106"/>
    <w:rsid w:val="00586294"/>
    <w:rsid w:val="0058651D"/>
    <w:rsid w:val="00594E70"/>
    <w:rsid w:val="005950C1"/>
    <w:rsid w:val="005B5AAA"/>
    <w:rsid w:val="005B7391"/>
    <w:rsid w:val="005C0E9A"/>
    <w:rsid w:val="005C42F8"/>
    <w:rsid w:val="005C45D2"/>
    <w:rsid w:val="005C5FA1"/>
    <w:rsid w:val="005D1816"/>
    <w:rsid w:val="005D3538"/>
    <w:rsid w:val="005D3C76"/>
    <w:rsid w:val="005D5795"/>
    <w:rsid w:val="005D7E95"/>
    <w:rsid w:val="005E1C0A"/>
    <w:rsid w:val="005E4AF6"/>
    <w:rsid w:val="005F0D01"/>
    <w:rsid w:val="005F5385"/>
    <w:rsid w:val="005F642B"/>
    <w:rsid w:val="005F6C08"/>
    <w:rsid w:val="00602D5B"/>
    <w:rsid w:val="00603B29"/>
    <w:rsid w:val="006120BA"/>
    <w:rsid w:val="0061273D"/>
    <w:rsid w:val="00615391"/>
    <w:rsid w:val="00616713"/>
    <w:rsid w:val="00620489"/>
    <w:rsid w:val="00621C69"/>
    <w:rsid w:val="00624B4E"/>
    <w:rsid w:val="0063112A"/>
    <w:rsid w:val="006316A0"/>
    <w:rsid w:val="006346A1"/>
    <w:rsid w:val="00634AA5"/>
    <w:rsid w:val="0063794D"/>
    <w:rsid w:val="00640D51"/>
    <w:rsid w:val="006449DC"/>
    <w:rsid w:val="00651BDE"/>
    <w:rsid w:val="00654782"/>
    <w:rsid w:val="00660BAE"/>
    <w:rsid w:val="006620B3"/>
    <w:rsid w:val="0066639C"/>
    <w:rsid w:val="00667765"/>
    <w:rsid w:val="0067357A"/>
    <w:rsid w:val="00674005"/>
    <w:rsid w:val="00684EB5"/>
    <w:rsid w:val="006856EE"/>
    <w:rsid w:val="00685814"/>
    <w:rsid w:val="00687E51"/>
    <w:rsid w:val="006961CC"/>
    <w:rsid w:val="0069730B"/>
    <w:rsid w:val="006A050D"/>
    <w:rsid w:val="006A0C95"/>
    <w:rsid w:val="006A32DC"/>
    <w:rsid w:val="006A3E2E"/>
    <w:rsid w:val="006B31C3"/>
    <w:rsid w:val="006B7B48"/>
    <w:rsid w:val="006C3FD9"/>
    <w:rsid w:val="006C431A"/>
    <w:rsid w:val="006D1FF4"/>
    <w:rsid w:val="006E0A4A"/>
    <w:rsid w:val="006F0594"/>
    <w:rsid w:val="006F1E19"/>
    <w:rsid w:val="006F53B4"/>
    <w:rsid w:val="0070068F"/>
    <w:rsid w:val="0070113F"/>
    <w:rsid w:val="00702201"/>
    <w:rsid w:val="00702BCA"/>
    <w:rsid w:val="0071238D"/>
    <w:rsid w:val="007131CA"/>
    <w:rsid w:val="0071489E"/>
    <w:rsid w:val="00714D09"/>
    <w:rsid w:val="007157EB"/>
    <w:rsid w:val="0071769C"/>
    <w:rsid w:val="00725DF9"/>
    <w:rsid w:val="00733A12"/>
    <w:rsid w:val="007423F8"/>
    <w:rsid w:val="007429C8"/>
    <w:rsid w:val="007475B0"/>
    <w:rsid w:val="00751F29"/>
    <w:rsid w:val="0075277E"/>
    <w:rsid w:val="00755E29"/>
    <w:rsid w:val="00761415"/>
    <w:rsid w:val="00764ABD"/>
    <w:rsid w:val="00770633"/>
    <w:rsid w:val="00771A04"/>
    <w:rsid w:val="00784867"/>
    <w:rsid w:val="0078561A"/>
    <w:rsid w:val="00785A56"/>
    <w:rsid w:val="00785EFB"/>
    <w:rsid w:val="00795F84"/>
    <w:rsid w:val="0079699C"/>
    <w:rsid w:val="007B1B67"/>
    <w:rsid w:val="007B4054"/>
    <w:rsid w:val="007B7C28"/>
    <w:rsid w:val="007C0F94"/>
    <w:rsid w:val="007C3F03"/>
    <w:rsid w:val="007C5204"/>
    <w:rsid w:val="007D2307"/>
    <w:rsid w:val="007D649B"/>
    <w:rsid w:val="007E7EC8"/>
    <w:rsid w:val="007F2444"/>
    <w:rsid w:val="007F4718"/>
    <w:rsid w:val="007F5D7D"/>
    <w:rsid w:val="007F6999"/>
    <w:rsid w:val="00815AC7"/>
    <w:rsid w:val="008232D4"/>
    <w:rsid w:val="00843392"/>
    <w:rsid w:val="00843E35"/>
    <w:rsid w:val="008457D7"/>
    <w:rsid w:val="00846536"/>
    <w:rsid w:val="00856A73"/>
    <w:rsid w:val="00857C8F"/>
    <w:rsid w:val="008602E4"/>
    <w:rsid w:val="0086374E"/>
    <w:rsid w:val="00866A1B"/>
    <w:rsid w:val="00866C9F"/>
    <w:rsid w:val="00871146"/>
    <w:rsid w:val="00872365"/>
    <w:rsid w:val="0087296F"/>
    <w:rsid w:val="0087344E"/>
    <w:rsid w:val="008746D5"/>
    <w:rsid w:val="008746E1"/>
    <w:rsid w:val="00877AFA"/>
    <w:rsid w:val="00881565"/>
    <w:rsid w:val="00886426"/>
    <w:rsid w:val="00892552"/>
    <w:rsid w:val="00895652"/>
    <w:rsid w:val="008A3A45"/>
    <w:rsid w:val="008A7CE7"/>
    <w:rsid w:val="008B346E"/>
    <w:rsid w:val="008B6898"/>
    <w:rsid w:val="008B753B"/>
    <w:rsid w:val="008B7C6C"/>
    <w:rsid w:val="008C020E"/>
    <w:rsid w:val="008C26D9"/>
    <w:rsid w:val="008C342F"/>
    <w:rsid w:val="008D0CA5"/>
    <w:rsid w:val="008E3EC8"/>
    <w:rsid w:val="00901522"/>
    <w:rsid w:val="00911DA9"/>
    <w:rsid w:val="00915C4F"/>
    <w:rsid w:val="00925041"/>
    <w:rsid w:val="00925365"/>
    <w:rsid w:val="00932F76"/>
    <w:rsid w:val="00933388"/>
    <w:rsid w:val="0093674E"/>
    <w:rsid w:val="00940243"/>
    <w:rsid w:val="00941926"/>
    <w:rsid w:val="00952503"/>
    <w:rsid w:val="00955B4E"/>
    <w:rsid w:val="00957002"/>
    <w:rsid w:val="009605FE"/>
    <w:rsid w:val="009628F5"/>
    <w:rsid w:val="009673C9"/>
    <w:rsid w:val="00976C40"/>
    <w:rsid w:val="00981E3E"/>
    <w:rsid w:val="00984CEB"/>
    <w:rsid w:val="009862DA"/>
    <w:rsid w:val="00986BB2"/>
    <w:rsid w:val="009A5C45"/>
    <w:rsid w:val="009B081C"/>
    <w:rsid w:val="009B1C8B"/>
    <w:rsid w:val="009B4C85"/>
    <w:rsid w:val="009B61D9"/>
    <w:rsid w:val="009C0827"/>
    <w:rsid w:val="009C0B63"/>
    <w:rsid w:val="009C24DF"/>
    <w:rsid w:val="009D5878"/>
    <w:rsid w:val="009D5B5D"/>
    <w:rsid w:val="009E0FE9"/>
    <w:rsid w:val="009E23F4"/>
    <w:rsid w:val="009E5BFB"/>
    <w:rsid w:val="009F04C4"/>
    <w:rsid w:val="009F04C9"/>
    <w:rsid w:val="009F2843"/>
    <w:rsid w:val="009F2B89"/>
    <w:rsid w:val="009F3C0C"/>
    <w:rsid w:val="009F4C8D"/>
    <w:rsid w:val="009F7F98"/>
    <w:rsid w:val="00A02D44"/>
    <w:rsid w:val="00A0383B"/>
    <w:rsid w:val="00A12B0B"/>
    <w:rsid w:val="00A1763A"/>
    <w:rsid w:val="00A21FC7"/>
    <w:rsid w:val="00A24519"/>
    <w:rsid w:val="00A27151"/>
    <w:rsid w:val="00A34954"/>
    <w:rsid w:val="00A349BC"/>
    <w:rsid w:val="00A41D34"/>
    <w:rsid w:val="00A54CE4"/>
    <w:rsid w:val="00A6014B"/>
    <w:rsid w:val="00A642C5"/>
    <w:rsid w:val="00A82E92"/>
    <w:rsid w:val="00A84A0D"/>
    <w:rsid w:val="00A86CD6"/>
    <w:rsid w:val="00A92999"/>
    <w:rsid w:val="00AA3762"/>
    <w:rsid w:val="00AA3949"/>
    <w:rsid w:val="00AA489A"/>
    <w:rsid w:val="00AB2957"/>
    <w:rsid w:val="00AC262B"/>
    <w:rsid w:val="00AC4AA8"/>
    <w:rsid w:val="00AC53E4"/>
    <w:rsid w:val="00AD5385"/>
    <w:rsid w:val="00AE174D"/>
    <w:rsid w:val="00AE467A"/>
    <w:rsid w:val="00AF4B61"/>
    <w:rsid w:val="00AF56F2"/>
    <w:rsid w:val="00AF6D39"/>
    <w:rsid w:val="00B000D2"/>
    <w:rsid w:val="00B014D1"/>
    <w:rsid w:val="00B0578B"/>
    <w:rsid w:val="00B06D17"/>
    <w:rsid w:val="00B1695C"/>
    <w:rsid w:val="00B20308"/>
    <w:rsid w:val="00B332D9"/>
    <w:rsid w:val="00B35E5D"/>
    <w:rsid w:val="00B35FCE"/>
    <w:rsid w:val="00B36D6A"/>
    <w:rsid w:val="00B41150"/>
    <w:rsid w:val="00B44C64"/>
    <w:rsid w:val="00B4557C"/>
    <w:rsid w:val="00B47E7F"/>
    <w:rsid w:val="00B5337C"/>
    <w:rsid w:val="00B53BC3"/>
    <w:rsid w:val="00B559B7"/>
    <w:rsid w:val="00B61A55"/>
    <w:rsid w:val="00B65B69"/>
    <w:rsid w:val="00B677F9"/>
    <w:rsid w:val="00B7364F"/>
    <w:rsid w:val="00B832D0"/>
    <w:rsid w:val="00B94945"/>
    <w:rsid w:val="00B97175"/>
    <w:rsid w:val="00BA0AF7"/>
    <w:rsid w:val="00BA37BB"/>
    <w:rsid w:val="00BA4322"/>
    <w:rsid w:val="00BA6AEB"/>
    <w:rsid w:val="00BB0D8D"/>
    <w:rsid w:val="00BB204F"/>
    <w:rsid w:val="00BB3130"/>
    <w:rsid w:val="00BC0CE4"/>
    <w:rsid w:val="00BC1DF0"/>
    <w:rsid w:val="00BD3953"/>
    <w:rsid w:val="00BE3A35"/>
    <w:rsid w:val="00BF3D2F"/>
    <w:rsid w:val="00BF520A"/>
    <w:rsid w:val="00BF706B"/>
    <w:rsid w:val="00C0619F"/>
    <w:rsid w:val="00C074A9"/>
    <w:rsid w:val="00C12CF2"/>
    <w:rsid w:val="00C172C3"/>
    <w:rsid w:val="00C25569"/>
    <w:rsid w:val="00C302FA"/>
    <w:rsid w:val="00C30946"/>
    <w:rsid w:val="00C334C5"/>
    <w:rsid w:val="00C34AE5"/>
    <w:rsid w:val="00C40698"/>
    <w:rsid w:val="00C451EA"/>
    <w:rsid w:val="00C517D1"/>
    <w:rsid w:val="00C53028"/>
    <w:rsid w:val="00C542F7"/>
    <w:rsid w:val="00C56DEE"/>
    <w:rsid w:val="00C600C7"/>
    <w:rsid w:val="00C636B7"/>
    <w:rsid w:val="00C66A18"/>
    <w:rsid w:val="00C7216E"/>
    <w:rsid w:val="00C842BD"/>
    <w:rsid w:val="00C921CD"/>
    <w:rsid w:val="00C93C34"/>
    <w:rsid w:val="00C97BF9"/>
    <w:rsid w:val="00CA30C0"/>
    <w:rsid w:val="00CB1AD1"/>
    <w:rsid w:val="00CB4083"/>
    <w:rsid w:val="00CB7961"/>
    <w:rsid w:val="00CC555F"/>
    <w:rsid w:val="00CC6711"/>
    <w:rsid w:val="00CD16D2"/>
    <w:rsid w:val="00CD1731"/>
    <w:rsid w:val="00CD1C9F"/>
    <w:rsid w:val="00CD7BD4"/>
    <w:rsid w:val="00CD7DA4"/>
    <w:rsid w:val="00CE29D1"/>
    <w:rsid w:val="00CF46C9"/>
    <w:rsid w:val="00CF66A6"/>
    <w:rsid w:val="00CF6719"/>
    <w:rsid w:val="00D03B03"/>
    <w:rsid w:val="00D06041"/>
    <w:rsid w:val="00D128FD"/>
    <w:rsid w:val="00D1332B"/>
    <w:rsid w:val="00D24E2D"/>
    <w:rsid w:val="00D30F60"/>
    <w:rsid w:val="00D42328"/>
    <w:rsid w:val="00D46B74"/>
    <w:rsid w:val="00D548D9"/>
    <w:rsid w:val="00D56005"/>
    <w:rsid w:val="00D6301D"/>
    <w:rsid w:val="00D74DA6"/>
    <w:rsid w:val="00D770CD"/>
    <w:rsid w:val="00D86FBA"/>
    <w:rsid w:val="00D877D8"/>
    <w:rsid w:val="00D92539"/>
    <w:rsid w:val="00D9290E"/>
    <w:rsid w:val="00D936B8"/>
    <w:rsid w:val="00D93872"/>
    <w:rsid w:val="00D94D3B"/>
    <w:rsid w:val="00DA06B5"/>
    <w:rsid w:val="00DA4723"/>
    <w:rsid w:val="00DA4A72"/>
    <w:rsid w:val="00DB06E8"/>
    <w:rsid w:val="00DB6A2A"/>
    <w:rsid w:val="00DB781A"/>
    <w:rsid w:val="00DC3AA5"/>
    <w:rsid w:val="00DC4367"/>
    <w:rsid w:val="00DC4368"/>
    <w:rsid w:val="00DC53BB"/>
    <w:rsid w:val="00DD2F52"/>
    <w:rsid w:val="00DD4126"/>
    <w:rsid w:val="00DD6EC5"/>
    <w:rsid w:val="00DE41CF"/>
    <w:rsid w:val="00DF3C0C"/>
    <w:rsid w:val="00DF57F5"/>
    <w:rsid w:val="00DF58D7"/>
    <w:rsid w:val="00E033D5"/>
    <w:rsid w:val="00E046DA"/>
    <w:rsid w:val="00E137EF"/>
    <w:rsid w:val="00E22B77"/>
    <w:rsid w:val="00E24F8F"/>
    <w:rsid w:val="00E24F93"/>
    <w:rsid w:val="00E327BA"/>
    <w:rsid w:val="00E33503"/>
    <w:rsid w:val="00E36B58"/>
    <w:rsid w:val="00E37E74"/>
    <w:rsid w:val="00E4290E"/>
    <w:rsid w:val="00E47476"/>
    <w:rsid w:val="00E5152A"/>
    <w:rsid w:val="00E524C1"/>
    <w:rsid w:val="00E65502"/>
    <w:rsid w:val="00E67613"/>
    <w:rsid w:val="00E67E90"/>
    <w:rsid w:val="00E7510A"/>
    <w:rsid w:val="00E80769"/>
    <w:rsid w:val="00E8103A"/>
    <w:rsid w:val="00E8536E"/>
    <w:rsid w:val="00E87412"/>
    <w:rsid w:val="00E914F5"/>
    <w:rsid w:val="00E92D2F"/>
    <w:rsid w:val="00EA076D"/>
    <w:rsid w:val="00EA1090"/>
    <w:rsid w:val="00EA1201"/>
    <w:rsid w:val="00EA35A1"/>
    <w:rsid w:val="00EB702A"/>
    <w:rsid w:val="00EB7D0B"/>
    <w:rsid w:val="00EC1C6D"/>
    <w:rsid w:val="00EC2DB6"/>
    <w:rsid w:val="00EC6991"/>
    <w:rsid w:val="00EC6A5C"/>
    <w:rsid w:val="00EC6C7B"/>
    <w:rsid w:val="00ED58A5"/>
    <w:rsid w:val="00ED76F8"/>
    <w:rsid w:val="00EE3F7F"/>
    <w:rsid w:val="00EE7B24"/>
    <w:rsid w:val="00EF07D2"/>
    <w:rsid w:val="00EF40E7"/>
    <w:rsid w:val="00EF7E26"/>
    <w:rsid w:val="00F05D7C"/>
    <w:rsid w:val="00F10131"/>
    <w:rsid w:val="00F11B25"/>
    <w:rsid w:val="00F21728"/>
    <w:rsid w:val="00F306AF"/>
    <w:rsid w:val="00F34F40"/>
    <w:rsid w:val="00F354F3"/>
    <w:rsid w:val="00F35CA2"/>
    <w:rsid w:val="00F36D3A"/>
    <w:rsid w:val="00F41E93"/>
    <w:rsid w:val="00F7145F"/>
    <w:rsid w:val="00F76968"/>
    <w:rsid w:val="00F83D9D"/>
    <w:rsid w:val="00F871A0"/>
    <w:rsid w:val="00F87440"/>
    <w:rsid w:val="00F9269A"/>
    <w:rsid w:val="00F94332"/>
    <w:rsid w:val="00F943CC"/>
    <w:rsid w:val="00F9673E"/>
    <w:rsid w:val="00FB0EC3"/>
    <w:rsid w:val="00FB1093"/>
    <w:rsid w:val="00FC1D1E"/>
    <w:rsid w:val="00FC2BA1"/>
    <w:rsid w:val="00FC70CA"/>
    <w:rsid w:val="00FD532A"/>
    <w:rsid w:val="00FD75F1"/>
    <w:rsid w:val="00FE3E95"/>
    <w:rsid w:val="00FE55AE"/>
    <w:rsid w:val="00FF15D5"/>
    <w:rsid w:val="00FF7B7F"/>
    <w:rsid w:val="0115077C"/>
    <w:rsid w:val="0116312F"/>
    <w:rsid w:val="0175001E"/>
    <w:rsid w:val="017C66DE"/>
    <w:rsid w:val="01804A4C"/>
    <w:rsid w:val="01890D0B"/>
    <w:rsid w:val="01963062"/>
    <w:rsid w:val="01AC1887"/>
    <w:rsid w:val="01DD1E9F"/>
    <w:rsid w:val="01E37A17"/>
    <w:rsid w:val="01F55FA8"/>
    <w:rsid w:val="020578DD"/>
    <w:rsid w:val="026C4FD1"/>
    <w:rsid w:val="027A2971"/>
    <w:rsid w:val="028606DA"/>
    <w:rsid w:val="02B11EFA"/>
    <w:rsid w:val="02C9546D"/>
    <w:rsid w:val="03604AE8"/>
    <w:rsid w:val="03EE0393"/>
    <w:rsid w:val="04155920"/>
    <w:rsid w:val="04305357"/>
    <w:rsid w:val="044E2BE0"/>
    <w:rsid w:val="0452141E"/>
    <w:rsid w:val="04842AA6"/>
    <w:rsid w:val="048707FB"/>
    <w:rsid w:val="04980A96"/>
    <w:rsid w:val="049D5915"/>
    <w:rsid w:val="04DD0CB1"/>
    <w:rsid w:val="04ED66A4"/>
    <w:rsid w:val="05087233"/>
    <w:rsid w:val="05406EB7"/>
    <w:rsid w:val="059D2DF8"/>
    <w:rsid w:val="05BA78F4"/>
    <w:rsid w:val="05C55124"/>
    <w:rsid w:val="05CB7B8E"/>
    <w:rsid w:val="05CE4396"/>
    <w:rsid w:val="05F17CC7"/>
    <w:rsid w:val="062A122C"/>
    <w:rsid w:val="06E65352"/>
    <w:rsid w:val="074B6D85"/>
    <w:rsid w:val="07713C35"/>
    <w:rsid w:val="07B63B11"/>
    <w:rsid w:val="07D720B6"/>
    <w:rsid w:val="07DB403D"/>
    <w:rsid w:val="07ED0B0D"/>
    <w:rsid w:val="080D690E"/>
    <w:rsid w:val="081F390C"/>
    <w:rsid w:val="08B275D1"/>
    <w:rsid w:val="08E001B0"/>
    <w:rsid w:val="09222209"/>
    <w:rsid w:val="098826F0"/>
    <w:rsid w:val="09BB55BA"/>
    <w:rsid w:val="09C87119"/>
    <w:rsid w:val="09E922F6"/>
    <w:rsid w:val="09F75AC8"/>
    <w:rsid w:val="0A0C3321"/>
    <w:rsid w:val="0A0D0E47"/>
    <w:rsid w:val="0A18464F"/>
    <w:rsid w:val="0A291D87"/>
    <w:rsid w:val="0A2E2341"/>
    <w:rsid w:val="0A366207"/>
    <w:rsid w:val="0A8B0EAB"/>
    <w:rsid w:val="0A922065"/>
    <w:rsid w:val="0AA049F3"/>
    <w:rsid w:val="0AA96DC2"/>
    <w:rsid w:val="0ABF3E2E"/>
    <w:rsid w:val="0ADC03EB"/>
    <w:rsid w:val="0B441098"/>
    <w:rsid w:val="0B4D3BF1"/>
    <w:rsid w:val="0B95124F"/>
    <w:rsid w:val="0BBD1D37"/>
    <w:rsid w:val="0BC56F5F"/>
    <w:rsid w:val="0BDB3721"/>
    <w:rsid w:val="0C073E59"/>
    <w:rsid w:val="0C314090"/>
    <w:rsid w:val="0C51682D"/>
    <w:rsid w:val="0CB27CB2"/>
    <w:rsid w:val="0CB3217A"/>
    <w:rsid w:val="0CD10852"/>
    <w:rsid w:val="0D2336F8"/>
    <w:rsid w:val="0D8D2D08"/>
    <w:rsid w:val="0DAD7D0E"/>
    <w:rsid w:val="0E0D0C45"/>
    <w:rsid w:val="0E236A3E"/>
    <w:rsid w:val="0E3E5A73"/>
    <w:rsid w:val="0E740F48"/>
    <w:rsid w:val="0E9B5403"/>
    <w:rsid w:val="0EA37FCC"/>
    <w:rsid w:val="0F3048C7"/>
    <w:rsid w:val="0FD51371"/>
    <w:rsid w:val="0FDB4A43"/>
    <w:rsid w:val="0FDE3679"/>
    <w:rsid w:val="0FDF3286"/>
    <w:rsid w:val="10635C65"/>
    <w:rsid w:val="107D339A"/>
    <w:rsid w:val="10961B97"/>
    <w:rsid w:val="10AD2295"/>
    <w:rsid w:val="11060FEB"/>
    <w:rsid w:val="11332C1D"/>
    <w:rsid w:val="11424B3C"/>
    <w:rsid w:val="115434A7"/>
    <w:rsid w:val="1186164E"/>
    <w:rsid w:val="11893269"/>
    <w:rsid w:val="11DA6313"/>
    <w:rsid w:val="11F67716"/>
    <w:rsid w:val="120C6381"/>
    <w:rsid w:val="120E6D62"/>
    <w:rsid w:val="12263756"/>
    <w:rsid w:val="129C0FBA"/>
    <w:rsid w:val="12BC3060"/>
    <w:rsid w:val="12CF1390"/>
    <w:rsid w:val="12EA61CA"/>
    <w:rsid w:val="12EB7263"/>
    <w:rsid w:val="12F42BA4"/>
    <w:rsid w:val="13270D7A"/>
    <w:rsid w:val="13352C8C"/>
    <w:rsid w:val="134B775D"/>
    <w:rsid w:val="134E01D7"/>
    <w:rsid w:val="13584DCD"/>
    <w:rsid w:val="13624C7F"/>
    <w:rsid w:val="136B4AD7"/>
    <w:rsid w:val="137E3987"/>
    <w:rsid w:val="1382238D"/>
    <w:rsid w:val="13B25860"/>
    <w:rsid w:val="13DB2AF9"/>
    <w:rsid w:val="141B1331"/>
    <w:rsid w:val="14324EA6"/>
    <w:rsid w:val="143809CF"/>
    <w:rsid w:val="14565BE9"/>
    <w:rsid w:val="1457366A"/>
    <w:rsid w:val="145D1E98"/>
    <w:rsid w:val="147C1835"/>
    <w:rsid w:val="147C5E29"/>
    <w:rsid w:val="14D54096"/>
    <w:rsid w:val="14DD044C"/>
    <w:rsid w:val="14DD31E2"/>
    <w:rsid w:val="15142B24"/>
    <w:rsid w:val="153C0833"/>
    <w:rsid w:val="15BA2D4A"/>
    <w:rsid w:val="15D62A35"/>
    <w:rsid w:val="15E74C42"/>
    <w:rsid w:val="16315EBE"/>
    <w:rsid w:val="163341DB"/>
    <w:rsid w:val="168F1DFA"/>
    <w:rsid w:val="16A77525"/>
    <w:rsid w:val="16A9400E"/>
    <w:rsid w:val="16D276A1"/>
    <w:rsid w:val="16D30CDD"/>
    <w:rsid w:val="17156845"/>
    <w:rsid w:val="171928BE"/>
    <w:rsid w:val="173E6AE4"/>
    <w:rsid w:val="174723F2"/>
    <w:rsid w:val="174943E9"/>
    <w:rsid w:val="1757657C"/>
    <w:rsid w:val="176519FD"/>
    <w:rsid w:val="176F167E"/>
    <w:rsid w:val="17814E1C"/>
    <w:rsid w:val="17932850"/>
    <w:rsid w:val="17C41659"/>
    <w:rsid w:val="17D849D6"/>
    <w:rsid w:val="17FC687C"/>
    <w:rsid w:val="180E527E"/>
    <w:rsid w:val="18184694"/>
    <w:rsid w:val="182B30B6"/>
    <w:rsid w:val="182C673E"/>
    <w:rsid w:val="18C313DF"/>
    <w:rsid w:val="18EE0BF6"/>
    <w:rsid w:val="19131D2F"/>
    <w:rsid w:val="192405E7"/>
    <w:rsid w:val="195C76F5"/>
    <w:rsid w:val="19600305"/>
    <w:rsid w:val="19714CB9"/>
    <w:rsid w:val="19753246"/>
    <w:rsid w:val="19923A79"/>
    <w:rsid w:val="19CC2CC4"/>
    <w:rsid w:val="1A142085"/>
    <w:rsid w:val="1A2C3DD7"/>
    <w:rsid w:val="1A606D71"/>
    <w:rsid w:val="1A6B245E"/>
    <w:rsid w:val="1A7E2606"/>
    <w:rsid w:val="1AAA4EE5"/>
    <w:rsid w:val="1AAE5A45"/>
    <w:rsid w:val="1AAF59FC"/>
    <w:rsid w:val="1AB10FB0"/>
    <w:rsid w:val="1AD5150D"/>
    <w:rsid w:val="1AEB1A05"/>
    <w:rsid w:val="1AEB5F51"/>
    <w:rsid w:val="1B205A92"/>
    <w:rsid w:val="1B31572D"/>
    <w:rsid w:val="1B494FD0"/>
    <w:rsid w:val="1B6C5B53"/>
    <w:rsid w:val="1C3310A9"/>
    <w:rsid w:val="1D2F77CB"/>
    <w:rsid w:val="1D40117C"/>
    <w:rsid w:val="1D785B20"/>
    <w:rsid w:val="1D8760B4"/>
    <w:rsid w:val="1DA805C1"/>
    <w:rsid w:val="1DB00010"/>
    <w:rsid w:val="1DB72D4D"/>
    <w:rsid w:val="1DD469C9"/>
    <w:rsid w:val="1DDF5840"/>
    <w:rsid w:val="1DFD14A7"/>
    <w:rsid w:val="1E033CFE"/>
    <w:rsid w:val="1E2F53D8"/>
    <w:rsid w:val="1E4E1D03"/>
    <w:rsid w:val="1E562965"/>
    <w:rsid w:val="1E566E09"/>
    <w:rsid w:val="1E960FB4"/>
    <w:rsid w:val="1E966DAA"/>
    <w:rsid w:val="1EB83620"/>
    <w:rsid w:val="1ECE4BF1"/>
    <w:rsid w:val="1ED84278"/>
    <w:rsid w:val="1ED97BFC"/>
    <w:rsid w:val="1EE12082"/>
    <w:rsid w:val="1EE73B09"/>
    <w:rsid w:val="1F0C23CC"/>
    <w:rsid w:val="1F1545CE"/>
    <w:rsid w:val="1F2C1918"/>
    <w:rsid w:val="1F316326"/>
    <w:rsid w:val="1F5D4A06"/>
    <w:rsid w:val="1F964F4E"/>
    <w:rsid w:val="1F9A2D26"/>
    <w:rsid w:val="1F9F6536"/>
    <w:rsid w:val="1FB92045"/>
    <w:rsid w:val="1FBF7492"/>
    <w:rsid w:val="1FE87E47"/>
    <w:rsid w:val="1FF42436"/>
    <w:rsid w:val="1FF53618"/>
    <w:rsid w:val="20215745"/>
    <w:rsid w:val="203647FC"/>
    <w:rsid w:val="205A5529"/>
    <w:rsid w:val="20631369"/>
    <w:rsid w:val="207B66B3"/>
    <w:rsid w:val="20A0436C"/>
    <w:rsid w:val="20AE4DC8"/>
    <w:rsid w:val="20C20786"/>
    <w:rsid w:val="20C274CD"/>
    <w:rsid w:val="20C34F92"/>
    <w:rsid w:val="20DD55C0"/>
    <w:rsid w:val="20EC75B1"/>
    <w:rsid w:val="21024A33"/>
    <w:rsid w:val="21224D81"/>
    <w:rsid w:val="2184139D"/>
    <w:rsid w:val="218F1C0A"/>
    <w:rsid w:val="21912162"/>
    <w:rsid w:val="2191233E"/>
    <w:rsid w:val="219A0DBB"/>
    <w:rsid w:val="21AB2FC8"/>
    <w:rsid w:val="21FB04CE"/>
    <w:rsid w:val="221F6235"/>
    <w:rsid w:val="224A27E1"/>
    <w:rsid w:val="225D2D35"/>
    <w:rsid w:val="226B066F"/>
    <w:rsid w:val="227A2080"/>
    <w:rsid w:val="22834430"/>
    <w:rsid w:val="22E10344"/>
    <w:rsid w:val="22E942A6"/>
    <w:rsid w:val="22EC3DDE"/>
    <w:rsid w:val="22F45DE8"/>
    <w:rsid w:val="22FF76A7"/>
    <w:rsid w:val="236E082B"/>
    <w:rsid w:val="237C10C0"/>
    <w:rsid w:val="237F64DC"/>
    <w:rsid w:val="241A2A47"/>
    <w:rsid w:val="244C451B"/>
    <w:rsid w:val="24524D99"/>
    <w:rsid w:val="24A600AD"/>
    <w:rsid w:val="24AB7DB8"/>
    <w:rsid w:val="24C21763"/>
    <w:rsid w:val="24CD5D6E"/>
    <w:rsid w:val="25421E95"/>
    <w:rsid w:val="26091A0C"/>
    <w:rsid w:val="261F5032"/>
    <w:rsid w:val="2628108B"/>
    <w:rsid w:val="26431A21"/>
    <w:rsid w:val="26C239CA"/>
    <w:rsid w:val="26C90E2D"/>
    <w:rsid w:val="26D747CC"/>
    <w:rsid w:val="270B25DA"/>
    <w:rsid w:val="270F17A0"/>
    <w:rsid w:val="273705EE"/>
    <w:rsid w:val="27723A43"/>
    <w:rsid w:val="278542BB"/>
    <w:rsid w:val="27C460AB"/>
    <w:rsid w:val="27DA4607"/>
    <w:rsid w:val="27E06514"/>
    <w:rsid w:val="2827575A"/>
    <w:rsid w:val="28801A02"/>
    <w:rsid w:val="28902F18"/>
    <w:rsid w:val="28994B2A"/>
    <w:rsid w:val="28B46433"/>
    <w:rsid w:val="28CD560F"/>
    <w:rsid w:val="28ED0D31"/>
    <w:rsid w:val="29032BEF"/>
    <w:rsid w:val="2927562A"/>
    <w:rsid w:val="298A7967"/>
    <w:rsid w:val="29AC36EE"/>
    <w:rsid w:val="2A0B0AA8"/>
    <w:rsid w:val="2A1B0D71"/>
    <w:rsid w:val="2A4C7902"/>
    <w:rsid w:val="2A62490E"/>
    <w:rsid w:val="2A663F30"/>
    <w:rsid w:val="2A6A39E8"/>
    <w:rsid w:val="2AC670C5"/>
    <w:rsid w:val="2B2D01CF"/>
    <w:rsid w:val="2B4F2A6E"/>
    <w:rsid w:val="2B4F631D"/>
    <w:rsid w:val="2B7375A1"/>
    <w:rsid w:val="2B7D5B67"/>
    <w:rsid w:val="2BCA23E3"/>
    <w:rsid w:val="2BCB64B2"/>
    <w:rsid w:val="2BCD490E"/>
    <w:rsid w:val="2BD51A79"/>
    <w:rsid w:val="2BDB094E"/>
    <w:rsid w:val="2BDF04C0"/>
    <w:rsid w:val="2BE50244"/>
    <w:rsid w:val="2BED6F1A"/>
    <w:rsid w:val="2C255C58"/>
    <w:rsid w:val="2C365B84"/>
    <w:rsid w:val="2C532B0F"/>
    <w:rsid w:val="2C6E29F7"/>
    <w:rsid w:val="2C931228"/>
    <w:rsid w:val="2CC41C04"/>
    <w:rsid w:val="2CF40263"/>
    <w:rsid w:val="2D48195B"/>
    <w:rsid w:val="2D7363DF"/>
    <w:rsid w:val="2D8C0151"/>
    <w:rsid w:val="2DDF2977"/>
    <w:rsid w:val="2E5642BC"/>
    <w:rsid w:val="2E7620ED"/>
    <w:rsid w:val="2ECD498D"/>
    <w:rsid w:val="2EE724DC"/>
    <w:rsid w:val="2EF51D26"/>
    <w:rsid w:val="2EF76C06"/>
    <w:rsid w:val="2F0D20DE"/>
    <w:rsid w:val="2F177EEF"/>
    <w:rsid w:val="2F5D30B3"/>
    <w:rsid w:val="2F7009B1"/>
    <w:rsid w:val="2F7964B4"/>
    <w:rsid w:val="2FA07728"/>
    <w:rsid w:val="2FB318C4"/>
    <w:rsid w:val="2FC002D5"/>
    <w:rsid w:val="2FCA419D"/>
    <w:rsid w:val="30083A5D"/>
    <w:rsid w:val="30162726"/>
    <w:rsid w:val="302E6AE1"/>
    <w:rsid w:val="30677FB8"/>
    <w:rsid w:val="306A6A79"/>
    <w:rsid w:val="309335A5"/>
    <w:rsid w:val="309537C1"/>
    <w:rsid w:val="30963B52"/>
    <w:rsid w:val="30BD0622"/>
    <w:rsid w:val="30E3277E"/>
    <w:rsid w:val="30E82380"/>
    <w:rsid w:val="31324444"/>
    <w:rsid w:val="31476967"/>
    <w:rsid w:val="315453F8"/>
    <w:rsid w:val="31653193"/>
    <w:rsid w:val="31973FCB"/>
    <w:rsid w:val="31C003CA"/>
    <w:rsid w:val="31D21342"/>
    <w:rsid w:val="31E21586"/>
    <w:rsid w:val="31FA6300"/>
    <w:rsid w:val="320E50AB"/>
    <w:rsid w:val="321118B3"/>
    <w:rsid w:val="32170A8D"/>
    <w:rsid w:val="32525BDF"/>
    <w:rsid w:val="32786E04"/>
    <w:rsid w:val="328B6984"/>
    <w:rsid w:val="32983FD4"/>
    <w:rsid w:val="32AF23C2"/>
    <w:rsid w:val="32DC4F67"/>
    <w:rsid w:val="32EE1A36"/>
    <w:rsid w:val="33723946"/>
    <w:rsid w:val="33BF4A72"/>
    <w:rsid w:val="33D7599C"/>
    <w:rsid w:val="342D1BFF"/>
    <w:rsid w:val="342F480F"/>
    <w:rsid w:val="343E26EE"/>
    <w:rsid w:val="344F3C87"/>
    <w:rsid w:val="3475581F"/>
    <w:rsid w:val="347E1DA2"/>
    <w:rsid w:val="349B682B"/>
    <w:rsid w:val="34B34830"/>
    <w:rsid w:val="34C649F1"/>
    <w:rsid w:val="34ED54E4"/>
    <w:rsid w:val="3503309E"/>
    <w:rsid w:val="35435064"/>
    <w:rsid w:val="35476E77"/>
    <w:rsid w:val="35802FB3"/>
    <w:rsid w:val="35A1628C"/>
    <w:rsid w:val="361707D4"/>
    <w:rsid w:val="3620672B"/>
    <w:rsid w:val="36250A64"/>
    <w:rsid w:val="365B1287"/>
    <w:rsid w:val="365C313C"/>
    <w:rsid w:val="36831F44"/>
    <w:rsid w:val="36A209E6"/>
    <w:rsid w:val="36BE109A"/>
    <w:rsid w:val="36E01197"/>
    <w:rsid w:val="36FA2163"/>
    <w:rsid w:val="37042CD1"/>
    <w:rsid w:val="37293B7E"/>
    <w:rsid w:val="375F2433"/>
    <w:rsid w:val="377B3D13"/>
    <w:rsid w:val="37A54EB9"/>
    <w:rsid w:val="37B86AAF"/>
    <w:rsid w:val="37BC7880"/>
    <w:rsid w:val="37C14982"/>
    <w:rsid w:val="37C44C8D"/>
    <w:rsid w:val="37DB3ACA"/>
    <w:rsid w:val="38082ACA"/>
    <w:rsid w:val="3810525E"/>
    <w:rsid w:val="381D6482"/>
    <w:rsid w:val="381E409C"/>
    <w:rsid w:val="38234CA6"/>
    <w:rsid w:val="383407C4"/>
    <w:rsid w:val="385E26EA"/>
    <w:rsid w:val="38684E80"/>
    <w:rsid w:val="3875617F"/>
    <w:rsid w:val="389573C2"/>
    <w:rsid w:val="38A00D60"/>
    <w:rsid w:val="38B52017"/>
    <w:rsid w:val="390521E1"/>
    <w:rsid w:val="390C65EA"/>
    <w:rsid w:val="39184F8F"/>
    <w:rsid w:val="39BC591B"/>
    <w:rsid w:val="39D24B04"/>
    <w:rsid w:val="39DF13C4"/>
    <w:rsid w:val="39E032E9"/>
    <w:rsid w:val="3A1E08C5"/>
    <w:rsid w:val="3A3A347C"/>
    <w:rsid w:val="3A6D1368"/>
    <w:rsid w:val="3A8332F9"/>
    <w:rsid w:val="3A914FF9"/>
    <w:rsid w:val="3AC94E98"/>
    <w:rsid w:val="3AD16E8E"/>
    <w:rsid w:val="3AD2258E"/>
    <w:rsid w:val="3AD62764"/>
    <w:rsid w:val="3AFA3A3A"/>
    <w:rsid w:val="3AFE1F63"/>
    <w:rsid w:val="3B035B6A"/>
    <w:rsid w:val="3B135B6F"/>
    <w:rsid w:val="3B2A71FC"/>
    <w:rsid w:val="3B455DE4"/>
    <w:rsid w:val="3B4B6B6F"/>
    <w:rsid w:val="3B4F1DA6"/>
    <w:rsid w:val="3B510544"/>
    <w:rsid w:val="3B6250F8"/>
    <w:rsid w:val="3B7003FD"/>
    <w:rsid w:val="3BAE7806"/>
    <w:rsid w:val="3BB16FD5"/>
    <w:rsid w:val="3BCF3DE2"/>
    <w:rsid w:val="3BFF5F92"/>
    <w:rsid w:val="3C022A83"/>
    <w:rsid w:val="3C342B36"/>
    <w:rsid w:val="3C3876DA"/>
    <w:rsid w:val="3C6E7B33"/>
    <w:rsid w:val="3C8F2735"/>
    <w:rsid w:val="3D697A4C"/>
    <w:rsid w:val="3DA637B6"/>
    <w:rsid w:val="3DC70DA6"/>
    <w:rsid w:val="3E4203B8"/>
    <w:rsid w:val="3E433531"/>
    <w:rsid w:val="3E524F05"/>
    <w:rsid w:val="3E8310FD"/>
    <w:rsid w:val="3E8D51C5"/>
    <w:rsid w:val="3E911ED8"/>
    <w:rsid w:val="3E9776C5"/>
    <w:rsid w:val="3E9B4698"/>
    <w:rsid w:val="3EF4070F"/>
    <w:rsid w:val="3F345912"/>
    <w:rsid w:val="3F456AA7"/>
    <w:rsid w:val="3F4A39C9"/>
    <w:rsid w:val="3FC76DC7"/>
    <w:rsid w:val="3FCC0881"/>
    <w:rsid w:val="3FE86074"/>
    <w:rsid w:val="404350E0"/>
    <w:rsid w:val="407549A4"/>
    <w:rsid w:val="40A33F45"/>
    <w:rsid w:val="40BE38AE"/>
    <w:rsid w:val="40E32281"/>
    <w:rsid w:val="413E57AF"/>
    <w:rsid w:val="414F176A"/>
    <w:rsid w:val="41694E7F"/>
    <w:rsid w:val="41AD3D25"/>
    <w:rsid w:val="41EC6FB9"/>
    <w:rsid w:val="42675C80"/>
    <w:rsid w:val="42857E42"/>
    <w:rsid w:val="429C3481"/>
    <w:rsid w:val="42AE426E"/>
    <w:rsid w:val="42F775E0"/>
    <w:rsid w:val="432934FC"/>
    <w:rsid w:val="433A3A5A"/>
    <w:rsid w:val="433B7B45"/>
    <w:rsid w:val="4346094B"/>
    <w:rsid w:val="43461DE8"/>
    <w:rsid w:val="43600284"/>
    <w:rsid w:val="43642BE7"/>
    <w:rsid w:val="43860D47"/>
    <w:rsid w:val="438F36C0"/>
    <w:rsid w:val="43943464"/>
    <w:rsid w:val="439D5CFD"/>
    <w:rsid w:val="442C26BD"/>
    <w:rsid w:val="44463ADF"/>
    <w:rsid w:val="447A4D50"/>
    <w:rsid w:val="44BA6EFA"/>
    <w:rsid w:val="44C70737"/>
    <w:rsid w:val="450862B9"/>
    <w:rsid w:val="452B429C"/>
    <w:rsid w:val="45442CA9"/>
    <w:rsid w:val="45525FCE"/>
    <w:rsid w:val="45AF7D25"/>
    <w:rsid w:val="45BA7421"/>
    <w:rsid w:val="45FA1F13"/>
    <w:rsid w:val="461036EB"/>
    <w:rsid w:val="4642740B"/>
    <w:rsid w:val="46603AD2"/>
    <w:rsid w:val="46621D09"/>
    <w:rsid w:val="466D2298"/>
    <w:rsid w:val="46896345"/>
    <w:rsid w:val="468F024E"/>
    <w:rsid w:val="46985A97"/>
    <w:rsid w:val="469F0A9E"/>
    <w:rsid w:val="46E23A2A"/>
    <w:rsid w:val="46E37CD8"/>
    <w:rsid w:val="47195F8F"/>
    <w:rsid w:val="47347438"/>
    <w:rsid w:val="475450F8"/>
    <w:rsid w:val="476C7959"/>
    <w:rsid w:val="4795557D"/>
    <w:rsid w:val="47A63299"/>
    <w:rsid w:val="47C737CE"/>
    <w:rsid w:val="4828256E"/>
    <w:rsid w:val="482E4477"/>
    <w:rsid w:val="48362D3C"/>
    <w:rsid w:val="48711FC6"/>
    <w:rsid w:val="487318F4"/>
    <w:rsid w:val="48E174F1"/>
    <w:rsid w:val="48F6071D"/>
    <w:rsid w:val="490E7AA5"/>
    <w:rsid w:val="494012EE"/>
    <w:rsid w:val="495C67D2"/>
    <w:rsid w:val="498948AA"/>
    <w:rsid w:val="49994D4E"/>
    <w:rsid w:val="49E04860"/>
    <w:rsid w:val="49F243DB"/>
    <w:rsid w:val="49FB156F"/>
    <w:rsid w:val="49FC5D5A"/>
    <w:rsid w:val="4A286E62"/>
    <w:rsid w:val="4A471230"/>
    <w:rsid w:val="4A780610"/>
    <w:rsid w:val="4A8E676D"/>
    <w:rsid w:val="4AC54194"/>
    <w:rsid w:val="4B0C433A"/>
    <w:rsid w:val="4B35476F"/>
    <w:rsid w:val="4B475260"/>
    <w:rsid w:val="4B5A07E8"/>
    <w:rsid w:val="4BA25344"/>
    <w:rsid w:val="4BDA4326"/>
    <w:rsid w:val="4BEB36BA"/>
    <w:rsid w:val="4BEF33B4"/>
    <w:rsid w:val="4C2F38A5"/>
    <w:rsid w:val="4C320988"/>
    <w:rsid w:val="4C331F8F"/>
    <w:rsid w:val="4C54044A"/>
    <w:rsid w:val="4C7306FC"/>
    <w:rsid w:val="4C7C5EF5"/>
    <w:rsid w:val="4CB57E51"/>
    <w:rsid w:val="4CEE0B24"/>
    <w:rsid w:val="4CF514BF"/>
    <w:rsid w:val="4D000C8D"/>
    <w:rsid w:val="4D0F7FFF"/>
    <w:rsid w:val="4D1717E9"/>
    <w:rsid w:val="4D287306"/>
    <w:rsid w:val="4D3B2BA3"/>
    <w:rsid w:val="4D9E3AFA"/>
    <w:rsid w:val="4DC12B9F"/>
    <w:rsid w:val="4E233D62"/>
    <w:rsid w:val="4E962786"/>
    <w:rsid w:val="4ECF2AD4"/>
    <w:rsid w:val="4F195165"/>
    <w:rsid w:val="4F273FBE"/>
    <w:rsid w:val="4F2C6C47"/>
    <w:rsid w:val="4F2F65F9"/>
    <w:rsid w:val="4F31194C"/>
    <w:rsid w:val="4F506DD9"/>
    <w:rsid w:val="4F602AB3"/>
    <w:rsid w:val="4F6C34E7"/>
    <w:rsid w:val="500D6ABF"/>
    <w:rsid w:val="501C315F"/>
    <w:rsid w:val="502B5150"/>
    <w:rsid w:val="506505B6"/>
    <w:rsid w:val="5082298F"/>
    <w:rsid w:val="508A631B"/>
    <w:rsid w:val="50A867A1"/>
    <w:rsid w:val="50C231AF"/>
    <w:rsid w:val="50C64E79"/>
    <w:rsid w:val="51121E6C"/>
    <w:rsid w:val="5145397C"/>
    <w:rsid w:val="51C714B0"/>
    <w:rsid w:val="52085A22"/>
    <w:rsid w:val="52242D7E"/>
    <w:rsid w:val="52255532"/>
    <w:rsid w:val="52545EA1"/>
    <w:rsid w:val="527313D2"/>
    <w:rsid w:val="52A5133D"/>
    <w:rsid w:val="52AE4A26"/>
    <w:rsid w:val="52BA6550"/>
    <w:rsid w:val="52C36E5D"/>
    <w:rsid w:val="52D518F2"/>
    <w:rsid w:val="52F413F9"/>
    <w:rsid w:val="53162A7A"/>
    <w:rsid w:val="53466052"/>
    <w:rsid w:val="53693E4A"/>
    <w:rsid w:val="5393682D"/>
    <w:rsid w:val="53BF72F1"/>
    <w:rsid w:val="53C77F81"/>
    <w:rsid w:val="54013AED"/>
    <w:rsid w:val="542D56BA"/>
    <w:rsid w:val="54405E87"/>
    <w:rsid w:val="545C37CE"/>
    <w:rsid w:val="548825BE"/>
    <w:rsid w:val="548E488F"/>
    <w:rsid w:val="54AC0E74"/>
    <w:rsid w:val="54C10E48"/>
    <w:rsid w:val="54F3048A"/>
    <w:rsid w:val="55024FEE"/>
    <w:rsid w:val="557B1FBF"/>
    <w:rsid w:val="55910872"/>
    <w:rsid w:val="55C8213D"/>
    <w:rsid w:val="55D97B52"/>
    <w:rsid w:val="5624334F"/>
    <w:rsid w:val="56890087"/>
    <w:rsid w:val="56941399"/>
    <w:rsid w:val="56FE35BF"/>
    <w:rsid w:val="5704401B"/>
    <w:rsid w:val="575F7ED8"/>
    <w:rsid w:val="580D12D8"/>
    <w:rsid w:val="580F0E14"/>
    <w:rsid w:val="58175C92"/>
    <w:rsid w:val="582E1C82"/>
    <w:rsid w:val="583A640D"/>
    <w:rsid w:val="5855257E"/>
    <w:rsid w:val="58650B29"/>
    <w:rsid w:val="58907EDA"/>
    <w:rsid w:val="59142B31"/>
    <w:rsid w:val="592A00D8"/>
    <w:rsid w:val="59594278"/>
    <w:rsid w:val="595B7AB0"/>
    <w:rsid w:val="596040BD"/>
    <w:rsid w:val="59965D30"/>
    <w:rsid w:val="59C832BE"/>
    <w:rsid w:val="5A3D2DC3"/>
    <w:rsid w:val="5A5F5106"/>
    <w:rsid w:val="5A6951E1"/>
    <w:rsid w:val="5A6F70EB"/>
    <w:rsid w:val="5A8C2C8F"/>
    <w:rsid w:val="5ACB5EC5"/>
    <w:rsid w:val="5ADD34EB"/>
    <w:rsid w:val="5AF54CD9"/>
    <w:rsid w:val="5B0A558E"/>
    <w:rsid w:val="5B327420"/>
    <w:rsid w:val="5B45438C"/>
    <w:rsid w:val="5B5B06A3"/>
    <w:rsid w:val="5BAB33C9"/>
    <w:rsid w:val="5BDB7642"/>
    <w:rsid w:val="5C000D60"/>
    <w:rsid w:val="5C0564B8"/>
    <w:rsid w:val="5C1C1980"/>
    <w:rsid w:val="5C4202EB"/>
    <w:rsid w:val="5C487FF6"/>
    <w:rsid w:val="5C751D60"/>
    <w:rsid w:val="5C7B2FBB"/>
    <w:rsid w:val="5C9003EA"/>
    <w:rsid w:val="5CAF45D9"/>
    <w:rsid w:val="5CB8263D"/>
    <w:rsid w:val="5D09221E"/>
    <w:rsid w:val="5D494E95"/>
    <w:rsid w:val="5D525F29"/>
    <w:rsid w:val="5D704AEA"/>
    <w:rsid w:val="5DB56F1E"/>
    <w:rsid w:val="5DC32AF4"/>
    <w:rsid w:val="5DEB6E57"/>
    <w:rsid w:val="5E565A8E"/>
    <w:rsid w:val="5E5A675C"/>
    <w:rsid w:val="5E5F0DE7"/>
    <w:rsid w:val="5E7A598C"/>
    <w:rsid w:val="5E9F7C10"/>
    <w:rsid w:val="5EA41431"/>
    <w:rsid w:val="5EAF73F9"/>
    <w:rsid w:val="5ED715A9"/>
    <w:rsid w:val="5EF44A8D"/>
    <w:rsid w:val="5F3673C4"/>
    <w:rsid w:val="5F3B0796"/>
    <w:rsid w:val="5F463DDB"/>
    <w:rsid w:val="5F4D6FE9"/>
    <w:rsid w:val="5F563F98"/>
    <w:rsid w:val="5FB33FD2"/>
    <w:rsid w:val="5FBE1B5B"/>
    <w:rsid w:val="600D4872"/>
    <w:rsid w:val="602F47E9"/>
    <w:rsid w:val="604B0B39"/>
    <w:rsid w:val="607C288E"/>
    <w:rsid w:val="60A26D69"/>
    <w:rsid w:val="60C95C15"/>
    <w:rsid w:val="60DC2E87"/>
    <w:rsid w:val="61334426"/>
    <w:rsid w:val="61351088"/>
    <w:rsid w:val="61E53D27"/>
    <w:rsid w:val="622C0E17"/>
    <w:rsid w:val="62605093"/>
    <w:rsid w:val="62695C01"/>
    <w:rsid w:val="6270212A"/>
    <w:rsid w:val="62775FD3"/>
    <w:rsid w:val="627E3805"/>
    <w:rsid w:val="62805827"/>
    <w:rsid w:val="62EC6490"/>
    <w:rsid w:val="639D41AF"/>
    <w:rsid w:val="63D01E3F"/>
    <w:rsid w:val="63E43B3C"/>
    <w:rsid w:val="640E4535"/>
    <w:rsid w:val="643A375C"/>
    <w:rsid w:val="64466AD2"/>
    <w:rsid w:val="644D74F4"/>
    <w:rsid w:val="64665A47"/>
    <w:rsid w:val="646F78AA"/>
    <w:rsid w:val="6482678D"/>
    <w:rsid w:val="64AA5237"/>
    <w:rsid w:val="65253FDA"/>
    <w:rsid w:val="65300472"/>
    <w:rsid w:val="65347A1E"/>
    <w:rsid w:val="65452F82"/>
    <w:rsid w:val="65546A82"/>
    <w:rsid w:val="655F1622"/>
    <w:rsid w:val="6560518B"/>
    <w:rsid w:val="65A11F4C"/>
    <w:rsid w:val="65B221E6"/>
    <w:rsid w:val="65DA79A0"/>
    <w:rsid w:val="65DB0E2C"/>
    <w:rsid w:val="6632293D"/>
    <w:rsid w:val="664A365E"/>
    <w:rsid w:val="669D4225"/>
    <w:rsid w:val="66D47E98"/>
    <w:rsid w:val="672158C0"/>
    <w:rsid w:val="677B0314"/>
    <w:rsid w:val="677F6F74"/>
    <w:rsid w:val="67CA2A68"/>
    <w:rsid w:val="67DB2AF0"/>
    <w:rsid w:val="68A11FFC"/>
    <w:rsid w:val="693105D7"/>
    <w:rsid w:val="69386092"/>
    <w:rsid w:val="695119B2"/>
    <w:rsid w:val="69584DB0"/>
    <w:rsid w:val="69840267"/>
    <w:rsid w:val="69A407A8"/>
    <w:rsid w:val="69BF6BDD"/>
    <w:rsid w:val="69D31EB9"/>
    <w:rsid w:val="69D83EDA"/>
    <w:rsid w:val="6A192046"/>
    <w:rsid w:val="6A306175"/>
    <w:rsid w:val="6A526EE5"/>
    <w:rsid w:val="6AA560DB"/>
    <w:rsid w:val="6B0B1A2E"/>
    <w:rsid w:val="6B3F6B9E"/>
    <w:rsid w:val="6B9D2F4E"/>
    <w:rsid w:val="6BA02A3F"/>
    <w:rsid w:val="6BA03046"/>
    <w:rsid w:val="6BC7249D"/>
    <w:rsid w:val="6BD04C6F"/>
    <w:rsid w:val="6BDC20C6"/>
    <w:rsid w:val="6BEB329A"/>
    <w:rsid w:val="6BF86C35"/>
    <w:rsid w:val="6C166F5C"/>
    <w:rsid w:val="6C1D5E3D"/>
    <w:rsid w:val="6C1E448D"/>
    <w:rsid w:val="6C783074"/>
    <w:rsid w:val="6C9500C9"/>
    <w:rsid w:val="6C9F05FC"/>
    <w:rsid w:val="6CCD7110"/>
    <w:rsid w:val="6CFA617E"/>
    <w:rsid w:val="6D2D0302"/>
    <w:rsid w:val="6D760823"/>
    <w:rsid w:val="6D806BB4"/>
    <w:rsid w:val="6D894A65"/>
    <w:rsid w:val="6DD50E85"/>
    <w:rsid w:val="6DDD3F44"/>
    <w:rsid w:val="6DF10A88"/>
    <w:rsid w:val="6DF47A72"/>
    <w:rsid w:val="6DF76D93"/>
    <w:rsid w:val="6E2E1E7D"/>
    <w:rsid w:val="6E737672"/>
    <w:rsid w:val="6EA5282A"/>
    <w:rsid w:val="6EB04D47"/>
    <w:rsid w:val="6EC425A0"/>
    <w:rsid w:val="6EDD2A32"/>
    <w:rsid w:val="6F593630"/>
    <w:rsid w:val="6F620721"/>
    <w:rsid w:val="6F7076E4"/>
    <w:rsid w:val="6F9D176F"/>
    <w:rsid w:val="6FB04A89"/>
    <w:rsid w:val="6FCA78EF"/>
    <w:rsid w:val="6FE864B6"/>
    <w:rsid w:val="7040659E"/>
    <w:rsid w:val="704412F5"/>
    <w:rsid w:val="706A64A9"/>
    <w:rsid w:val="70CF2E0D"/>
    <w:rsid w:val="70F55BA8"/>
    <w:rsid w:val="70F57C3D"/>
    <w:rsid w:val="7148570A"/>
    <w:rsid w:val="714B6FA9"/>
    <w:rsid w:val="71551BD5"/>
    <w:rsid w:val="71785618"/>
    <w:rsid w:val="719173FA"/>
    <w:rsid w:val="71C63C72"/>
    <w:rsid w:val="71C965BE"/>
    <w:rsid w:val="727069B4"/>
    <w:rsid w:val="72AD133E"/>
    <w:rsid w:val="72F14A43"/>
    <w:rsid w:val="733E6754"/>
    <w:rsid w:val="734D525A"/>
    <w:rsid w:val="737D0B03"/>
    <w:rsid w:val="73BB0416"/>
    <w:rsid w:val="73D31E97"/>
    <w:rsid w:val="73E133AB"/>
    <w:rsid w:val="73E612C3"/>
    <w:rsid w:val="74674908"/>
    <w:rsid w:val="747D4685"/>
    <w:rsid w:val="74AF4CFD"/>
    <w:rsid w:val="7550560B"/>
    <w:rsid w:val="756845CD"/>
    <w:rsid w:val="757906F5"/>
    <w:rsid w:val="758E216C"/>
    <w:rsid w:val="762F1A8F"/>
    <w:rsid w:val="763A78B0"/>
    <w:rsid w:val="763C2FCD"/>
    <w:rsid w:val="7646191B"/>
    <w:rsid w:val="76705DCE"/>
    <w:rsid w:val="769E45BB"/>
    <w:rsid w:val="76D25BC0"/>
    <w:rsid w:val="77130569"/>
    <w:rsid w:val="77281135"/>
    <w:rsid w:val="77407237"/>
    <w:rsid w:val="7743475F"/>
    <w:rsid w:val="77503688"/>
    <w:rsid w:val="77F160D3"/>
    <w:rsid w:val="77F6629C"/>
    <w:rsid w:val="78212811"/>
    <w:rsid w:val="784D2C1B"/>
    <w:rsid w:val="78CC6C6A"/>
    <w:rsid w:val="79134850"/>
    <w:rsid w:val="791372BB"/>
    <w:rsid w:val="793D1D41"/>
    <w:rsid w:val="79B0623B"/>
    <w:rsid w:val="7A123748"/>
    <w:rsid w:val="7A2533FD"/>
    <w:rsid w:val="7A345D59"/>
    <w:rsid w:val="7A9E7923"/>
    <w:rsid w:val="7ADE32A3"/>
    <w:rsid w:val="7AEA32BE"/>
    <w:rsid w:val="7B2737E9"/>
    <w:rsid w:val="7B564EC8"/>
    <w:rsid w:val="7B5733E2"/>
    <w:rsid w:val="7B781151"/>
    <w:rsid w:val="7B9861E4"/>
    <w:rsid w:val="7BC57958"/>
    <w:rsid w:val="7BDF0A19"/>
    <w:rsid w:val="7C047802"/>
    <w:rsid w:val="7C0A3603"/>
    <w:rsid w:val="7C0B180E"/>
    <w:rsid w:val="7C3A18F2"/>
    <w:rsid w:val="7C3F770A"/>
    <w:rsid w:val="7C60423E"/>
    <w:rsid w:val="7C741AA9"/>
    <w:rsid w:val="7C7554D3"/>
    <w:rsid w:val="7CA659DB"/>
    <w:rsid w:val="7CB67C2D"/>
    <w:rsid w:val="7D7A0E23"/>
    <w:rsid w:val="7DDE371C"/>
    <w:rsid w:val="7E245210"/>
    <w:rsid w:val="7E345FE1"/>
    <w:rsid w:val="7E3B3A15"/>
    <w:rsid w:val="7E621509"/>
    <w:rsid w:val="7E7B38B3"/>
    <w:rsid w:val="7E9868C2"/>
    <w:rsid w:val="7F2A14D1"/>
    <w:rsid w:val="7F4852A7"/>
    <w:rsid w:val="7F614579"/>
    <w:rsid w:val="7F972282"/>
    <w:rsid w:val="7F9D1EA4"/>
    <w:rsid w:val="7FC505D0"/>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iPriority="0" w:semiHidden="0" w:name="Normal Indent"/>
    <w:lsdException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99"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ind w:firstLine="200" w:firstLineChars="200"/>
    </w:pPr>
    <w:rPr>
      <w:rFonts w:ascii="Times New Roman" w:hAnsi="Times New Roman" w:eastAsia="宋体" w:cs="Times New Roman"/>
      <w:kern w:val="2"/>
      <w:sz w:val="24"/>
      <w:szCs w:val="24"/>
      <w:lang w:val="en-US" w:eastAsia="zh-CN" w:bidi="ar-SA"/>
    </w:rPr>
  </w:style>
  <w:style w:type="paragraph" w:styleId="4">
    <w:name w:val="heading 1"/>
    <w:basedOn w:val="1"/>
    <w:next w:val="1"/>
    <w:link w:val="26"/>
    <w:qFormat/>
    <w:uiPriority w:val="0"/>
    <w:pPr>
      <w:keepNext/>
      <w:numPr>
        <w:ilvl w:val="0"/>
        <w:numId w:val="1"/>
      </w:numPr>
      <w:spacing w:beforeLines="100" w:afterLines="50"/>
      <w:outlineLvl w:val="0"/>
    </w:pPr>
    <w:rPr>
      <w:rFonts w:ascii="宋体" w:hAnsi="宋体"/>
      <w:b/>
      <w:bCs/>
      <w:kern w:val="24"/>
      <w:sz w:val="30"/>
      <w:u w:color="000000"/>
    </w:rPr>
  </w:style>
  <w:style w:type="paragraph" w:styleId="5">
    <w:name w:val="heading 2"/>
    <w:basedOn w:val="1"/>
    <w:next w:val="6"/>
    <w:qFormat/>
    <w:uiPriority w:val="0"/>
    <w:pPr>
      <w:keepNext/>
      <w:keepLines/>
      <w:spacing w:before="260" w:beforeLines="0" w:after="260" w:afterLines="0" w:line="416" w:lineRule="auto"/>
      <w:outlineLvl w:val="1"/>
    </w:pPr>
    <w:rPr>
      <w:rFonts w:ascii="Cambria" w:hAnsi="Cambria"/>
      <w:b/>
      <w:bCs/>
      <w:sz w:val="30"/>
      <w:szCs w:val="32"/>
    </w:rPr>
  </w:style>
  <w:style w:type="paragraph" w:styleId="7">
    <w:name w:val="heading 3"/>
    <w:basedOn w:val="1"/>
    <w:next w:val="1"/>
    <w:semiHidden/>
    <w:unhideWhenUsed/>
    <w:qFormat/>
    <w:uiPriority w:val="9"/>
    <w:pPr>
      <w:spacing w:before="0" w:beforeAutospacing="1" w:after="0" w:afterAutospacing="1"/>
      <w:jc w:val="left"/>
    </w:pPr>
    <w:rPr>
      <w:rFonts w:hint="eastAsia" w:ascii="宋体" w:hAnsi="宋体" w:eastAsia="宋体" w:cs="宋体"/>
      <w:b/>
      <w:bCs/>
      <w:kern w:val="0"/>
      <w:sz w:val="27"/>
      <w:szCs w:val="27"/>
      <w:lang w:val="en-US" w:eastAsia="zh-CN" w:bidi="ar"/>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rPr>
      <w:kern w:val="0"/>
      <w:sz w:val="20"/>
    </w:rPr>
  </w:style>
  <w:style w:type="paragraph" w:styleId="3">
    <w:name w:val="Title"/>
    <w:basedOn w:val="1"/>
    <w:next w:val="1"/>
    <w:qFormat/>
    <w:uiPriority w:val="0"/>
    <w:pPr>
      <w:spacing w:before="240" w:after="60"/>
      <w:jc w:val="center"/>
      <w:outlineLvl w:val="0"/>
    </w:pPr>
    <w:rPr>
      <w:rFonts w:ascii="Cambria" w:hAnsi="Cambria"/>
      <w:b/>
      <w:bCs/>
      <w:sz w:val="32"/>
      <w:szCs w:val="32"/>
    </w:rPr>
  </w:style>
  <w:style w:type="paragraph" w:styleId="6">
    <w:name w:val="Normal Indent"/>
    <w:basedOn w:val="1"/>
    <w:unhideWhenUsed/>
    <w:qFormat/>
    <w:uiPriority w:val="0"/>
    <w:pPr>
      <w:ind w:firstLine="420" w:firstLineChars="200"/>
    </w:pPr>
  </w:style>
  <w:style w:type="paragraph" w:styleId="8">
    <w:name w:val="caption"/>
    <w:basedOn w:val="1"/>
    <w:next w:val="1"/>
    <w:unhideWhenUsed/>
    <w:qFormat/>
    <w:uiPriority w:val="35"/>
    <w:rPr>
      <w:rFonts w:eastAsia="黑体" w:asciiTheme="majorHAnsi" w:hAnsiTheme="majorHAnsi" w:cstheme="majorBidi"/>
      <w:sz w:val="20"/>
      <w:szCs w:val="20"/>
    </w:rPr>
  </w:style>
  <w:style w:type="paragraph" w:styleId="9">
    <w:name w:val="Document Map"/>
    <w:basedOn w:val="1"/>
    <w:qFormat/>
    <w:uiPriority w:val="0"/>
    <w:pPr>
      <w:shd w:val="clear" w:color="auto" w:fill="000080"/>
    </w:pPr>
  </w:style>
  <w:style w:type="paragraph" w:styleId="10">
    <w:name w:val="annotation text"/>
    <w:basedOn w:val="1"/>
    <w:link w:val="28"/>
    <w:qFormat/>
    <w:uiPriority w:val="0"/>
  </w:style>
  <w:style w:type="paragraph" w:styleId="11">
    <w:name w:val="Plain Text"/>
    <w:basedOn w:val="1"/>
    <w:qFormat/>
    <w:uiPriority w:val="99"/>
    <w:rPr>
      <w:rFonts w:ascii="宋体" w:hAnsi="Courier New" w:cs="Courier New"/>
      <w:szCs w:val="21"/>
    </w:rPr>
  </w:style>
  <w:style w:type="paragraph" w:styleId="12">
    <w:name w:val="Balloon Text"/>
    <w:basedOn w:val="1"/>
    <w:link w:val="29"/>
    <w:qFormat/>
    <w:uiPriority w:val="0"/>
    <w:rPr>
      <w:sz w:val="18"/>
      <w:szCs w:val="18"/>
    </w:rPr>
  </w:style>
  <w:style w:type="paragraph" w:styleId="13">
    <w:name w:val="footer"/>
    <w:basedOn w:val="1"/>
    <w:link w:val="25"/>
    <w:qFormat/>
    <w:uiPriority w:val="0"/>
    <w:pPr>
      <w:tabs>
        <w:tab w:val="center" w:pos="4153"/>
        <w:tab w:val="right" w:pos="8306"/>
      </w:tabs>
      <w:snapToGrid w:val="0"/>
    </w:pPr>
    <w:rPr>
      <w:sz w:val="18"/>
    </w:rPr>
  </w:style>
  <w:style w:type="paragraph" w:styleId="14">
    <w:name w:val="header"/>
    <w:basedOn w:val="1"/>
    <w:link w:val="27"/>
    <w:qFormat/>
    <w:uiPriority w:val="0"/>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pPr>
      <w:spacing w:line="240" w:lineRule="auto"/>
      <w:ind w:firstLine="0" w:firstLineChars="0"/>
    </w:pPr>
    <w:rPr>
      <w:sz w:val="21"/>
    </w:rPr>
  </w:style>
  <w:style w:type="paragraph" w:styleId="16">
    <w:name w:val="toc 2"/>
    <w:basedOn w:val="1"/>
    <w:next w:val="1"/>
    <w:unhideWhenUsed/>
    <w:qFormat/>
    <w:uiPriority w:val="39"/>
    <w:pPr>
      <w:widowControl/>
      <w:spacing w:after="100" w:line="259" w:lineRule="auto"/>
      <w:ind w:left="220"/>
    </w:pPr>
    <w:rPr>
      <w:kern w:val="0"/>
      <w:sz w:val="22"/>
    </w:rPr>
  </w:style>
  <w:style w:type="paragraph" w:styleId="17">
    <w:name w:val="annotation subject"/>
    <w:basedOn w:val="10"/>
    <w:next w:val="10"/>
    <w:link w:val="30"/>
    <w:qFormat/>
    <w:uiPriority w:val="0"/>
    <w:rPr>
      <w:b/>
      <w:bCs/>
    </w:rPr>
  </w:style>
  <w:style w:type="table" w:styleId="19">
    <w:name w:val="Table Grid"/>
    <w:basedOn w:val="18"/>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22"/>
    <w:rPr>
      <w:b/>
    </w:rPr>
  </w:style>
  <w:style w:type="character" w:styleId="22">
    <w:name w:val="page number"/>
    <w:semiHidden/>
    <w:qFormat/>
    <w:uiPriority w:val="0"/>
  </w:style>
  <w:style w:type="character" w:styleId="23">
    <w:name w:val="Hyperlink"/>
    <w:qFormat/>
    <w:uiPriority w:val="99"/>
    <w:rPr>
      <w:color w:val="0000FF"/>
      <w:u w:val="single"/>
    </w:rPr>
  </w:style>
  <w:style w:type="character" w:styleId="24">
    <w:name w:val="annotation reference"/>
    <w:qFormat/>
    <w:uiPriority w:val="0"/>
    <w:rPr>
      <w:sz w:val="21"/>
      <w:szCs w:val="21"/>
    </w:rPr>
  </w:style>
  <w:style w:type="character" w:customStyle="1" w:styleId="25">
    <w:name w:val="页脚 字符"/>
    <w:link w:val="13"/>
    <w:qFormat/>
    <w:uiPriority w:val="0"/>
    <w:rPr>
      <w:rFonts w:ascii="Times New Roman" w:hAnsi="Times New Roman" w:eastAsia="宋体" w:cs="Times New Roman"/>
      <w:sz w:val="18"/>
      <w:szCs w:val="24"/>
    </w:rPr>
  </w:style>
  <w:style w:type="character" w:customStyle="1" w:styleId="26">
    <w:name w:val="标题 1 字符"/>
    <w:link w:val="4"/>
    <w:qFormat/>
    <w:uiPriority w:val="0"/>
    <w:rPr>
      <w:rFonts w:ascii="宋体" w:hAnsi="宋体"/>
      <w:b/>
      <w:bCs/>
      <w:kern w:val="24"/>
      <w:sz w:val="30"/>
      <w:szCs w:val="24"/>
      <w:u w:color="000000"/>
    </w:rPr>
  </w:style>
  <w:style w:type="character" w:customStyle="1" w:styleId="27">
    <w:name w:val="页眉 字符"/>
    <w:link w:val="14"/>
    <w:qFormat/>
    <w:uiPriority w:val="0"/>
    <w:rPr>
      <w:rFonts w:ascii="Times New Roman" w:hAnsi="Times New Roman" w:eastAsia="宋体" w:cs="Times New Roman"/>
      <w:sz w:val="18"/>
      <w:szCs w:val="18"/>
    </w:rPr>
  </w:style>
  <w:style w:type="character" w:customStyle="1" w:styleId="28">
    <w:name w:val="批注文字 字符"/>
    <w:link w:val="10"/>
    <w:qFormat/>
    <w:uiPriority w:val="0"/>
    <w:rPr>
      <w:rFonts w:ascii="Times New Roman" w:hAnsi="Times New Roman"/>
      <w:kern w:val="2"/>
      <w:sz w:val="21"/>
      <w:szCs w:val="24"/>
    </w:rPr>
  </w:style>
  <w:style w:type="character" w:customStyle="1" w:styleId="29">
    <w:name w:val="批注框文本 字符"/>
    <w:link w:val="12"/>
    <w:qFormat/>
    <w:uiPriority w:val="0"/>
    <w:rPr>
      <w:rFonts w:ascii="Times New Roman" w:hAnsi="Times New Roman"/>
      <w:kern w:val="2"/>
      <w:sz w:val="18"/>
      <w:szCs w:val="18"/>
    </w:rPr>
  </w:style>
  <w:style w:type="character" w:customStyle="1" w:styleId="30">
    <w:name w:val="批注主题 字符"/>
    <w:link w:val="17"/>
    <w:qFormat/>
    <w:uiPriority w:val="0"/>
    <w:rPr>
      <w:rFonts w:ascii="Times New Roman" w:hAnsi="Times New Roman"/>
      <w:b/>
      <w:bCs/>
      <w:kern w:val="2"/>
      <w:sz w:val="21"/>
      <w:szCs w:val="24"/>
    </w:rPr>
  </w:style>
  <w:style w:type="paragraph" w:customStyle="1" w:styleId="31">
    <w:name w:val="修订1"/>
    <w:qFormat/>
    <w:uiPriority w:val="0"/>
    <w:rPr>
      <w:rFonts w:ascii="Times New Roman" w:hAnsi="Times New Roman" w:eastAsia="宋体" w:cs="Times New Roman"/>
      <w:kern w:val="2"/>
      <w:sz w:val="21"/>
      <w:szCs w:val="24"/>
      <w:lang w:val="en-US" w:eastAsia="zh-CN" w:bidi="ar-SA"/>
    </w:rPr>
  </w:style>
  <w:style w:type="paragraph" w:customStyle="1" w:styleId="32">
    <w:name w:val="ZHR标题2"/>
    <w:qFormat/>
    <w:uiPriority w:val="0"/>
    <w:pPr>
      <w:spacing w:beforeLines="50" w:afterLines="50" w:line="360" w:lineRule="auto"/>
      <w:outlineLvl w:val="1"/>
    </w:pPr>
    <w:rPr>
      <w:rFonts w:ascii="Times New Roman" w:hAnsi="Times New Roman" w:eastAsia="宋体" w:cs="Times New Roman"/>
      <w:b/>
      <w:kern w:val="2"/>
      <w:sz w:val="24"/>
      <w:szCs w:val="24"/>
      <w:lang w:val="en-US" w:eastAsia="zh-CN" w:bidi="ar-SA"/>
    </w:rPr>
  </w:style>
  <w:style w:type="paragraph" w:customStyle="1" w:styleId="33">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4">
    <w:name w:val="修订2"/>
    <w:hidden/>
    <w:unhideWhenUsed/>
    <w:qFormat/>
    <w:uiPriority w:val="99"/>
    <w:rPr>
      <w:rFonts w:ascii="Times New Roman" w:hAnsi="Times New Roman" w:eastAsia="宋体" w:cs="Times New Roman"/>
      <w:kern w:val="2"/>
      <w:sz w:val="24"/>
      <w:szCs w:val="24"/>
      <w:lang w:val="en-US" w:eastAsia="zh-CN" w:bidi="ar-SA"/>
    </w:rPr>
  </w:style>
  <w:style w:type="paragraph" w:customStyle="1" w:styleId="35">
    <w:name w:val="WPSOffice手动目录 1"/>
    <w:qFormat/>
    <w:uiPriority w:val="0"/>
    <w:rPr>
      <w:rFonts w:ascii="Times New Roman" w:hAnsi="Times New Roman" w:eastAsia="宋体" w:cs="Times New Roman"/>
      <w:lang w:val="en-US" w:eastAsia="zh-CN" w:bidi="ar-SA"/>
    </w:rPr>
  </w:style>
  <w:style w:type="paragraph" w:customStyle="1" w:styleId="36">
    <w:name w:val="Revision"/>
    <w:hidden/>
    <w:unhideWhenUsed/>
    <w:qFormat/>
    <w:uiPriority w:val="99"/>
    <w:rPr>
      <w:rFonts w:ascii="Times New Roman" w:hAnsi="Times New Roman" w:eastAsia="宋体" w:cs="Times New Roman"/>
      <w:kern w:val="2"/>
      <w:sz w:val="24"/>
      <w:szCs w:val="24"/>
      <w:lang w:val="en-US" w:eastAsia="zh-CN" w:bidi="ar-SA"/>
    </w:rPr>
  </w:style>
  <w:style w:type="paragraph" w:customStyle="1" w:styleId="37">
    <w:name w:val="段"/>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paragraph" w:customStyle="1" w:styleId="38">
    <w:name w:val="首行缩进"/>
    <w:basedOn w:val="1"/>
    <w:qFormat/>
    <w:uiPriority w:val="0"/>
    <w:pPr>
      <w:spacing w:line="300" w:lineRule="auto"/>
      <w:ind w:firstLine="420" w:firstLineChars="200"/>
    </w:pPr>
    <w:rPr>
      <w:rFonts w:eastAsia="方正书宋简体" w:cs="宋体"/>
      <w:kern w:val="2"/>
      <w:sz w:val="21"/>
      <w:lang w:val="en-US" w:eastAsia="zh-CN" w:bidi="ar-SA"/>
    </w:rPr>
  </w:style>
  <w:style w:type="paragraph" w:customStyle="1" w:styleId="39">
    <w:name w:val="正文首先缩进"/>
    <w:basedOn w:val="1"/>
    <w:qFormat/>
    <w:uiPriority w:val="0"/>
    <w:pPr>
      <w:spacing w:line="360" w:lineRule="auto"/>
      <w:ind w:firstLine="420" w:firstLineChars="200"/>
    </w:pPr>
  </w:style>
  <w:style w:type="paragraph" w:customStyle="1" w:styleId="40">
    <w:name w:val="Bg"/>
    <w:basedOn w:val="1"/>
    <w:qFormat/>
    <w:uiPriority w:val="0"/>
    <w:pPr>
      <w:topLinePunct/>
      <w:snapToGrid w:val="0"/>
      <w:spacing w:before="60" w:after="60"/>
      <w:contextualSpacing/>
      <w:jc w:val="center"/>
    </w:pPr>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footer" Target="footer7.xml"/><Relationship Id="rId17" Type="http://schemas.openxmlformats.org/officeDocument/2006/relationships/header" Target="header7.xml"/><Relationship Id="rId16" Type="http://schemas.openxmlformats.org/officeDocument/2006/relationships/footer" Target="footer6.xml"/><Relationship Id="rId15" Type="http://schemas.openxmlformats.org/officeDocument/2006/relationships/footer" Target="footer5.xml"/><Relationship Id="rId14" Type="http://schemas.openxmlformats.org/officeDocument/2006/relationships/footer" Target="footer4.xml"/><Relationship Id="rId13" Type="http://schemas.openxmlformats.org/officeDocument/2006/relationships/header" Target="head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EB3E7A-6C58-421D-A3C7-862D2BF5EF1F}">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9</Pages>
  <Words>9835</Words>
  <Characters>10821</Characters>
  <Lines>128</Lines>
  <Paragraphs>114</Paragraphs>
  <TotalTime>1</TotalTime>
  <ScaleCrop>false</ScaleCrop>
  <LinksUpToDate>false</LinksUpToDate>
  <CharactersWithSpaces>10963</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2025-03-19T16:10:00Z</dcterms:created>
  <dc:creator>Chen Xiangyu</dc:creator>
  <cp:lastModifiedBy>bsj_lijunyi</cp:lastModifiedBy>
  <cp:lastPrinted>2025-03-06T07:48:00Z</cp:lastPrinted>
  <dcterms:modified xsi:type="dcterms:W3CDTF">2026-06-25T08:13:14Z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FC23943281034425B39BA16B1270832C</vt:lpwstr>
  </property>
  <property fmtid="{D5CDD505-2E9C-101B-9397-08002B2CF9AE}" pid="4" name="KSOTemplateDocerSaveRecord">
    <vt:lpwstr>eyJoZGlkIjoiZjVhNGJiMWVmZTg4ZjFhYWZhYWFiMzBkODkwYWRkZmUiLCJ1c2VySWQiOiIyNjMwNzY1ODMifQ==</vt:lpwstr>
  </property>
</Properties>
</file>