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tabs>
          <w:tab w:val="left" w:pos="0"/>
        </w:tabs>
        <w:ind w:firstLine="480"/>
        <w:jc w:val="center"/>
        <w:rPr>
          <w:rFonts w:ascii="仿宋_GB2312"/>
        </w:rPr>
      </w:pPr>
      <w:bookmarkStart w:id="0" w:name="_Toc309593257"/>
      <w:bookmarkStart w:id="1" w:name="_Toc307577976"/>
      <w:bookmarkStart w:id="2" w:name="_Toc309593186"/>
      <w:bookmarkStart w:id="3" w:name="_Toc309805581"/>
    </w:p>
    <w:p>
      <w:pPr>
        <w:tabs>
          <w:tab w:val="left" w:pos="0"/>
        </w:tabs>
        <w:ind w:firstLine="1044"/>
        <w:jc w:val="center"/>
        <w:rPr>
          <w:rFonts w:ascii="仿宋_GB2312"/>
          <w:sz w:val="44"/>
        </w:rPr>
      </w:pPr>
    </w:p>
    <w:p>
      <w:pPr>
        <w:tabs>
          <w:tab w:val="left" w:pos="0"/>
        </w:tabs>
        <w:ind w:firstLine="964"/>
        <w:jc w:val="center"/>
        <w:rPr>
          <w:rFonts w:hint="eastAsia" w:ascii="宋体" w:hAnsi="宋体"/>
          <w:b/>
          <w:sz w:val="48"/>
          <w:szCs w:val="48"/>
        </w:rPr>
      </w:pPr>
    </w:p>
    <w:p>
      <w:pPr>
        <w:tabs>
          <w:tab w:val="left" w:pos="0"/>
        </w:tabs>
        <w:ind w:firstLine="964"/>
        <w:jc w:val="center"/>
        <w:rPr>
          <w:rFonts w:hint="eastAsia" w:ascii="宋体" w:hAnsi="宋体"/>
          <w:b/>
          <w:sz w:val="48"/>
          <w:szCs w:val="48"/>
        </w:rPr>
      </w:pPr>
    </w:p>
    <w:p>
      <w:pPr>
        <w:tabs>
          <w:tab w:val="left" w:pos="0"/>
        </w:tabs>
        <w:spacing w:line="240" w:lineRule="auto"/>
        <w:ind w:firstLine="964"/>
        <w:jc w:val="center"/>
        <w:rPr>
          <w:rFonts w:hint="eastAsia" w:ascii="宋体" w:hAnsi="宋体"/>
          <w:b/>
          <w:sz w:val="48"/>
          <w:szCs w:val="48"/>
        </w:rPr>
      </w:pPr>
    </w:p>
    <w:p>
      <w:pPr>
        <w:adjustRightInd w:val="0"/>
        <w:snapToGrid w:val="0"/>
        <w:ind w:firstLine="0" w:firstLineChars="0"/>
        <w:jc w:val="center"/>
        <w:rPr>
          <w:rFonts w:ascii="Calibri" w:hAnsi="Calibri" w:eastAsia="黑体"/>
          <w:b/>
          <w:sz w:val="52"/>
        </w:rPr>
      </w:pPr>
      <w:r>
        <w:rPr>
          <w:rFonts w:hint="eastAsia" w:ascii="Calibri" w:hAnsi="Calibri" w:eastAsia="黑体"/>
          <w:b/>
          <w:sz w:val="52"/>
          <w:lang w:val="en-US" w:eastAsia="zh-CN"/>
        </w:rPr>
        <w:t>南网超高压公司百色局2026年职创项目（基于AI视觉的输电线路综合智能激光驱鸟装置）技术规范书</w:t>
      </w:r>
    </w:p>
    <w:p>
      <w:pPr>
        <w:ind w:firstLine="600"/>
        <w:rPr>
          <w:sz w:val="30"/>
          <w:szCs w:val="30"/>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批准：</w:t>
      </w:r>
      <w:r>
        <w:rPr>
          <w:color w:val="000000" w:themeColor="text1"/>
          <w:sz w:val="30"/>
          <w:szCs w:val="30"/>
          <w14:textFill>
            <w14:solidFill>
              <w14:schemeClr w14:val="tx1"/>
            </w14:solidFill>
          </w14:textFill>
        </w:rPr>
        <w:t xml:space="preserve"> </w:t>
      </w:r>
    </w:p>
    <w:p>
      <w:pPr>
        <w:ind w:firstLine="1800" w:firstLineChars="600"/>
        <w:rPr>
          <w:color w:val="000000" w:themeColor="text1"/>
          <w:sz w:val="30"/>
          <w:szCs w:val="30"/>
          <w14:textFill>
            <w14:solidFill>
              <w14:schemeClr w14:val="tx1"/>
            </w14:solidFill>
          </w14:textFill>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审定：</w:t>
      </w:r>
    </w:p>
    <w:p>
      <w:pPr>
        <w:ind w:firstLine="1800" w:firstLineChars="600"/>
        <w:rPr>
          <w:color w:val="000000" w:themeColor="text1"/>
          <w:sz w:val="30"/>
          <w:szCs w:val="30"/>
          <w14:textFill>
            <w14:solidFill>
              <w14:schemeClr w14:val="tx1"/>
            </w14:solidFill>
          </w14:textFill>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审核：</w:t>
      </w:r>
      <w:r>
        <w:rPr>
          <w:color w:val="000000" w:themeColor="text1"/>
          <w:sz w:val="30"/>
          <w:szCs w:val="30"/>
          <w14:textFill>
            <w14:solidFill>
              <w14:schemeClr w14:val="tx1"/>
            </w14:solidFill>
          </w14:textFill>
        </w:rPr>
        <w:t xml:space="preserve"> </w:t>
      </w:r>
    </w:p>
    <w:p>
      <w:pPr>
        <w:ind w:firstLine="1800" w:firstLineChars="600"/>
        <w:rPr>
          <w:color w:val="000000" w:themeColor="text1"/>
          <w:sz w:val="30"/>
          <w:szCs w:val="30"/>
          <w14:textFill>
            <w14:solidFill>
              <w14:schemeClr w14:val="tx1"/>
            </w14:solidFill>
          </w14:textFill>
        </w:rPr>
      </w:pPr>
    </w:p>
    <w:p>
      <w:pPr>
        <w:adjustRightInd w:val="0"/>
        <w:snapToGrid w:val="0"/>
        <w:ind w:firstLine="1800" w:firstLineChars="600"/>
        <w:rPr>
          <w:sz w:val="28"/>
          <w:szCs w:val="36"/>
        </w:rPr>
      </w:pPr>
      <w:r>
        <w:rPr>
          <w:rFonts w:hint="eastAsia"/>
          <w:color w:val="000000" w:themeColor="text1"/>
          <w:sz w:val="30"/>
          <w:szCs w:val="30"/>
          <w14:textFill>
            <w14:solidFill>
              <w14:schemeClr w14:val="tx1"/>
            </w14:solidFill>
          </w14:textFill>
        </w:rPr>
        <w:t>编写：</w:t>
      </w:r>
    </w:p>
    <w:p>
      <w:pPr>
        <w:pStyle w:val="7"/>
        <w:rPr>
          <w:sz w:val="28"/>
          <w:szCs w:val="36"/>
        </w:rPr>
      </w:pPr>
    </w:p>
    <w:p>
      <w:pPr>
        <w:keepNext w:val="0"/>
        <w:keepLines w:val="0"/>
        <w:pageBreakBefore w:val="0"/>
        <w:widowControl w:val="0"/>
        <w:kinsoku/>
        <w:wordWrap/>
        <w:overflowPunct/>
        <w:topLinePunct w:val="0"/>
        <w:autoSpaceDE/>
        <w:autoSpaceDN/>
        <w:bidi w:val="0"/>
        <w:adjustRightInd/>
        <w:snapToGrid/>
        <w:ind w:firstLine="723"/>
        <w:jc w:val="center"/>
        <w:textAlignment w:val="auto"/>
        <w:outlineLvl w:val="9"/>
        <w:rPr>
          <w:rFonts w:hint="eastAsia" w:ascii="宋体" w:hAnsi="宋体"/>
          <w:b/>
          <w:color w:val="000000" w:themeColor="text1"/>
          <w:sz w:val="36"/>
          <w14:textFill>
            <w14:solidFill>
              <w14:schemeClr w14:val="tx1"/>
            </w14:solidFill>
          </w14:textFill>
        </w:rPr>
      </w:pPr>
      <w:bookmarkStart w:id="4" w:name="_Toc30053"/>
      <w:bookmarkStart w:id="5" w:name="_Toc218675718"/>
      <w:bookmarkStart w:id="6" w:name="_Toc19998"/>
      <w:r>
        <w:rPr>
          <w:rFonts w:hint="eastAsia" w:ascii="宋体" w:hAnsi="宋体"/>
          <w:b/>
          <w:color w:val="000000" w:themeColor="text1"/>
          <w:sz w:val="36"/>
          <w:highlight w:val="none"/>
          <w:lang w:val="en-US" w:eastAsia="zh-CN"/>
          <w14:textFill>
            <w14:solidFill>
              <w14:schemeClr w14:val="tx1"/>
            </w14:solidFill>
          </w14:textFill>
        </w:rPr>
        <w:t>南网</w:t>
      </w:r>
      <w:r>
        <w:rPr>
          <w:rFonts w:hint="eastAsia" w:ascii="宋体" w:hAnsi="宋体"/>
          <w:b/>
          <w:color w:val="000000" w:themeColor="text1"/>
          <w:sz w:val="36"/>
          <w:highlight w:val="none"/>
          <w14:textFill>
            <w14:solidFill>
              <w14:schemeClr w14:val="tx1"/>
            </w14:solidFill>
          </w14:textFill>
        </w:rPr>
        <w:t>超高压</w:t>
      </w:r>
      <w:r>
        <w:rPr>
          <w:rFonts w:hint="eastAsia" w:ascii="宋体" w:hAnsi="宋体"/>
          <w:b/>
          <w:color w:val="000000" w:themeColor="text1"/>
          <w:sz w:val="36"/>
          <w14:textFill>
            <w14:solidFill>
              <w14:schemeClr w14:val="tx1"/>
            </w14:solidFill>
          </w14:textFill>
        </w:rPr>
        <w:t>公司</w:t>
      </w:r>
      <w:bookmarkEnd w:id="4"/>
      <w:r>
        <w:rPr>
          <w:rFonts w:hint="eastAsia" w:ascii="宋体" w:hAnsi="宋体"/>
          <w:b/>
          <w:color w:val="000000" w:themeColor="text1"/>
          <w:sz w:val="36"/>
          <w14:textFill>
            <w14:solidFill>
              <w14:schemeClr w14:val="tx1"/>
            </w14:solidFill>
          </w14:textFill>
        </w:rPr>
        <w:t>百色局</w:t>
      </w:r>
      <w:bookmarkEnd w:id="5"/>
      <w:bookmarkEnd w:id="6"/>
    </w:p>
    <w:p>
      <w:pPr>
        <w:keepNext w:val="0"/>
        <w:keepLines w:val="0"/>
        <w:pageBreakBefore w:val="0"/>
        <w:widowControl w:val="0"/>
        <w:kinsoku/>
        <w:wordWrap/>
        <w:overflowPunct/>
        <w:topLinePunct w:val="0"/>
        <w:autoSpaceDE/>
        <w:autoSpaceDN/>
        <w:bidi w:val="0"/>
        <w:adjustRightInd/>
        <w:snapToGrid/>
        <w:ind w:firstLine="723"/>
        <w:jc w:val="center"/>
        <w:textAlignment w:val="auto"/>
        <w:outlineLvl w:val="9"/>
        <w:rPr>
          <w:rFonts w:hint="eastAsia" w:ascii="宋体" w:hAnsi="宋体"/>
          <w:b/>
          <w:sz w:val="36"/>
        </w:rPr>
      </w:pPr>
      <w:r>
        <w:rPr>
          <w:rFonts w:hint="eastAsia" w:ascii="宋体" w:hAnsi="宋体"/>
          <w:b/>
          <w:sz w:val="36"/>
        </w:rPr>
        <w:t>2026年</w:t>
      </w:r>
      <w:r>
        <w:rPr>
          <w:rFonts w:hint="eastAsia" w:ascii="宋体" w:hAnsi="宋体"/>
          <w:b/>
          <w:sz w:val="36"/>
          <w:lang w:val="en-US" w:eastAsia="zh-CN"/>
        </w:rPr>
        <w:t>6</w:t>
      </w:r>
      <w:r>
        <w:rPr>
          <w:rFonts w:hint="eastAsia" w:ascii="宋体" w:hAnsi="宋体"/>
          <w:b/>
          <w:sz w:val="36"/>
        </w:rPr>
        <w:t>月</w:t>
      </w:r>
    </w:p>
    <w:p>
      <w:pPr>
        <w:adjustRightInd w:val="0"/>
        <w:snapToGrid w:val="0"/>
        <w:ind w:firstLine="640"/>
        <w:jc w:val="center"/>
        <w:rPr>
          <w:rFonts w:hint="eastAsia" w:ascii="黑体" w:hAnsi="黑体" w:eastAsia="黑体" w:cs="黑体"/>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p>
      <w:pPr>
        <w:ind w:firstLine="0" w:firstLineChars="0"/>
        <w:jc w:val="center"/>
        <w:rPr>
          <w:rFonts w:hint="eastAsia" w:hAnsi="宋体"/>
          <w:b/>
          <w:spacing w:val="100"/>
          <w:sz w:val="32"/>
          <w:szCs w:val="30"/>
        </w:rPr>
      </w:pPr>
    </w:p>
    <w:p>
      <w:pPr>
        <w:spacing w:line="240" w:lineRule="auto"/>
        <w:ind w:firstLine="0" w:firstLineChars="0"/>
        <w:jc w:val="center"/>
        <w:rPr>
          <w:rFonts w:hint="eastAsia" w:hAnsi="宋体"/>
          <w:b/>
          <w:spacing w:val="100"/>
          <w:sz w:val="32"/>
          <w:szCs w:val="30"/>
        </w:rPr>
      </w:pPr>
      <w:r>
        <w:rPr>
          <w:rFonts w:hAnsi="宋体"/>
          <w:b/>
          <w:spacing w:val="100"/>
          <w:sz w:val="32"/>
          <w:szCs w:val="30"/>
        </w:rPr>
        <w:t>目录</w:t>
      </w:r>
    </w:p>
    <w:p>
      <w:pPr>
        <w:pStyle w:val="16"/>
        <w:tabs>
          <w:tab w:val="right" w:leader="dot" w:pos="8296"/>
        </w:tabs>
        <w:spacing w:line="360" w:lineRule="auto"/>
        <w:rPr>
          <w:rStyle w:val="24"/>
          <w:rFonts w:hint="eastAsia"/>
          <w:b/>
          <w:bCs/>
          <w:color w:val="000000" w:themeColor="text1"/>
          <w:highlight w:val="none"/>
          <w:lang w:val="en-US" w:eastAsia="zh-CN"/>
          <w14:textFill>
            <w14:solidFill>
              <w14:schemeClr w14:val="tx1"/>
            </w14:solidFill>
          </w14:textFill>
        </w:rPr>
      </w:pP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TOC \o "1-1" \h \u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HYPERLINK \l _Toc9520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1.总则</w:t>
      </w:r>
      <w:r>
        <w:rPr>
          <w:rStyle w:val="24"/>
          <w:rFonts w:hint="eastAsia"/>
          <w:b/>
          <w:bCs/>
          <w:color w:val="000000" w:themeColor="text1"/>
          <w:highlight w:val="none"/>
          <w:lang w:val="en-US" w:eastAsia="zh-CN"/>
          <w14:textFill>
            <w14:solidFill>
              <w14:schemeClr w14:val="tx1"/>
            </w14:solidFill>
          </w14:textFill>
        </w:rPr>
        <w:tab/>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PAGEREF _Toc9520 \h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1</w:t>
      </w:r>
      <w:r>
        <w:rPr>
          <w:rStyle w:val="24"/>
          <w:rFonts w:hint="eastAsia"/>
          <w:b/>
          <w:bCs/>
          <w:color w:val="000000" w:themeColor="text1"/>
          <w:highlight w:val="none"/>
          <w:lang w:val="en-US" w:eastAsia="zh-CN"/>
          <w14:textFill>
            <w14:solidFill>
              <w14:schemeClr w14:val="tx1"/>
            </w14:solidFill>
          </w14:textFill>
        </w:rPr>
        <w:fldChar w:fldCharType="end"/>
      </w:r>
      <w:r>
        <w:rPr>
          <w:rStyle w:val="24"/>
          <w:rFonts w:hint="eastAsia"/>
          <w:b/>
          <w:bCs/>
          <w:color w:val="000000" w:themeColor="text1"/>
          <w:highlight w:val="none"/>
          <w:lang w:val="en-US" w:eastAsia="zh-CN"/>
          <w14:textFill>
            <w14:solidFill>
              <w14:schemeClr w14:val="tx1"/>
            </w14:solidFill>
          </w14:textFill>
        </w:rPr>
        <w:fldChar w:fldCharType="end"/>
      </w:r>
    </w:p>
    <w:p>
      <w:pPr>
        <w:pStyle w:val="16"/>
        <w:tabs>
          <w:tab w:val="right" w:leader="dot" w:pos="8296"/>
        </w:tabs>
        <w:spacing w:line="360" w:lineRule="auto"/>
        <w:rPr>
          <w:rStyle w:val="24"/>
          <w:rFonts w:hint="eastAsia"/>
          <w:b/>
          <w:bCs/>
          <w:color w:val="000000" w:themeColor="text1"/>
          <w:highlight w:val="none"/>
          <w:lang w:val="en-US" w:eastAsia="zh-CN"/>
          <w14:textFill>
            <w14:solidFill>
              <w14:schemeClr w14:val="tx1"/>
            </w14:solidFill>
          </w14:textFill>
        </w:rPr>
      </w:pP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HYPERLINK \l _Toc5588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2.应遵循的主要标准</w:t>
      </w:r>
      <w:r>
        <w:rPr>
          <w:rStyle w:val="24"/>
          <w:rFonts w:hint="eastAsia"/>
          <w:b/>
          <w:bCs/>
          <w:color w:val="000000" w:themeColor="text1"/>
          <w:highlight w:val="none"/>
          <w:lang w:val="en-US" w:eastAsia="zh-CN"/>
          <w14:textFill>
            <w14:solidFill>
              <w14:schemeClr w14:val="tx1"/>
            </w14:solidFill>
          </w14:textFill>
        </w:rPr>
        <w:tab/>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PAGEREF _Toc5588 \h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1</w:t>
      </w:r>
      <w:r>
        <w:rPr>
          <w:rStyle w:val="24"/>
          <w:rFonts w:hint="eastAsia"/>
          <w:b/>
          <w:bCs/>
          <w:color w:val="000000" w:themeColor="text1"/>
          <w:highlight w:val="none"/>
          <w:lang w:val="en-US" w:eastAsia="zh-CN"/>
          <w14:textFill>
            <w14:solidFill>
              <w14:schemeClr w14:val="tx1"/>
            </w14:solidFill>
          </w14:textFill>
        </w:rPr>
        <w:fldChar w:fldCharType="end"/>
      </w:r>
      <w:r>
        <w:rPr>
          <w:rStyle w:val="24"/>
          <w:rFonts w:hint="eastAsia"/>
          <w:b/>
          <w:bCs/>
          <w:color w:val="000000" w:themeColor="text1"/>
          <w:highlight w:val="none"/>
          <w:lang w:val="en-US" w:eastAsia="zh-CN"/>
          <w14:textFill>
            <w14:solidFill>
              <w14:schemeClr w14:val="tx1"/>
            </w14:solidFill>
          </w14:textFill>
        </w:rPr>
        <w:fldChar w:fldCharType="end"/>
      </w:r>
    </w:p>
    <w:p>
      <w:pPr>
        <w:pStyle w:val="16"/>
        <w:tabs>
          <w:tab w:val="right" w:leader="dot" w:pos="8296"/>
        </w:tabs>
        <w:spacing w:line="360" w:lineRule="auto"/>
        <w:rPr>
          <w:rStyle w:val="24"/>
          <w:rFonts w:hint="eastAsia"/>
          <w:b/>
          <w:bCs/>
          <w:color w:val="000000" w:themeColor="text1"/>
          <w:highlight w:val="none"/>
          <w:lang w:val="en-US" w:eastAsia="zh-CN"/>
          <w14:textFill>
            <w14:solidFill>
              <w14:schemeClr w14:val="tx1"/>
            </w14:solidFill>
          </w14:textFill>
        </w:rPr>
      </w:pP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HYPERLINK \l _Toc16474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3.使用条件</w:t>
      </w:r>
      <w:r>
        <w:rPr>
          <w:rStyle w:val="24"/>
          <w:rFonts w:hint="eastAsia"/>
          <w:b/>
          <w:bCs/>
          <w:color w:val="000000" w:themeColor="text1"/>
          <w:highlight w:val="none"/>
          <w:lang w:val="en-US" w:eastAsia="zh-CN"/>
          <w14:textFill>
            <w14:solidFill>
              <w14:schemeClr w14:val="tx1"/>
            </w14:solidFill>
          </w14:textFill>
        </w:rPr>
        <w:tab/>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PAGEREF _Toc16474 \h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3</w:t>
      </w:r>
      <w:r>
        <w:rPr>
          <w:rStyle w:val="24"/>
          <w:rFonts w:hint="eastAsia"/>
          <w:b/>
          <w:bCs/>
          <w:color w:val="000000" w:themeColor="text1"/>
          <w:highlight w:val="none"/>
          <w:lang w:val="en-US" w:eastAsia="zh-CN"/>
          <w14:textFill>
            <w14:solidFill>
              <w14:schemeClr w14:val="tx1"/>
            </w14:solidFill>
          </w14:textFill>
        </w:rPr>
        <w:fldChar w:fldCharType="end"/>
      </w:r>
      <w:r>
        <w:rPr>
          <w:rStyle w:val="24"/>
          <w:rFonts w:hint="eastAsia"/>
          <w:b/>
          <w:bCs/>
          <w:color w:val="000000" w:themeColor="text1"/>
          <w:highlight w:val="none"/>
          <w:lang w:val="en-US" w:eastAsia="zh-CN"/>
          <w14:textFill>
            <w14:solidFill>
              <w14:schemeClr w14:val="tx1"/>
            </w14:solidFill>
          </w14:textFill>
        </w:rPr>
        <w:fldChar w:fldCharType="end"/>
      </w:r>
    </w:p>
    <w:p>
      <w:pPr>
        <w:pStyle w:val="16"/>
        <w:tabs>
          <w:tab w:val="right" w:leader="dot" w:pos="8296"/>
        </w:tabs>
        <w:spacing w:line="360" w:lineRule="auto"/>
        <w:rPr>
          <w:rStyle w:val="24"/>
          <w:rFonts w:hint="eastAsia"/>
          <w:b/>
          <w:bCs/>
          <w:color w:val="000000" w:themeColor="text1"/>
          <w:highlight w:val="none"/>
          <w:lang w:val="en-US" w:eastAsia="zh-CN"/>
          <w14:textFill>
            <w14:solidFill>
              <w14:schemeClr w14:val="tx1"/>
            </w14:solidFill>
          </w14:textFill>
        </w:rPr>
      </w:pP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HYPERLINK \l _Toc27043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4.制作原则</w:t>
      </w:r>
      <w:r>
        <w:rPr>
          <w:rStyle w:val="24"/>
          <w:rFonts w:hint="eastAsia"/>
          <w:b/>
          <w:bCs/>
          <w:color w:val="000000" w:themeColor="text1"/>
          <w:highlight w:val="none"/>
          <w:lang w:val="en-US" w:eastAsia="zh-CN"/>
          <w14:textFill>
            <w14:solidFill>
              <w14:schemeClr w14:val="tx1"/>
            </w14:solidFill>
          </w14:textFill>
        </w:rPr>
        <w:tab/>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PAGEREF _Toc27043 \h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4</w:t>
      </w:r>
      <w:r>
        <w:rPr>
          <w:rStyle w:val="24"/>
          <w:rFonts w:hint="eastAsia"/>
          <w:b/>
          <w:bCs/>
          <w:color w:val="000000" w:themeColor="text1"/>
          <w:highlight w:val="none"/>
          <w:lang w:val="en-US" w:eastAsia="zh-CN"/>
          <w14:textFill>
            <w14:solidFill>
              <w14:schemeClr w14:val="tx1"/>
            </w14:solidFill>
          </w14:textFill>
        </w:rPr>
        <w:fldChar w:fldCharType="end"/>
      </w:r>
      <w:r>
        <w:rPr>
          <w:rStyle w:val="24"/>
          <w:rFonts w:hint="eastAsia"/>
          <w:b/>
          <w:bCs/>
          <w:color w:val="000000" w:themeColor="text1"/>
          <w:highlight w:val="none"/>
          <w:lang w:val="en-US" w:eastAsia="zh-CN"/>
          <w14:textFill>
            <w14:solidFill>
              <w14:schemeClr w14:val="tx1"/>
            </w14:solidFill>
          </w14:textFill>
        </w:rPr>
        <w:fldChar w:fldCharType="end"/>
      </w:r>
    </w:p>
    <w:p>
      <w:pPr>
        <w:pStyle w:val="16"/>
        <w:tabs>
          <w:tab w:val="right" w:leader="dot" w:pos="8296"/>
        </w:tabs>
        <w:spacing w:line="360" w:lineRule="auto"/>
        <w:rPr>
          <w:rStyle w:val="24"/>
          <w:rFonts w:hint="eastAsia"/>
          <w:b/>
          <w:bCs/>
          <w:color w:val="000000" w:themeColor="text1"/>
          <w:highlight w:val="none"/>
          <w:lang w:val="en-US" w:eastAsia="zh-CN"/>
          <w14:textFill>
            <w14:solidFill>
              <w14:schemeClr w14:val="tx1"/>
            </w14:solidFill>
          </w14:textFill>
        </w:rPr>
      </w:pP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HYPERLINK \l _Toc22696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5.技术服务内容及方式</w:t>
      </w:r>
      <w:r>
        <w:rPr>
          <w:rStyle w:val="24"/>
          <w:rFonts w:hint="eastAsia"/>
          <w:b/>
          <w:bCs/>
          <w:color w:val="000000" w:themeColor="text1"/>
          <w:highlight w:val="none"/>
          <w:lang w:val="en-US" w:eastAsia="zh-CN"/>
          <w14:textFill>
            <w14:solidFill>
              <w14:schemeClr w14:val="tx1"/>
            </w14:solidFill>
          </w14:textFill>
        </w:rPr>
        <w:tab/>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PAGEREF _Toc22696 \h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5</w:t>
      </w:r>
      <w:r>
        <w:rPr>
          <w:rStyle w:val="24"/>
          <w:rFonts w:hint="eastAsia"/>
          <w:b/>
          <w:bCs/>
          <w:color w:val="000000" w:themeColor="text1"/>
          <w:highlight w:val="none"/>
          <w:lang w:val="en-US" w:eastAsia="zh-CN"/>
          <w14:textFill>
            <w14:solidFill>
              <w14:schemeClr w14:val="tx1"/>
            </w14:solidFill>
          </w14:textFill>
        </w:rPr>
        <w:fldChar w:fldCharType="end"/>
      </w:r>
      <w:r>
        <w:rPr>
          <w:rStyle w:val="24"/>
          <w:rFonts w:hint="eastAsia"/>
          <w:b/>
          <w:bCs/>
          <w:color w:val="000000" w:themeColor="text1"/>
          <w:highlight w:val="none"/>
          <w:lang w:val="en-US" w:eastAsia="zh-CN"/>
          <w14:textFill>
            <w14:solidFill>
              <w14:schemeClr w14:val="tx1"/>
            </w14:solidFill>
          </w14:textFill>
        </w:rPr>
        <w:fldChar w:fldCharType="end"/>
      </w:r>
    </w:p>
    <w:p>
      <w:pPr>
        <w:pStyle w:val="16"/>
        <w:tabs>
          <w:tab w:val="right" w:leader="dot" w:pos="8296"/>
        </w:tabs>
        <w:spacing w:line="360" w:lineRule="auto"/>
        <w:rPr>
          <w:rStyle w:val="24"/>
          <w:rFonts w:hint="eastAsia"/>
          <w:b/>
          <w:bCs/>
          <w:color w:val="000000" w:themeColor="text1"/>
          <w:highlight w:val="none"/>
          <w:lang w:val="en-US" w:eastAsia="zh-CN"/>
          <w14:textFill>
            <w14:solidFill>
              <w14:schemeClr w14:val="tx1"/>
            </w14:solidFill>
          </w14:textFill>
        </w:rPr>
      </w:pP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HYPERLINK \l _Toc23208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6.对投标方的要求</w:t>
      </w:r>
      <w:r>
        <w:rPr>
          <w:rStyle w:val="24"/>
          <w:rFonts w:hint="eastAsia"/>
          <w:b/>
          <w:bCs/>
          <w:color w:val="000000" w:themeColor="text1"/>
          <w:highlight w:val="none"/>
          <w:lang w:val="en-US" w:eastAsia="zh-CN"/>
          <w14:textFill>
            <w14:solidFill>
              <w14:schemeClr w14:val="tx1"/>
            </w14:solidFill>
          </w14:textFill>
        </w:rPr>
        <w:tab/>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PAGEREF _Toc23208 \h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9</w:t>
      </w:r>
      <w:r>
        <w:rPr>
          <w:rStyle w:val="24"/>
          <w:rFonts w:hint="eastAsia"/>
          <w:b/>
          <w:bCs/>
          <w:color w:val="000000" w:themeColor="text1"/>
          <w:highlight w:val="none"/>
          <w:lang w:val="en-US" w:eastAsia="zh-CN"/>
          <w14:textFill>
            <w14:solidFill>
              <w14:schemeClr w14:val="tx1"/>
            </w14:solidFill>
          </w14:textFill>
        </w:rPr>
        <w:fldChar w:fldCharType="end"/>
      </w:r>
      <w:r>
        <w:rPr>
          <w:rStyle w:val="24"/>
          <w:rFonts w:hint="eastAsia"/>
          <w:b/>
          <w:bCs/>
          <w:color w:val="000000" w:themeColor="text1"/>
          <w:highlight w:val="none"/>
          <w:lang w:val="en-US" w:eastAsia="zh-CN"/>
          <w14:textFill>
            <w14:solidFill>
              <w14:schemeClr w14:val="tx1"/>
            </w14:solidFill>
          </w14:textFill>
        </w:rPr>
        <w:fldChar w:fldCharType="end"/>
      </w:r>
    </w:p>
    <w:p>
      <w:pPr>
        <w:pStyle w:val="16"/>
        <w:tabs>
          <w:tab w:val="right" w:leader="dot" w:pos="8296"/>
        </w:tabs>
        <w:spacing w:line="360" w:lineRule="auto"/>
        <w:rPr>
          <w:rStyle w:val="24"/>
          <w:rFonts w:hint="eastAsia"/>
          <w:b/>
          <w:bCs/>
          <w:color w:val="000000" w:themeColor="text1"/>
          <w:highlight w:val="none"/>
          <w:lang w:val="en-US" w:eastAsia="zh-CN"/>
          <w14:textFill>
            <w14:solidFill>
              <w14:schemeClr w14:val="tx1"/>
            </w14:solidFill>
          </w14:textFill>
        </w:rPr>
      </w:pP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HYPERLINK \l _Toc30826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7.售后服务及其它服务要求</w:t>
      </w:r>
      <w:r>
        <w:rPr>
          <w:rStyle w:val="24"/>
          <w:rFonts w:hint="eastAsia"/>
          <w:b/>
          <w:bCs/>
          <w:color w:val="000000" w:themeColor="text1"/>
          <w:highlight w:val="none"/>
          <w:lang w:val="en-US" w:eastAsia="zh-CN"/>
          <w14:textFill>
            <w14:solidFill>
              <w14:schemeClr w14:val="tx1"/>
            </w14:solidFill>
          </w14:textFill>
        </w:rPr>
        <w:tab/>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PAGEREF _Toc30826 \h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11</w:t>
      </w:r>
      <w:r>
        <w:rPr>
          <w:rStyle w:val="24"/>
          <w:rFonts w:hint="eastAsia"/>
          <w:b/>
          <w:bCs/>
          <w:color w:val="000000" w:themeColor="text1"/>
          <w:highlight w:val="none"/>
          <w:lang w:val="en-US" w:eastAsia="zh-CN"/>
          <w14:textFill>
            <w14:solidFill>
              <w14:schemeClr w14:val="tx1"/>
            </w14:solidFill>
          </w14:textFill>
        </w:rPr>
        <w:fldChar w:fldCharType="end"/>
      </w:r>
      <w:r>
        <w:rPr>
          <w:rStyle w:val="24"/>
          <w:rFonts w:hint="eastAsia"/>
          <w:b/>
          <w:bCs/>
          <w:color w:val="000000" w:themeColor="text1"/>
          <w:highlight w:val="none"/>
          <w:lang w:val="en-US" w:eastAsia="zh-CN"/>
          <w14:textFill>
            <w14:solidFill>
              <w14:schemeClr w14:val="tx1"/>
            </w14:solidFill>
          </w14:textFill>
        </w:rPr>
        <w:fldChar w:fldCharType="end"/>
      </w:r>
    </w:p>
    <w:p>
      <w:pPr>
        <w:pStyle w:val="16"/>
        <w:tabs>
          <w:tab w:val="right" w:leader="dot" w:pos="8296"/>
        </w:tabs>
        <w:spacing w:line="360" w:lineRule="auto"/>
        <w:rPr>
          <w:rStyle w:val="24"/>
          <w:rFonts w:hint="eastAsia"/>
          <w:b/>
          <w:bCs/>
          <w:color w:val="000000" w:themeColor="text1"/>
          <w:highlight w:val="none"/>
          <w:lang w:val="en-US" w:eastAsia="zh-CN"/>
          <w14:textFill>
            <w14:solidFill>
              <w14:schemeClr w14:val="tx1"/>
            </w14:solidFill>
          </w14:textFill>
        </w:rPr>
      </w:pP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HYPERLINK \l _Toc16657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8.对投标技术文件的要求</w:t>
      </w:r>
      <w:r>
        <w:rPr>
          <w:rStyle w:val="24"/>
          <w:rFonts w:hint="eastAsia"/>
          <w:b/>
          <w:bCs/>
          <w:color w:val="000000" w:themeColor="text1"/>
          <w:highlight w:val="none"/>
          <w:lang w:val="en-US" w:eastAsia="zh-CN"/>
          <w14:textFill>
            <w14:solidFill>
              <w14:schemeClr w14:val="tx1"/>
            </w14:solidFill>
          </w14:textFill>
        </w:rPr>
        <w:tab/>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PAGEREF _Toc16657 \h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12</w:t>
      </w:r>
      <w:r>
        <w:rPr>
          <w:rStyle w:val="24"/>
          <w:rFonts w:hint="eastAsia"/>
          <w:b/>
          <w:bCs/>
          <w:color w:val="000000" w:themeColor="text1"/>
          <w:highlight w:val="none"/>
          <w:lang w:val="en-US" w:eastAsia="zh-CN"/>
          <w14:textFill>
            <w14:solidFill>
              <w14:schemeClr w14:val="tx1"/>
            </w14:solidFill>
          </w14:textFill>
        </w:rPr>
        <w:fldChar w:fldCharType="end"/>
      </w:r>
      <w:r>
        <w:rPr>
          <w:rStyle w:val="24"/>
          <w:rFonts w:hint="eastAsia"/>
          <w:b/>
          <w:bCs/>
          <w:color w:val="000000" w:themeColor="text1"/>
          <w:highlight w:val="none"/>
          <w:lang w:val="en-US" w:eastAsia="zh-CN"/>
          <w14:textFill>
            <w14:solidFill>
              <w14:schemeClr w14:val="tx1"/>
            </w14:solidFill>
          </w14:textFill>
        </w:rPr>
        <w:fldChar w:fldCharType="end"/>
      </w:r>
    </w:p>
    <w:p>
      <w:pPr>
        <w:pStyle w:val="16"/>
        <w:tabs>
          <w:tab w:val="right" w:leader="dot" w:pos="8296"/>
        </w:tabs>
        <w:spacing w:line="360" w:lineRule="auto"/>
      </w:pPr>
      <w:r>
        <w:rPr>
          <w:rStyle w:val="24"/>
          <w:rFonts w:hint="eastAsia"/>
          <w:b/>
          <w:bCs/>
          <w:color w:val="000000" w:themeColor="text1"/>
          <w:highlight w:val="none"/>
          <w:lang w:val="en-US" w:eastAsia="zh-CN"/>
          <w14:textFill>
            <w14:solidFill>
              <w14:schemeClr w14:val="tx1"/>
            </w14:solidFill>
          </w14:textFill>
        </w:rPr>
        <w:fldChar w:fldCharType="end"/>
      </w:r>
    </w:p>
    <w:p>
      <w:pPr>
        <w:pStyle w:val="16"/>
        <w:tabs>
          <w:tab w:val="right" w:leader="dot" w:pos="8296"/>
        </w:tabs>
        <w:spacing w:line="360" w:lineRule="auto"/>
        <w:rPr>
          <w:rFonts w:eastAsia="黑体"/>
          <w:sz w:val="30"/>
          <w:u w:color="000000"/>
        </w:rPr>
        <w:sectPr>
          <w:headerReference r:id="rId13" w:type="first"/>
          <w:footerReference r:id="rId16" w:type="first"/>
          <w:headerReference r:id="rId11" w:type="default"/>
          <w:footerReference r:id="rId14" w:type="default"/>
          <w:headerReference r:id="rId12" w:type="even"/>
          <w:footerReference r:id="rId15" w:type="even"/>
          <w:pgSz w:w="11906" w:h="16838"/>
          <w:pgMar w:top="1440" w:right="1800" w:bottom="1440" w:left="1800" w:header="851" w:footer="992" w:gutter="0"/>
          <w:cols w:space="720" w:num="1"/>
          <w:docGrid w:type="lines" w:linePitch="312" w:charSpace="0"/>
        </w:sectPr>
      </w:pPr>
      <w:r>
        <w:rPr>
          <w:rFonts w:eastAsia="黑体"/>
          <w:sz w:val="30"/>
          <w:u w:color="000000"/>
        </w:rPr>
        <w:br w:type="page"/>
      </w:r>
    </w:p>
    <w:p>
      <w:pPr>
        <w:pStyle w:val="5"/>
        <w:numPr>
          <w:ilvl w:val="255"/>
          <w:numId w:val="0"/>
        </w:numPr>
        <w:spacing w:before="312" w:after="156"/>
        <w:rPr>
          <w:rFonts w:hint="eastAsia" w:ascii="宋体" w:hAnsi="宋体" w:eastAsia="宋体" w:cs="Times New Roman"/>
        </w:rPr>
      </w:pPr>
      <w:bookmarkStart w:id="7" w:name="_Toc9520"/>
      <w:bookmarkStart w:id="8" w:name="_Toc28984"/>
      <w:bookmarkStart w:id="9" w:name="_Toc5872"/>
      <w:r>
        <w:rPr>
          <w:rFonts w:hint="eastAsia" w:ascii="宋体" w:hAnsi="宋体" w:eastAsia="宋体" w:cs="Times New Roman"/>
        </w:rPr>
        <w:t>1.</w:t>
      </w:r>
      <w:r>
        <w:rPr>
          <w:rFonts w:ascii="宋体" w:hAnsi="宋体" w:eastAsia="宋体" w:cs="Times New Roman"/>
        </w:rPr>
        <w:t>总则</w:t>
      </w:r>
      <w:bookmarkEnd w:id="7"/>
      <w:bookmarkEnd w:id="8"/>
      <w:bookmarkEnd w:id="9"/>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1.1 本技术规范书适用于《南网超高压公司百色局2026年职创项目</w:t>
      </w:r>
      <w:r>
        <w:rPr>
          <w:rFonts w:hint="eastAsia" w:ascii="宋体" w:hAnsi="宋体" w:cs="宋体"/>
          <w:lang w:val="en-US" w:eastAsia="zh-CN"/>
        </w:rPr>
        <w:t>（基于AI视觉的输电线路综合智能激光驱鸟装置）</w:t>
      </w:r>
      <w:r>
        <w:rPr>
          <w:rFonts w:hint="eastAsia" w:ascii="宋体" w:hAnsi="宋体" w:eastAsia="宋体" w:cs="宋体"/>
          <w:lang w:val="en-US" w:eastAsia="zh-CN"/>
        </w:rPr>
        <w:t>》，提出了项目的技术内容、工期进度等要求，投标方应针对自身特点，根据本技术规范书所描述的具体要求，提供完整的解决方案。</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1.2 本次专项招标采购方为中国南方电网有限责任公司超高压输电公司百色局（以下简称“招标方”或“百色局”），在本文中，具备所要求资质参与投标的供应商简称“投标方”，中标的投标人简称“中标方”。</w:t>
      </w:r>
    </w:p>
    <w:p>
      <w:pPr>
        <w:tabs>
          <w:tab w:val="left" w:pos="851"/>
        </w:tabs>
        <w:ind w:firstLine="480"/>
        <w:rPr>
          <w:rFonts w:hint="eastAsia" w:ascii="宋体" w:hAnsi="宋体" w:eastAsia="宋体" w:cs="宋体"/>
          <w:lang w:val="en-US" w:eastAsia="zh-CN"/>
        </w:rPr>
      </w:pPr>
      <w:bookmarkStart w:id="10" w:name="_Toc14127"/>
      <w:r>
        <w:rPr>
          <w:rFonts w:hint="eastAsia" w:ascii="宋体" w:hAnsi="宋体" w:eastAsia="宋体" w:cs="宋体"/>
          <w:lang w:val="en-US" w:eastAsia="zh-CN"/>
        </w:rPr>
        <w:t>1.3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1.4 在根据本技术规范书签订协议之后，招标方有权提出因标准或规程规范发生变化而产生的一些补充，具体项目由招、投标双方共同商定。</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1.5 本技术规范书所使用的标准如遇与投标方所执行的标准发生矛盾时，按较高标准执行，本技术规范书未全部引用应用标准，凡是本技术规范书牵涉的各项内容均按最新标准实施。</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1.6 本技术规范书经招、投标双方确认后作为签订合同的技术附件，与合同正文具有同等法律效力。同时，技术规范书未尽事宜，由招、投标双方协商确定。</w:t>
      </w:r>
    </w:p>
    <w:p>
      <w:pPr>
        <w:pStyle w:val="5"/>
        <w:numPr>
          <w:ilvl w:val="255"/>
          <w:numId w:val="0"/>
        </w:numPr>
        <w:spacing w:before="312" w:after="156"/>
        <w:rPr>
          <w:rFonts w:hint="eastAsia" w:ascii="宋体" w:hAnsi="宋体" w:eastAsia="宋体" w:cs="Times New Roman"/>
        </w:rPr>
      </w:pPr>
      <w:bookmarkStart w:id="11" w:name="_Toc5588"/>
      <w:bookmarkStart w:id="12" w:name="_Toc2740"/>
      <w:r>
        <w:rPr>
          <w:rFonts w:hint="eastAsia" w:ascii="宋体" w:hAnsi="宋体" w:eastAsia="宋体" w:cs="Times New Roman"/>
        </w:rPr>
        <w:t>2.应遵循的主要标准</w:t>
      </w:r>
      <w:bookmarkEnd w:id="10"/>
      <w:bookmarkEnd w:id="11"/>
      <w:bookmarkEnd w:id="12"/>
    </w:p>
    <w:bookmarkEnd w:id="0"/>
    <w:bookmarkEnd w:id="1"/>
    <w:bookmarkEnd w:id="2"/>
    <w:bookmarkEnd w:id="3"/>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项目制作过程及成果须满足IEC标准、国家行业标准、南方电网企业标准（规范）。若已颁布的相关技术标准或规范被修订，使用本技术规范书的各方应探讨使用最新版本的可能性。</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本项目实施过程中所应用到的各种标准，由投标方推荐，经招标方确认后由投标方提供并在项目中使用。</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推荐使用但不限于以下标准：</w:t>
      </w:r>
    </w:p>
    <w:tbl>
      <w:tblPr>
        <w:tblStyle w:val="1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733"/>
        <w:gridCol w:w="57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pStyle w:val="38"/>
              <w:tabs>
                <w:tab w:val="left" w:pos="2160"/>
                <w:tab w:val="clear" w:pos="4201"/>
                <w:tab w:val="clear" w:pos="9298"/>
              </w:tabs>
              <w:adjustRightInd w:val="0"/>
              <w:snapToGrid w:val="0"/>
              <w:spacing w:line="360" w:lineRule="auto"/>
              <w:ind w:firstLine="0" w:firstLineChars="0"/>
              <w:jc w:val="center"/>
              <w:rPr>
                <w:rFonts w:ascii="Times New Roman"/>
                <w:b/>
                <w:bCs/>
                <w:szCs w:val="21"/>
              </w:rPr>
            </w:pPr>
            <w:r>
              <w:rPr>
                <w:rFonts w:hint="eastAsia" w:ascii="Times New Roman"/>
                <w:b/>
                <w:bCs/>
                <w:szCs w:val="21"/>
              </w:rPr>
              <w:t>标准号</w:t>
            </w:r>
          </w:p>
        </w:tc>
        <w:tc>
          <w:tcPr>
            <w:tcW w:w="3395" w:type="pct"/>
            <w:noWrap w:val="0"/>
            <w:vAlign w:val="center"/>
          </w:tcPr>
          <w:p>
            <w:pPr>
              <w:pStyle w:val="38"/>
              <w:tabs>
                <w:tab w:val="left" w:pos="2160"/>
                <w:tab w:val="clear" w:pos="4201"/>
                <w:tab w:val="clear" w:pos="9298"/>
              </w:tabs>
              <w:adjustRightInd w:val="0"/>
              <w:snapToGrid w:val="0"/>
              <w:spacing w:line="360" w:lineRule="auto"/>
              <w:ind w:firstLine="0" w:firstLineChars="0"/>
              <w:jc w:val="center"/>
              <w:rPr>
                <w:rFonts w:ascii="Times New Roman"/>
                <w:b/>
                <w:bCs/>
                <w:szCs w:val="21"/>
              </w:rPr>
            </w:pPr>
            <w:r>
              <w:rPr>
                <w:rFonts w:hint="eastAsia" w:ascii="Times New Roman"/>
                <w:b/>
                <w:bCs/>
                <w:szCs w:val="21"/>
              </w:rPr>
              <w:t>标准名称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pStyle w:val="38"/>
              <w:tabs>
                <w:tab w:val="left" w:pos="2160"/>
                <w:tab w:val="clear" w:pos="4201"/>
                <w:tab w:val="clear" w:pos="9298"/>
              </w:tabs>
              <w:adjustRightInd w:val="0"/>
              <w:snapToGrid w:val="0"/>
              <w:spacing w:beforeLines="0" w:afterLines="0" w:line="360" w:lineRule="auto"/>
              <w:ind w:firstLine="0" w:firstLineChars="0"/>
              <w:jc w:val="left"/>
              <w:rPr>
                <w:rFonts w:hint="default" w:ascii="Times New Roman" w:eastAsia="宋体"/>
                <w:szCs w:val="21"/>
                <w:lang w:val="en-US" w:eastAsia="zh-CN"/>
              </w:rPr>
            </w:pPr>
            <w:r>
              <w:rPr>
                <w:rFonts w:hint="eastAsia" w:ascii="Times New Roman" w:hAnsi="Times New Roman" w:cs="Times New Roman"/>
                <w:color w:val="000000"/>
                <w:sz w:val="21"/>
                <w:szCs w:val="21"/>
                <w:lang w:val="en-US" w:eastAsia="zh-CN"/>
              </w:rPr>
              <w:t>GB/T28448-2012</w:t>
            </w:r>
          </w:p>
        </w:tc>
        <w:tc>
          <w:tcPr>
            <w:tcW w:w="3395" w:type="pct"/>
            <w:noWrap w:val="0"/>
            <w:vAlign w:val="center"/>
          </w:tcPr>
          <w:p>
            <w:pPr>
              <w:pStyle w:val="38"/>
              <w:tabs>
                <w:tab w:val="left" w:pos="2160"/>
                <w:tab w:val="clear" w:pos="4201"/>
                <w:tab w:val="clear" w:pos="9298"/>
              </w:tabs>
              <w:adjustRightInd w:val="0"/>
              <w:snapToGrid w:val="0"/>
              <w:spacing w:beforeLines="0" w:afterLines="0" w:line="360" w:lineRule="auto"/>
              <w:ind w:firstLine="0" w:firstLineChars="0"/>
              <w:jc w:val="left"/>
              <w:rPr>
                <w:rFonts w:hint="default" w:ascii="Times New Roman" w:eastAsia="宋体"/>
                <w:szCs w:val="21"/>
                <w:lang w:val="en-US" w:eastAsia="zh-CN"/>
              </w:rPr>
            </w:pPr>
            <w:r>
              <w:rPr>
                <w:rFonts w:hint="eastAsia" w:ascii="Times New Roman" w:hAnsi="Times New Roman" w:cs="Times New Roman"/>
                <w:color w:val="000000"/>
                <w:sz w:val="21"/>
                <w:szCs w:val="21"/>
                <w:lang w:val="en-US" w:eastAsia="zh-CN"/>
              </w:rPr>
              <w:t>信息安全技术信息系统安全等级保护测评要求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pStyle w:val="38"/>
              <w:tabs>
                <w:tab w:val="left" w:pos="2160"/>
                <w:tab w:val="clear" w:pos="4201"/>
                <w:tab w:val="clear" w:pos="9298"/>
              </w:tabs>
              <w:adjustRightInd w:val="0"/>
              <w:snapToGrid w:val="0"/>
              <w:spacing w:beforeLines="0" w:afterLines="0" w:line="360" w:lineRule="auto"/>
              <w:ind w:firstLine="0" w:firstLineChars="0"/>
              <w:jc w:val="left"/>
              <w:rPr>
                <w:rFonts w:hint="default" w:ascii="Times New Roman" w:eastAsia="宋体"/>
                <w:szCs w:val="21"/>
                <w:lang w:val="en-US" w:eastAsia="zh-CN"/>
              </w:rPr>
            </w:pPr>
            <w:r>
              <w:rPr>
                <w:rFonts w:hint="eastAsia" w:ascii="Times New Roman" w:hAnsi="Times New Roman" w:cs="Times New Roman"/>
                <w:color w:val="000000"/>
                <w:sz w:val="21"/>
                <w:szCs w:val="21"/>
                <w:lang w:val="en-US" w:eastAsia="zh-CN"/>
              </w:rPr>
              <w:t>(GB/T28448-2012</w:t>
            </w:r>
          </w:p>
        </w:tc>
        <w:tc>
          <w:tcPr>
            <w:tcW w:w="3395" w:type="pct"/>
            <w:noWrap w:val="0"/>
            <w:vAlign w:val="center"/>
          </w:tcPr>
          <w:p>
            <w:pPr>
              <w:pStyle w:val="38"/>
              <w:tabs>
                <w:tab w:val="left" w:pos="2160"/>
                <w:tab w:val="clear" w:pos="4201"/>
                <w:tab w:val="clear" w:pos="9298"/>
              </w:tabs>
              <w:adjustRightInd w:val="0"/>
              <w:snapToGrid w:val="0"/>
              <w:spacing w:beforeLines="0" w:afterLines="0" w:line="360" w:lineRule="auto"/>
              <w:ind w:firstLine="0" w:firstLineChars="0"/>
              <w:jc w:val="left"/>
              <w:rPr>
                <w:rFonts w:hint="default" w:ascii="Times New Roman" w:eastAsia="宋体"/>
                <w:szCs w:val="21"/>
                <w:lang w:val="en-US" w:eastAsia="zh-CN"/>
              </w:rPr>
            </w:pPr>
            <w:r>
              <w:rPr>
                <w:rFonts w:hint="eastAsia" w:ascii="Times New Roman" w:hAnsi="Times New Roman" w:cs="Times New Roman"/>
                <w:color w:val="000000"/>
                <w:sz w:val="21"/>
                <w:szCs w:val="21"/>
                <w:lang w:val="en-US" w:eastAsia="zh-CN"/>
              </w:rPr>
              <w:t>信息安全技术信息系统安全等级保护测评过程指南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pStyle w:val="38"/>
              <w:tabs>
                <w:tab w:val="left" w:pos="2160"/>
                <w:tab w:val="clear" w:pos="4201"/>
                <w:tab w:val="clear" w:pos="9298"/>
              </w:tabs>
              <w:adjustRightInd w:val="0"/>
              <w:snapToGrid w:val="0"/>
              <w:spacing w:beforeLines="0" w:afterLines="0" w:line="360" w:lineRule="auto"/>
              <w:ind w:firstLine="0" w:firstLineChars="0"/>
              <w:jc w:val="left"/>
              <w:rPr>
                <w:rFonts w:hint="default" w:ascii="Times New Roman"/>
                <w:szCs w:val="21"/>
                <w:lang w:val="en-US" w:eastAsia="zh-CN"/>
              </w:rPr>
            </w:pPr>
            <w:r>
              <w:rPr>
                <w:rFonts w:hint="eastAsia" w:ascii="Times New Roman" w:hAnsi="Times New Roman" w:cs="Times New Roman"/>
                <w:color w:val="000000"/>
                <w:sz w:val="21"/>
                <w:szCs w:val="21"/>
                <w:lang w:val="en-US" w:eastAsia="zh-CN"/>
              </w:rPr>
              <w:t>Q/CS6212001-2015</w:t>
            </w:r>
          </w:p>
        </w:tc>
        <w:tc>
          <w:tcPr>
            <w:tcW w:w="3395" w:type="pct"/>
            <w:noWrap w:val="0"/>
            <w:vAlign w:val="center"/>
          </w:tcPr>
          <w:p>
            <w:pPr>
              <w:pStyle w:val="38"/>
              <w:tabs>
                <w:tab w:val="left" w:pos="2160"/>
                <w:tab w:val="clear" w:pos="4201"/>
                <w:tab w:val="clear" w:pos="9298"/>
              </w:tabs>
              <w:adjustRightInd w:val="0"/>
              <w:snapToGrid w:val="0"/>
              <w:spacing w:beforeLines="0" w:afterLines="0" w:line="360" w:lineRule="auto"/>
              <w:ind w:firstLine="0" w:firstLineChars="0"/>
              <w:jc w:val="left"/>
              <w:rPr>
                <w:rFonts w:hint="default" w:ascii="Times New Roman"/>
                <w:szCs w:val="21"/>
                <w:lang w:val="en-US" w:eastAsia="zh-CN"/>
              </w:rPr>
            </w:pPr>
            <w:r>
              <w:rPr>
                <w:rFonts w:hint="eastAsia" w:ascii="Times New Roman" w:hAnsi="Times New Roman" w:cs="Times New Roman"/>
                <w:color w:val="000000"/>
                <w:sz w:val="21"/>
                <w:szCs w:val="21"/>
                <w:lang w:val="en-US" w:eastAsia="zh-CN"/>
              </w:rPr>
              <w:t>中国南方电网电力监控系统安全防护管理办法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pStyle w:val="38"/>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olor w:val="000000"/>
                <w:sz w:val="21"/>
                <w:szCs w:val="21"/>
                <w:lang w:val="en-US" w:eastAsia="zh-CN"/>
              </w:rPr>
            </w:pPr>
            <w:r>
              <w:rPr>
                <w:rFonts w:hint="eastAsia" w:ascii="Times New Roman" w:hAnsi="Times New Roman" w:cs="Times New Roman"/>
                <w:color w:val="000000"/>
                <w:sz w:val="21"/>
                <w:szCs w:val="21"/>
                <w:lang w:val="en-US" w:eastAsia="zh-CN"/>
              </w:rPr>
              <w:t>Q/CSG1204009-2015</w:t>
            </w:r>
          </w:p>
        </w:tc>
        <w:tc>
          <w:tcPr>
            <w:tcW w:w="3395" w:type="pct"/>
            <w:noWrap w:val="0"/>
            <w:vAlign w:val="center"/>
          </w:tcPr>
          <w:p>
            <w:pPr>
              <w:pStyle w:val="38"/>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olor w:val="000000"/>
                <w:sz w:val="21"/>
                <w:szCs w:val="21"/>
                <w:lang w:val="en-US" w:eastAsia="zh-CN"/>
              </w:rPr>
            </w:pPr>
            <w:r>
              <w:rPr>
                <w:rFonts w:hint="eastAsia" w:ascii="Times New Roman" w:hAnsi="Times New Roman" w:cs="Times New Roman"/>
                <w:color w:val="000000"/>
                <w:sz w:val="21"/>
                <w:szCs w:val="21"/>
                <w:lang w:val="en-US" w:eastAsia="zh-CN"/>
              </w:rPr>
              <w:t>中国南方电网电力监控系统安全防护技术规范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pStyle w:val="38"/>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olor w:val="000000"/>
                <w:sz w:val="21"/>
                <w:szCs w:val="21"/>
                <w:lang w:val="en-US" w:eastAsia="zh-CN"/>
              </w:rPr>
            </w:pPr>
            <w:r>
              <w:rPr>
                <w:rFonts w:hint="eastAsia" w:ascii="Times New Roman" w:hAnsi="Times New Roman" w:cs="Times New Roman"/>
                <w:color w:val="000000"/>
                <w:sz w:val="21"/>
                <w:szCs w:val="21"/>
                <w:lang w:val="en-US" w:eastAsia="zh-CN"/>
              </w:rPr>
              <w:t>GB/T 28181-2016</w:t>
            </w:r>
          </w:p>
        </w:tc>
        <w:tc>
          <w:tcPr>
            <w:tcW w:w="3395" w:type="pct"/>
            <w:noWrap w:val="0"/>
            <w:vAlign w:val="center"/>
          </w:tcPr>
          <w:p>
            <w:pPr>
              <w:pStyle w:val="38"/>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eastAsia" w:ascii="Times New Roman" w:hAnsi="Times New Roman" w:cs="Times New Roman"/>
                <w:color w:val="000000"/>
                <w:sz w:val="21"/>
                <w:szCs w:val="21"/>
                <w:lang w:val="en-US" w:eastAsia="zh-CN"/>
              </w:rPr>
              <w:t>安全防范视频监控联网系统信息传输、交换、控制技术要求</w:t>
            </w:r>
          </w:p>
        </w:tc>
      </w:tr>
    </w:tbl>
    <w:p>
      <w:pPr>
        <w:pStyle w:val="5"/>
        <w:numPr>
          <w:ilvl w:val="255"/>
          <w:numId w:val="0"/>
        </w:numPr>
        <w:spacing w:before="312" w:after="156"/>
        <w:rPr>
          <w:rFonts w:hint="eastAsia" w:ascii="宋体" w:hAnsi="宋体" w:eastAsia="宋体" w:cs="Times New Roman"/>
        </w:rPr>
      </w:pPr>
      <w:bookmarkStart w:id="13" w:name="_Toc16474"/>
      <w:bookmarkStart w:id="14" w:name="_Toc25883"/>
      <w:bookmarkStart w:id="15" w:name="_Toc7639"/>
      <w:r>
        <w:rPr>
          <w:rFonts w:hint="eastAsia" w:ascii="宋体" w:hAnsi="宋体" w:eastAsia="宋体" w:cs="Times New Roman"/>
          <w:lang w:val="en-US" w:eastAsia="zh-CN"/>
        </w:rPr>
        <w:t>3.使用条件</w:t>
      </w:r>
      <w:bookmarkEnd w:id="13"/>
      <w:bookmarkEnd w:id="14"/>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3.1正常工作条件</w:t>
      </w:r>
    </w:p>
    <w:p>
      <w:pPr>
        <w:keepNext w:val="0"/>
        <w:keepLines w:val="0"/>
        <w:widowControl/>
        <w:suppressLineNumbers w:val="0"/>
        <w:jc w:val="left"/>
      </w:pPr>
      <w:r>
        <w:rPr>
          <w:rFonts w:ascii="宋体" w:hAnsi="宋体" w:eastAsia="宋体" w:cs="宋体"/>
          <w:kern w:val="0"/>
          <w:sz w:val="24"/>
          <w:szCs w:val="24"/>
          <w:lang w:val="en-US" w:eastAsia="zh-CN" w:bidi="ar"/>
        </w:rPr>
        <w:t>（1）系统运行环境：支持在输电杆塔户外现场网络、现场专属监控网络及经授权的专用网络环境中部署运行，满足野外全天候鸟类目标识别、智能驱离、数据监测、状态回传等核心业务连续稳定运行要求，适配户外野外复杂场地部署场景。</w:t>
      </w:r>
    </w:p>
    <w:p>
      <w:pPr>
        <w:keepNext w:val="0"/>
        <w:keepLines w:val="0"/>
        <w:widowControl/>
        <w:suppressLineNumbers w:val="0"/>
        <w:jc w:val="left"/>
      </w:pPr>
      <w:r>
        <w:rPr>
          <w:rFonts w:ascii="宋体" w:hAnsi="宋体" w:eastAsia="宋体" w:cs="宋体"/>
          <w:kern w:val="0"/>
          <w:sz w:val="24"/>
          <w:szCs w:val="24"/>
          <w:lang w:val="en-US" w:eastAsia="zh-CN" w:bidi="ar"/>
        </w:rPr>
        <w:t>（2）终端及设备使用环境：系统一体化装置适用于输电杆塔户外露天场景，可适配日间正常光照、夜间低照度、户外风霜雨雪等复杂环境；支持鸟类目标实时检测、轨迹跟踪、智能驱离作业、设备状态自检、运行数据采集等全流程自动化作业，可满足野外7×24小时无人值守运行需求。</w:t>
      </w:r>
    </w:p>
    <w:p>
      <w:pPr>
        <w:keepNext w:val="0"/>
        <w:keepLines w:val="0"/>
        <w:widowControl/>
        <w:suppressLineNumbers w:val="0"/>
        <w:jc w:val="left"/>
      </w:pPr>
      <w:r>
        <w:rPr>
          <w:rFonts w:ascii="宋体" w:hAnsi="宋体" w:eastAsia="宋体" w:cs="宋体"/>
          <w:kern w:val="0"/>
          <w:sz w:val="24"/>
          <w:szCs w:val="24"/>
          <w:lang w:val="en-US" w:eastAsia="zh-CN" w:bidi="ar"/>
        </w:rPr>
        <w:t>（3）数据接入条件：系统应具备稳定的数据互通与传输能力，可依托现场网络实现设备运行状态、鸟类识别数据、驱离作业记录、功耗数据等信息远程回传，支持对接后台管理平台完成数据同步、统计分析与远程监测，可适配招标方指定的数据传输接口与通信协议。</w:t>
      </w:r>
    </w:p>
    <w:p>
      <w:pPr>
        <w:keepNext w:val="0"/>
        <w:keepLines w:val="0"/>
        <w:widowControl/>
        <w:suppressLineNumbers w:val="0"/>
        <w:jc w:val="left"/>
      </w:pPr>
      <w:r>
        <w:rPr>
          <w:rFonts w:ascii="宋体" w:hAnsi="宋体" w:eastAsia="宋体" w:cs="宋体"/>
          <w:kern w:val="0"/>
          <w:sz w:val="24"/>
          <w:szCs w:val="24"/>
          <w:lang w:val="en-US" w:eastAsia="zh-CN" w:bidi="ar"/>
        </w:rPr>
        <w:t>（4）浏览器及客户端条件：后台管理端支持主流国产化浏览器、通用浏览器稳定访问，可实现设备状态查看、数据查询、参数配置、历史记录调取等操作；前端一体化设备终端运行稳定，成像清晰、识别精准，驱离模块响应灵敏，整体操作与运行逻辑适配户外无人值守自动化作业场景。</w:t>
      </w:r>
    </w:p>
    <w:p>
      <w:pPr>
        <w:keepNext w:val="0"/>
        <w:keepLines w:val="0"/>
        <w:widowControl/>
        <w:suppressLineNumbers w:val="0"/>
        <w:jc w:val="left"/>
      </w:pPr>
      <w:r>
        <w:rPr>
          <w:rFonts w:ascii="宋体" w:hAnsi="宋体" w:eastAsia="宋体" w:cs="宋体"/>
          <w:kern w:val="0"/>
          <w:sz w:val="24"/>
          <w:szCs w:val="24"/>
          <w:lang w:val="en-US" w:eastAsia="zh-CN" w:bidi="ar"/>
        </w:rPr>
        <w:t>（5）数据处理能力：系统搭载轻量化YOLO鸟类检测算法，支持南方常见鸟类品类数据存储与识别管理，可完成鸟类与异物精准区分、目标轨迹跟踪、低照度环境识别等数据处理工作；可实现鸟类种类、距离、停留时长等数据的实时分析，支撑智能驱离策略切换、运行数据统计分析等核心功能，满足长期户外作业数据处理需求。</w:t>
      </w:r>
    </w:p>
    <w:p>
      <w:pPr>
        <w:keepNext w:val="0"/>
        <w:keepLines w:val="0"/>
        <w:widowControl/>
        <w:suppressLineNumbers w:val="0"/>
        <w:jc w:val="left"/>
      </w:pPr>
      <w:r>
        <w:rPr>
          <w:rFonts w:ascii="宋体" w:hAnsi="宋体" w:eastAsia="宋体" w:cs="宋体"/>
          <w:kern w:val="0"/>
          <w:sz w:val="24"/>
          <w:szCs w:val="24"/>
          <w:lang w:val="en-US" w:eastAsia="zh-CN" w:bidi="ar"/>
        </w:rPr>
        <w:t>（6）安全运行条件：系统具备设备身份校验、运行权限管控、操作及作业日志全程记录、运行数据自动存储与备份能力；设备整体采用IP67防护标准，具备户外防尘、防水、抗干扰能力，同时具备数据安全保护机制，可有效防止数据丢失、异常访问与数据泄露，保障户外长期稳定安全运行。</w:t>
      </w:r>
    </w:p>
    <w:p>
      <w:pPr>
        <w:keepNext w:val="0"/>
        <w:keepLines w:val="0"/>
        <w:widowControl/>
        <w:suppressLineNumbers w:val="0"/>
        <w:jc w:val="left"/>
      </w:pPr>
      <w:r>
        <w:rPr>
          <w:rFonts w:ascii="宋体" w:hAnsi="宋体" w:eastAsia="宋体" w:cs="宋体"/>
          <w:kern w:val="0"/>
          <w:sz w:val="24"/>
          <w:szCs w:val="24"/>
          <w:lang w:val="en-US" w:eastAsia="zh-CN" w:bidi="ar"/>
        </w:rPr>
        <w:t>（7）系统功能与性能运行条件：系统可依托轻量化识别算法、多模式智能驱离机制、低功耗启停控制逻辑，在招标方规定的技术标准、性能指标与安全要求范围内稳定运行；依托太阳能供电与低功耗模块实现长期户外续航，全面满足输电杆塔户外鸟类智能防控全流程数字化、自动化管理需求。</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3.2特殊工作条件</w:t>
      </w:r>
    </w:p>
    <w:p>
      <w:pPr>
        <w:tabs>
          <w:tab w:val="left" w:pos="851"/>
        </w:tabs>
        <w:ind w:firstLine="480"/>
        <w:rPr>
          <w:rFonts w:hint="default" w:ascii="宋体" w:hAnsi="宋体" w:eastAsia="宋体" w:cs="宋体"/>
          <w:lang w:val="en-US" w:eastAsia="zh-CN"/>
        </w:rPr>
      </w:pPr>
      <w:r>
        <w:rPr>
          <w:rFonts w:hint="eastAsia" w:ascii="宋体" w:hAnsi="宋体" w:eastAsia="宋体" w:cs="宋体"/>
          <w:lang w:val="en-US" w:eastAsia="zh-CN"/>
        </w:rPr>
        <w:t>针对具体应用工况，用户根据实际需求提出特殊工作条件。当超出正常与特殊工作条件时，由用户与供应商协商确定。</w:t>
      </w:r>
      <w:r>
        <w:rPr>
          <w:rFonts w:hint="eastAsia" w:ascii="宋体" w:hAnsi="宋体" w:cs="宋体"/>
          <w:lang w:val="en-US" w:eastAsia="zh-CN"/>
        </w:rPr>
        <w:t>针对特殊条件，招标方可根据实际需求提出补充要求。当超出正常与特殊工作条件时，由招、投标双方协商确定。</w:t>
      </w:r>
    </w:p>
    <w:p>
      <w:pPr>
        <w:pStyle w:val="5"/>
        <w:numPr>
          <w:ilvl w:val="255"/>
          <w:numId w:val="0"/>
        </w:numPr>
        <w:spacing w:before="312" w:after="156"/>
        <w:rPr>
          <w:rFonts w:hint="eastAsia" w:ascii="宋体" w:hAnsi="宋体" w:eastAsia="宋体" w:cs="Times New Roman"/>
        </w:rPr>
      </w:pPr>
      <w:bookmarkStart w:id="16" w:name="_Toc14218"/>
      <w:bookmarkStart w:id="17" w:name="_Toc27043"/>
      <w:r>
        <w:rPr>
          <w:rFonts w:hint="eastAsia" w:ascii="宋体" w:hAnsi="宋体" w:eastAsia="宋体" w:cs="Times New Roman"/>
          <w:lang w:val="en-US" w:eastAsia="zh-CN"/>
        </w:rPr>
        <w:t>4</w:t>
      </w:r>
      <w:r>
        <w:rPr>
          <w:rFonts w:hint="eastAsia" w:cs="Times New Roman"/>
          <w:lang w:val="en-US" w:eastAsia="zh-CN"/>
        </w:rPr>
        <w:t>.</w:t>
      </w:r>
      <w:r>
        <w:rPr>
          <w:rFonts w:hint="eastAsia" w:ascii="宋体" w:hAnsi="宋体" w:eastAsia="宋体" w:cs="Times New Roman"/>
          <w:lang w:val="en-US" w:eastAsia="zh-CN"/>
        </w:rPr>
        <w:t>制作原则</w:t>
      </w:r>
      <w:bookmarkEnd w:id="16"/>
      <w:bookmarkEnd w:id="17"/>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（1）先进性原则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遵循南方电网公司的软件优化总体规划与要求，并结合南方电网公司现状，参考国际经验，充分利用各项先进技术，采用创新型设计技术。以现场实际实用为目标，采用安全、高效、便携的技术方案，全面实现能效提升、业务提升及管理提升，确保软件的先进性和实用性。</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（2）安全性原则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系统功能应满足《电力二次系统安全防护技术规范》《南方电网二次系统安全防护业务指导书》《南方电网网络安全管理办法》《南方电网互联网应用管理办法》《南方电网智能电网电力监控系统网络安全防护技术导则》最新发布版本和南方电网反措的相关要求，并结合平台功能的业务特点加强信息安全防护，支持多种安全可靠性技术手段，制定严格的安全可靠性管理措施。通过权限管理、安全隔离、信息加密等措施，构建通信层、网络层、系统层、应用层等多层面的立体安全防护体系，确保平台安全。</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（3）可靠性原则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系统需要7*24小时不间断、可靠运行，因此必须配备完善的可靠性措施设计，保证系统运行的高度可靠。要充分考虑关键应用的可靠性要求，在数据库、主机、应用部署、网络等关键环节配备多种高可用性方案。</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（4）规范化原则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设计应遵循相关国际标准、国家标准、行业标准及公司标准，统一设计、统一开发和应用，遵循南方电网公司数字电网模型设计，保持平台设计、开发、实施过程中全程规范化管理，对项目质量和进度严格管控。</w:t>
      </w:r>
    </w:p>
    <w:p>
      <w:pPr>
        <w:pStyle w:val="5"/>
        <w:numPr>
          <w:ilvl w:val="255"/>
          <w:numId w:val="0"/>
        </w:numPr>
        <w:spacing w:before="312" w:after="156"/>
        <w:rPr>
          <w:rFonts w:hint="eastAsia" w:ascii="宋体" w:hAnsi="宋体" w:eastAsia="宋体" w:cs="Times New Roman"/>
        </w:rPr>
      </w:pPr>
      <w:bookmarkStart w:id="18" w:name="_Toc32566"/>
      <w:bookmarkStart w:id="19" w:name="_Toc22696"/>
      <w:r>
        <w:rPr>
          <w:rFonts w:hint="eastAsia" w:ascii="宋体" w:hAnsi="宋体" w:eastAsia="宋体" w:cs="Times New Roman"/>
          <w:lang w:val="en-US" w:eastAsia="zh-CN"/>
        </w:rPr>
        <w:t>5</w:t>
      </w:r>
      <w:r>
        <w:rPr>
          <w:rFonts w:hint="eastAsia" w:cs="Times New Roman"/>
          <w:lang w:val="en-US" w:eastAsia="zh-CN"/>
        </w:rPr>
        <w:t>.</w:t>
      </w:r>
      <w:r>
        <w:rPr>
          <w:rFonts w:hint="eastAsia" w:ascii="宋体" w:hAnsi="宋体" w:eastAsia="宋体" w:cs="Times New Roman"/>
        </w:rPr>
        <w:t>技术服务内容及方式</w:t>
      </w:r>
      <w:bookmarkEnd w:id="15"/>
      <w:bookmarkEnd w:id="18"/>
      <w:bookmarkEnd w:id="19"/>
    </w:p>
    <w:p>
      <w:pPr>
        <w:tabs>
          <w:tab w:val="left" w:pos="851"/>
        </w:tabs>
        <w:ind w:firstLine="480"/>
        <w:rPr>
          <w:rFonts w:hint="eastAsia" w:ascii="宋体" w:hAnsi="宋体" w:eastAsia="宋体" w:cs="宋体"/>
          <w:lang w:val="en-US" w:eastAsia="zh-CN"/>
        </w:rPr>
      </w:pPr>
      <w:bookmarkStart w:id="20" w:name="_Toc369559705"/>
      <w:bookmarkStart w:id="21" w:name="_Toc369561308"/>
      <w:r>
        <w:rPr>
          <w:rFonts w:hint="eastAsia" w:ascii="宋体" w:hAnsi="宋体" w:eastAsia="宋体" w:cs="宋体"/>
          <w:lang w:val="en-US" w:eastAsia="zh-CN"/>
        </w:rPr>
        <w:t>服务期限为合同生效之日起至2026年1</w:t>
      </w:r>
      <w:r>
        <w:rPr>
          <w:rFonts w:hint="eastAsia" w:ascii="宋体" w:hAnsi="宋体" w:cs="宋体"/>
          <w:lang w:val="en-US" w:eastAsia="zh-CN"/>
        </w:rPr>
        <w:t>2</w:t>
      </w:r>
      <w:r>
        <w:rPr>
          <w:rFonts w:hint="eastAsia" w:ascii="宋体" w:hAnsi="宋体" w:eastAsia="宋体" w:cs="宋体"/>
          <w:lang w:val="en-US" w:eastAsia="zh-CN"/>
        </w:rPr>
        <w:t>月</w:t>
      </w:r>
      <w:r>
        <w:rPr>
          <w:rFonts w:hint="eastAsia" w:ascii="宋体" w:hAnsi="宋体" w:cs="宋体"/>
          <w:lang w:val="en-US" w:eastAsia="zh-CN"/>
        </w:rPr>
        <w:t>20</w:t>
      </w:r>
      <w:r>
        <w:rPr>
          <w:rFonts w:hint="eastAsia" w:ascii="宋体" w:hAnsi="宋体" w:eastAsia="宋体" w:cs="宋体"/>
          <w:lang w:val="en-US" w:eastAsia="zh-CN"/>
        </w:rPr>
        <w:t>日。</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本创新项目需根据加工、制作、调试的实际情况前往现场开展勘查、安装及调试工作，具体项目地点需联系相关项目负责人。</w:t>
      </w:r>
    </w:p>
    <w:bookmarkEnd w:id="20"/>
    <w:bookmarkEnd w:id="21"/>
    <w:p>
      <w:pPr>
        <w:snapToGrid w:val="0"/>
        <w:spacing w:line="360" w:lineRule="auto"/>
        <w:ind w:firstLine="0" w:firstLineChars="0"/>
        <w:jc w:val="center"/>
        <w:rPr>
          <w:rFonts w:hint="eastAsia"/>
          <w:color w:val="auto"/>
          <w:szCs w:val="21"/>
          <w:highlight w:val="none"/>
          <w:lang w:val="en-US" w:eastAsia="zh-CN"/>
        </w:rPr>
      </w:pPr>
      <w:bookmarkStart w:id="22" w:name="_Toc12318"/>
      <w:bookmarkStart w:id="23" w:name="_Toc27075"/>
      <w:r>
        <w:rPr>
          <w:rFonts w:hint="eastAsia"/>
          <w:color w:val="auto"/>
          <w:szCs w:val="21"/>
          <w:highlight w:val="none"/>
        </w:rPr>
        <w:t>表</w:t>
      </w:r>
      <w:r>
        <w:rPr>
          <w:rFonts w:hint="eastAsia"/>
          <w:color w:val="auto"/>
          <w:szCs w:val="21"/>
          <w:highlight w:val="none"/>
          <w:lang w:val="en-US" w:eastAsia="zh-CN"/>
        </w:rPr>
        <w:t>5.1</w:t>
      </w:r>
      <w:r>
        <w:rPr>
          <w:rFonts w:hint="eastAsia"/>
          <w:color w:val="auto"/>
          <w:szCs w:val="21"/>
          <w:highlight w:val="none"/>
        </w:rPr>
        <w:t xml:space="preserve">  </w:t>
      </w:r>
      <w:r>
        <w:rPr>
          <w:rFonts w:hint="eastAsia"/>
          <w:color w:val="auto"/>
          <w:szCs w:val="21"/>
          <w:highlight w:val="none"/>
          <w:lang w:val="en-US" w:eastAsia="zh-CN"/>
        </w:rPr>
        <w:t>技术服务内容</w:t>
      </w:r>
    </w:p>
    <w:tbl>
      <w:tblPr>
        <w:tblStyle w:val="20"/>
        <w:tblW w:w="94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0"/>
        <w:gridCol w:w="1338"/>
        <w:gridCol w:w="4185"/>
        <w:gridCol w:w="2211"/>
        <w:gridCol w:w="1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序号</w:t>
            </w:r>
          </w:p>
        </w:tc>
        <w:tc>
          <w:tcPr>
            <w:tcW w:w="1338"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标的名称</w:t>
            </w:r>
          </w:p>
        </w:tc>
        <w:tc>
          <w:tcPr>
            <w:tcW w:w="418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服务内容</w:t>
            </w:r>
          </w:p>
        </w:tc>
        <w:tc>
          <w:tcPr>
            <w:tcW w:w="2211"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交付物</w:t>
            </w:r>
          </w:p>
        </w:tc>
        <w:tc>
          <w:tcPr>
            <w:tcW w:w="13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服务地点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both"/>
              <w:textAlignment w:val="center"/>
              <w:rPr>
                <w:rFonts w:hint="default" w:ascii="宋体" w:hAnsi="宋体" w:eastAsia="宋体" w:cs="宋体"/>
                <w:i w:val="0"/>
                <w:iCs w:val="0"/>
                <w:color w:val="000000"/>
                <w:kern w:val="0"/>
                <w:sz w:val="20"/>
                <w:szCs w:val="20"/>
                <w:highlight w:val="none"/>
                <w:u w:val="none"/>
                <w:lang w:val="en-US" w:eastAsia="zh-CN" w:bidi="ar"/>
              </w:rPr>
            </w:pPr>
            <w:bookmarkStart w:id="24" w:name="_Toc7886"/>
            <w:bookmarkStart w:id="25" w:name="_Toc12691"/>
            <w:bookmarkStart w:id="26" w:name="_Toc369561313"/>
            <w:bookmarkStart w:id="27" w:name="_Toc369559710"/>
            <w:bookmarkStart w:id="28" w:name="_Toc2581"/>
            <w:bookmarkStart w:id="29" w:name="_Toc14394"/>
            <w:r>
              <w:rPr>
                <w:rFonts w:hint="eastAsia" w:ascii="宋体" w:hAnsi="宋体" w:cs="宋体"/>
                <w:i w:val="0"/>
                <w:iCs w:val="0"/>
                <w:color w:val="000000"/>
                <w:kern w:val="0"/>
                <w:sz w:val="20"/>
                <w:szCs w:val="20"/>
                <w:highlight w:val="none"/>
                <w:u w:val="none"/>
                <w:lang w:val="en-US" w:eastAsia="zh-CN" w:bidi="ar"/>
              </w:rPr>
              <w:t>1</w:t>
            </w:r>
          </w:p>
        </w:tc>
        <w:tc>
          <w:tcPr>
            <w:tcW w:w="1338"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基于AI视觉的输电线路综合智能激光驱鸟装置</w:t>
            </w:r>
          </w:p>
        </w:tc>
        <w:tc>
          <w:tcPr>
            <w:tcW w:w="4185"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根据招标方设计方案，协助完成：</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1.鸟类目标精准识别算法开发。基于YOLO模型开发轻量化鸟类检测算法，建立南方常见鸟类形态数据库；实现鸟类与异物区分、轨迹跟踪及夜间低照度识别，解决传统传感误报率高问题。</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2.智能激光驱离机制研究。研制532nm绿色安全激光发射模组，开发定向瞄准与动态扫描策略；融合超声波、语音威慑形成组合驱离模式，根据鸟类种类、距离、停留时长智能切换驱离强度，避免鸟类适应性。</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3.按需启动与低功耗控制。设计“有鸟启动、无鸟休眠”的触发机制，集成太阳能供电与功耗管理模块，实现7×24小时值守与户外长期续航。</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4.装置集成与现场验证。完成摄像头、激光模组、控制单元的一体化结构设计（IP67防护），开发远程数据回传功能；在输电杆塔开展挂网测试，验证识别准确率（≥90%）、驱离响应时间（≤3秒）及系统稳定性。</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5.完成第三方检测（检测机构应具备CMA或CNAS认证资质）及完成第三方检测报告及相关中试报告个1份。</w:t>
            </w:r>
          </w:p>
        </w:tc>
        <w:tc>
          <w:tcPr>
            <w:tcW w:w="2211"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1.激光驱鸟装置1套；</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2.配合</w:t>
            </w:r>
            <w:r>
              <w:rPr>
                <w:rFonts w:hint="eastAsia" w:ascii="宋体" w:hAnsi="宋体" w:eastAsia="宋体" w:cs="宋体"/>
                <w:i w:val="0"/>
                <w:iCs w:val="0"/>
                <w:color w:val="000000"/>
                <w:kern w:val="0"/>
                <w:sz w:val="20"/>
                <w:szCs w:val="20"/>
                <w:highlight w:val="none"/>
                <w:u w:val="none"/>
                <w:lang w:val="en-US" w:eastAsia="zh-CN" w:bidi="ar"/>
              </w:rPr>
              <w:t>编制发明专利申请文本1份；</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3.技术研究报告1份；</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4.算法模型测试报告1份；</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5.完成第三方检测（检测机构应具备CMA或CNAS认证资质）。</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6.在超特高压新型电气装备科技成果转化中试基地完成中试。</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both"/>
              <w:textAlignment w:val="center"/>
              <w:rPr>
                <w:rFonts w:hint="default"/>
                <w:lang w:val="en-US" w:eastAsia="zh-CN"/>
              </w:rPr>
            </w:pPr>
          </w:p>
        </w:tc>
        <w:tc>
          <w:tcPr>
            <w:tcW w:w="1309"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招标方指定地点</w:t>
            </w:r>
          </w:p>
        </w:tc>
      </w:tr>
      <w:bookmarkEnd w:id="22"/>
      <w:bookmarkEnd w:id="23"/>
    </w:tbl>
    <w:p>
      <w:pPr>
        <w:pStyle w:val="5"/>
        <w:numPr>
          <w:ilvl w:val="255"/>
          <w:numId w:val="0"/>
        </w:numPr>
        <w:spacing w:before="312" w:after="156"/>
        <w:rPr>
          <w:rFonts w:hint="eastAsia" w:ascii="宋体" w:hAnsi="宋体" w:eastAsia="宋体" w:cs="Times New Roman"/>
        </w:rPr>
      </w:pPr>
      <w:bookmarkStart w:id="30" w:name="_Toc23208"/>
      <w:r>
        <w:rPr>
          <w:rFonts w:hint="eastAsia" w:ascii="宋体" w:hAnsi="宋体" w:eastAsia="宋体" w:cs="Times New Roman"/>
          <w:lang w:val="en-US" w:eastAsia="zh-CN"/>
        </w:rPr>
        <w:t>6.</w:t>
      </w:r>
      <w:r>
        <w:rPr>
          <w:rFonts w:hint="eastAsia" w:ascii="宋体" w:hAnsi="宋体" w:eastAsia="宋体" w:cs="Times New Roman"/>
        </w:rPr>
        <w:t>对投标方的要求</w:t>
      </w:r>
      <w:bookmarkEnd w:id="24"/>
      <w:bookmarkEnd w:id="25"/>
      <w:bookmarkEnd w:id="26"/>
      <w:bookmarkEnd w:id="27"/>
      <w:bookmarkEnd w:id="28"/>
      <w:bookmarkEnd w:id="29"/>
      <w:bookmarkEnd w:id="30"/>
    </w:p>
    <w:p>
      <w:pPr>
        <w:tabs>
          <w:tab w:val="left" w:pos="851"/>
        </w:tabs>
        <w:ind w:firstLine="480"/>
        <w:rPr>
          <w:rFonts w:hint="eastAsia" w:ascii="宋体" w:hAnsi="宋体" w:eastAsia="宋体" w:cs="宋体"/>
          <w:lang w:val="en-US" w:eastAsia="zh-CN"/>
        </w:rPr>
      </w:pPr>
      <w:bookmarkStart w:id="31" w:name="_Toc31887"/>
      <w:bookmarkStart w:id="32" w:name="_Toc369561314"/>
      <w:bookmarkStart w:id="33" w:name="_Toc16150"/>
      <w:bookmarkStart w:id="34" w:name="_Toc28495"/>
      <w:bookmarkStart w:id="35" w:name="_Toc369559711"/>
      <w:r>
        <w:rPr>
          <w:rFonts w:hint="eastAsia" w:ascii="宋体" w:hAnsi="宋体" w:eastAsia="宋体" w:cs="宋体"/>
          <w:lang w:val="en-US" w:eastAsia="zh-CN"/>
        </w:rPr>
        <w:t>（1）投标方按照本技术规范书技术服务范围及技术指标要求等相关技术标准制定严谨、全面、可实现的技术实施方案，并严格按照实施方案进行实施。在项目服务周期内中标方有义务在实施过程中对项目涉及的技术问题进行答疑。在项目全周期中禁止投标方再次分包本项目。</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（2）为保证投标方有效进行项目制作工作，招标方提供与项目有关的技术资料，并协助投标方协调项目实施过程中所需解决的事项。</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（3）在项目实施期间，招标方可派出技术人员并参加项目的管理及实施，投标方有责任对其进行技术指导和答疑，同时投标方也应协助提供招标方编写论文或申请专利所需的项目数据。</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在项目进行期内，双方均指定项目联系人。项目联系人承担以下责任：a、沟通项目所需的资料收集；b、沟通项目进度信息；c、协商解决项目执行过程中遇到的问题。一方变更项目联系人的，应当及时以书面形式通知另一方。未及时通知并影响项目进行或造成损失的，应承担相应的责任。</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（5）投标方必须向招标方保证工程人员组织的稳定性，保证工程按招标方的要求如期进行；在本工程结束前，参加本工程的人员变动必须取得招标方同意；</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（6）投标方负责对招标方专业人员的技术培训 （包括硬件、软件的维护及运行培训），并提供必要的工作场地；</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（7）投标方协助招标方产品开发、负责产品制作、加工、测试、实施及现场调试，参加现场验收和整体考核验收；</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（8）投标方负责提供制作范围内所有设备的文件资料和运行维护手册；</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（9）保证期以后应招标方要求，投标方应协助招标方对所供系统进行扩容升级、增加功能等工作，并优惠提供最新开发的应用软件。</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10）投标方应按照本规范书要求完成项目，项目制作的工具、方法、进度和全过程应在招标方可控的范围之内，并向招标方交付项目相关技术资料，不限于项目实施过程中产生的试验数据、电路布图、仿真模型、算法、程序、装置及零部件图纸等。未经招标方书面同意，投标方不得在其他项目中使用上述技术资料，或向任何第三方披露、使用上述技术资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11）项目实施过程中形成的知识产权归招标方所有，投标方经招标方书面同意后方可使用制作成果，但无转让权。招标方可以不定期（不限于项目期间）采取以下措施：对技术成果知识产权进行申请和保护，包括就任何技术成果申请专利、维持专利或专利有效性和对任何涉嫌或实际侵犯技术成果知识产权的行为采取一切合理必要措施。投标方参与到技术成果创造的学术应当为招标法采取上述措施提供合理的帮助。</w:t>
      </w:r>
    </w:p>
    <w:p>
      <w:pPr>
        <w:pStyle w:val="5"/>
        <w:numPr>
          <w:ilvl w:val="255"/>
          <w:numId w:val="0"/>
        </w:numPr>
        <w:spacing w:before="312" w:after="156"/>
        <w:rPr>
          <w:rFonts w:hint="eastAsia" w:ascii="宋体" w:hAnsi="宋体" w:eastAsia="宋体" w:cs="Times New Roman"/>
        </w:rPr>
      </w:pPr>
      <w:bookmarkStart w:id="36" w:name="_Toc2553"/>
      <w:bookmarkStart w:id="37" w:name="_Toc30826"/>
      <w:r>
        <w:rPr>
          <w:rFonts w:hint="eastAsia" w:ascii="宋体" w:hAnsi="宋体" w:eastAsia="宋体" w:cs="Times New Roman"/>
          <w:lang w:val="en-US" w:eastAsia="zh-CN"/>
        </w:rPr>
        <w:t>7</w:t>
      </w:r>
      <w:bookmarkEnd w:id="31"/>
      <w:bookmarkEnd w:id="32"/>
      <w:bookmarkEnd w:id="33"/>
      <w:bookmarkEnd w:id="34"/>
      <w:bookmarkEnd w:id="35"/>
      <w:r>
        <w:rPr>
          <w:rFonts w:hint="eastAsia" w:ascii="宋体" w:hAnsi="宋体" w:eastAsia="宋体" w:cs="Times New Roman"/>
          <w:lang w:val="en-US" w:eastAsia="zh-CN"/>
        </w:rPr>
        <w:t>.</w:t>
      </w:r>
      <w:r>
        <w:rPr>
          <w:rFonts w:hint="eastAsia" w:ascii="宋体" w:hAnsi="宋体" w:eastAsia="宋体" w:cs="Times New Roman"/>
        </w:rPr>
        <w:t>售后服务及其它服务要求</w:t>
      </w:r>
      <w:bookmarkEnd w:id="36"/>
      <w:bookmarkEnd w:id="37"/>
    </w:p>
    <w:p>
      <w:pPr>
        <w:tabs>
          <w:tab w:val="left" w:pos="851"/>
        </w:tabs>
        <w:ind w:firstLine="480"/>
        <w:rPr>
          <w:rFonts w:hint="eastAsia" w:ascii="宋体" w:hAnsi="宋体" w:eastAsia="宋体" w:cs="宋体"/>
          <w:lang w:val="en-US" w:eastAsia="zh-CN"/>
        </w:rPr>
      </w:pPr>
      <w:bookmarkStart w:id="38" w:name="_Toc29252"/>
      <w:bookmarkStart w:id="39" w:name="_Toc30582"/>
      <w:bookmarkStart w:id="40" w:name="_Toc13136"/>
      <w:bookmarkStart w:id="41" w:name="_Toc10389"/>
      <w:bookmarkStart w:id="42" w:name="_Toc20620"/>
      <w:bookmarkStart w:id="43" w:name="_Toc10829"/>
      <w:bookmarkStart w:id="44" w:name="_Toc10420"/>
      <w:bookmarkStart w:id="45" w:name="_Toc20198"/>
      <w:bookmarkStart w:id="46" w:name="_Toc28511"/>
      <w:bookmarkStart w:id="47" w:name="_Toc11564"/>
      <w:bookmarkStart w:id="48" w:name="_Toc26277"/>
      <w:bookmarkStart w:id="49" w:name="_Toc20141"/>
      <w:bookmarkStart w:id="50" w:name="_Toc26310"/>
      <w:bookmarkStart w:id="51" w:name="_Toc28372"/>
      <w:r>
        <w:rPr>
          <w:rFonts w:hint="eastAsia" w:ascii="宋体" w:hAnsi="宋体" w:eastAsia="宋体" w:cs="宋体"/>
          <w:lang w:val="en-US" w:eastAsia="zh-CN"/>
        </w:rPr>
        <w:t>7.1 售后服务</w:t>
      </w:r>
      <w:bookmarkEnd w:id="38"/>
      <w:bookmarkEnd w:id="39"/>
      <w:bookmarkEnd w:id="40"/>
      <w:bookmarkEnd w:id="41"/>
      <w:bookmarkEnd w:id="42"/>
      <w:bookmarkEnd w:id="43"/>
      <w:bookmarkEnd w:id="44"/>
      <w:bookmarkEnd w:id="45"/>
      <w:bookmarkEnd w:id="46"/>
      <w:bookmarkEnd w:id="47"/>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（1）项目质保期为12个月，质保期自项目完工并通过招标方验收之日起开始计算。投标方应免费提供系统软件升级、培训、设计联络、技术服务，并保障设备生命周期内所有软件系统的技术支持；</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（2）提供7×24小时的技术支持服务，制定固定的技术负责人及联络电话等，技术负责人变更前应书面通知招标方。</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（3）在用户发现软件故障时，投标方必须在用户提出维护要求的4小时内作出响应，24小时内提交故障分析报告和解决方案，48小时内解决故障；</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（4）对于用户提出的软件性能提高、功能增加等改进要求，如属“技术规范书”的范畴，投标方应在2周内予以解决；如属“技术规范书”以外的功能制作，也应提供优惠服务。</w:t>
      </w:r>
    </w:p>
    <w:p>
      <w:pPr>
        <w:tabs>
          <w:tab w:val="left" w:pos="851"/>
        </w:tabs>
        <w:ind w:firstLine="480"/>
        <w:rPr>
          <w:rFonts w:hint="eastAsia" w:ascii="宋体" w:hAnsi="宋体" w:eastAsia="宋体" w:cs="宋体"/>
          <w:lang w:val="en-US" w:eastAsia="zh-CN"/>
        </w:rPr>
      </w:pPr>
      <w:bookmarkStart w:id="52" w:name="_Toc29014"/>
      <w:bookmarkStart w:id="53" w:name="_Toc12748"/>
      <w:bookmarkStart w:id="54" w:name="_Toc17466"/>
      <w:bookmarkStart w:id="55" w:name="_Toc11532"/>
      <w:bookmarkStart w:id="56" w:name="_Toc12127"/>
      <w:bookmarkStart w:id="57" w:name="_Toc24565"/>
      <w:bookmarkStart w:id="58" w:name="_Toc6703"/>
      <w:bookmarkStart w:id="59" w:name="_Toc3047"/>
      <w:bookmarkStart w:id="60" w:name="_Toc12828"/>
      <w:bookmarkStart w:id="61" w:name="_Toc10191"/>
      <w:bookmarkStart w:id="62" w:name="_Toc9332"/>
      <w:bookmarkStart w:id="63" w:name="_Toc22421"/>
      <w:r>
        <w:rPr>
          <w:rFonts w:hint="eastAsia" w:ascii="宋体" w:hAnsi="宋体" w:eastAsia="宋体" w:cs="宋体"/>
          <w:lang w:val="en-US" w:eastAsia="zh-CN"/>
        </w:rPr>
        <w:t>7.2 其它服务要求</w:t>
      </w:r>
      <w:bookmarkEnd w:id="52"/>
      <w:bookmarkEnd w:id="53"/>
      <w:bookmarkEnd w:id="54"/>
      <w:bookmarkEnd w:id="55"/>
      <w:bookmarkEnd w:id="56"/>
      <w:bookmarkEnd w:id="57"/>
      <w:bookmarkEnd w:id="58"/>
      <w:bookmarkEnd w:id="59"/>
      <w:bookmarkEnd w:id="60"/>
      <w:bookmarkEnd w:id="61"/>
      <w:bookmarkEnd w:id="62"/>
      <w:bookmarkEnd w:id="63"/>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（1）应对技术支持人员进行网络安全身份认证及背景审查，并进行安全教育、培训；</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 投标方人员现场按规定流程工作，严禁使用非专用终端（笔记本电脑）、移动介质（U盘），防范病毒感染等风险；系统应满足信息网络安全要求，以及南方电网公司网络安全合规库要求，系统涉及的操作系统、数据库等均应为自主可控的产品；</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（3）投标方应做好有关信息的保密工作，严禁将带有南方电网公司标志及相关信息的制作、测试环境接入互联网等外部环境，严禁将系统运行的业务数据拷贝或发送到外部使用。</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投标人提供的操作系统、数据库、中间件等应选用安全可靠的产品。操作系统须通过中国信息安全测评中心、国家保密科技测评中心的安全可靠测评（如麒麟、统信等操作系统）。使用的集中式数据库必须通过中国信息安全测评中心、国家保密科技测评中心的安全可靠测评。</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5）若涉及计算机（服务器、工作站、便携式电脑等）、网络设备（交换机、路由器）、网络安全设备（防火墙、加密、态势感知装置等）及计算机外接设备（打印机、扫描仪、多功能一体机）应选用安全可靠产品，其产品的中央处理器（CPU）须通过中国信息安全测评中心、国家保密科技测评中心的安全可靠测评。</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6）投标人提供的其他网信软、硬件产品应满足国产化要求，具有完整国产自主知识产权（提供专利证书或软件著作权证书），不得使用未通过国家网络安全审查的设备元件、组件。禁止选用经国家相关部门检测认定并经国家能源局通报存在漏洞和风险的系统及设备。除安全接入区外，禁止选用具有无线通信功能的设备。</w:t>
      </w:r>
      <w:bookmarkEnd w:id="48"/>
      <w:bookmarkEnd w:id="49"/>
      <w:bookmarkEnd w:id="50"/>
      <w:bookmarkEnd w:id="51"/>
      <w:bookmarkStart w:id="64" w:name="_Toc1182"/>
      <w:bookmarkStart w:id="65" w:name="_Toc16657"/>
    </w:p>
    <w:p>
      <w:pPr>
        <w:pStyle w:val="5"/>
        <w:numPr>
          <w:ilvl w:val="255"/>
          <w:numId w:val="0"/>
        </w:numPr>
        <w:spacing w:before="312" w:after="156"/>
        <w:rPr>
          <w:rFonts w:hint="eastAsia" w:ascii="宋体" w:hAnsi="宋体" w:eastAsia="宋体" w:cs="Times New Roman"/>
        </w:rPr>
      </w:pPr>
      <w:r>
        <w:rPr>
          <w:rFonts w:hint="eastAsia" w:ascii="宋体" w:hAnsi="宋体" w:eastAsia="宋体" w:cs="Times New Roman"/>
          <w:lang w:val="en-US" w:eastAsia="zh-CN"/>
        </w:rPr>
        <w:t>8.</w:t>
      </w:r>
      <w:r>
        <w:rPr>
          <w:rFonts w:hint="eastAsia" w:ascii="宋体" w:hAnsi="宋体" w:eastAsia="宋体" w:cs="Times New Roman"/>
        </w:rPr>
        <w:t>对投标技术文件的要求</w:t>
      </w:r>
      <w:bookmarkEnd w:id="64"/>
      <w:bookmarkEnd w:id="65"/>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投标技术文件必须包括但不限于以下内容：投标技术文件响应，技术差异表。</w:t>
      </w:r>
    </w:p>
    <w:p>
      <w:pPr>
        <w:tabs>
          <w:tab w:val="left" w:pos="851"/>
        </w:tabs>
        <w:ind w:firstLine="480"/>
        <w:rPr>
          <w:rFonts w:hint="eastAsia" w:ascii="宋体" w:hAnsi="宋体" w:eastAsia="宋体" w:cs="宋体"/>
          <w:lang w:val="en-US" w:eastAsia="zh-CN"/>
        </w:rPr>
      </w:pPr>
      <w:bookmarkStart w:id="66" w:name="_Toc11575"/>
      <w:r>
        <w:rPr>
          <w:rFonts w:hint="eastAsia" w:ascii="宋体" w:hAnsi="宋体" w:eastAsia="宋体" w:cs="宋体"/>
          <w:lang w:val="en-US" w:eastAsia="zh-CN"/>
        </w:rPr>
        <w:t>8.1投标文件的响应</w:t>
      </w:r>
      <w:bookmarkEnd w:id="66"/>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人的投标技术文件响应中，要求对本招标文件所提出各项要求进行逐条逐项答复、说明和解释。首先对实现或满足程度明确作出“满足”、“部分满足”、“不满足”等应答，不得使用“明白”、“理解”等词语。凡采用“详见”、“参见”等方式说明的，应指明参见文档的章节及页码。凡采用“部分满足”应答的，应详细说明哪部分满足或不满足。</w:t>
      </w:r>
    </w:p>
    <w:p>
      <w:pPr>
        <w:snapToGrid w:val="0"/>
        <w:spacing w:line="360" w:lineRule="auto"/>
        <w:ind w:firstLine="0" w:firstLineChars="0"/>
        <w:jc w:val="center"/>
        <w:rPr>
          <w:color w:val="auto"/>
          <w:szCs w:val="21"/>
          <w:highlight w:val="none"/>
        </w:rPr>
      </w:pPr>
      <w:bookmarkStart w:id="67" w:name="_Toc283142574"/>
      <w:r>
        <w:rPr>
          <w:rFonts w:hint="eastAsia"/>
          <w:color w:val="auto"/>
          <w:szCs w:val="21"/>
          <w:highlight w:val="none"/>
        </w:rPr>
        <w:t>表</w:t>
      </w:r>
      <w:r>
        <w:rPr>
          <w:rFonts w:hint="eastAsia"/>
          <w:color w:val="auto"/>
          <w:szCs w:val="21"/>
          <w:highlight w:val="none"/>
          <w:lang w:val="en-US" w:eastAsia="zh-CN"/>
        </w:rPr>
        <w:t>8.1</w:t>
      </w:r>
      <w:r>
        <w:rPr>
          <w:color w:val="auto"/>
          <w:szCs w:val="21"/>
          <w:highlight w:val="none"/>
        </w:rPr>
        <w:t xml:space="preserve">  </w:t>
      </w:r>
      <w:bookmarkEnd w:id="67"/>
      <w:r>
        <w:rPr>
          <w:rFonts w:hint="eastAsia"/>
          <w:color w:val="auto"/>
          <w:szCs w:val="21"/>
          <w:highlight w:val="none"/>
        </w:rPr>
        <w:t>技术参数和性能要求响应表</w:t>
      </w:r>
    </w:p>
    <w:tbl>
      <w:tblPr>
        <w:tblStyle w:val="20"/>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2"/>
        <w:gridCol w:w="2141"/>
        <w:gridCol w:w="3649"/>
        <w:gridCol w:w="19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pct"/>
            <w:noWrap w:val="0"/>
            <w:vAlign w:val="center"/>
          </w:tcPr>
          <w:p>
            <w:pPr>
              <w:adjustRightInd w:val="0"/>
              <w:snapToGrid w:val="0"/>
              <w:spacing w:line="348" w:lineRule="auto"/>
              <w:ind w:firstLine="0" w:firstLineChars="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序号</w:t>
            </w:r>
          </w:p>
        </w:tc>
        <w:tc>
          <w:tcPr>
            <w:tcW w:w="1258" w:type="pct"/>
            <w:noWrap w:val="0"/>
            <w:vAlign w:val="center"/>
          </w:tcPr>
          <w:p>
            <w:pPr>
              <w:adjustRightInd w:val="0"/>
              <w:snapToGrid w:val="0"/>
              <w:spacing w:line="348" w:lineRule="auto"/>
              <w:ind w:firstLine="0" w:firstLineChars="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标的名称</w:t>
            </w:r>
          </w:p>
        </w:tc>
        <w:tc>
          <w:tcPr>
            <w:tcW w:w="2144" w:type="pct"/>
            <w:noWrap w:val="0"/>
            <w:vAlign w:val="center"/>
          </w:tcPr>
          <w:p>
            <w:pPr>
              <w:widowControl w:val="0"/>
              <w:ind w:firstLine="0" w:firstLineChars="0"/>
              <w:jc w:val="center"/>
              <w:rPr>
                <w:rFonts w:hint="eastAsia" w:ascii="宋体" w:hAnsi="宋体" w:eastAsia="宋体" w:cs="宋体"/>
                <w:kern w:val="2"/>
                <w:sz w:val="24"/>
                <w:szCs w:val="24"/>
                <w:highlight w:val="none"/>
                <w:vertAlign w:val="baseline"/>
                <w:lang w:val="en-US" w:eastAsia="zh-CN" w:bidi="ar-SA"/>
              </w:rPr>
            </w:pPr>
            <w:r>
              <w:rPr>
                <w:rFonts w:hint="eastAsia" w:ascii="宋体" w:hAnsi="宋体" w:eastAsia="宋体" w:cs="宋体"/>
                <w:kern w:val="2"/>
                <w:sz w:val="24"/>
                <w:szCs w:val="24"/>
                <w:highlight w:val="none"/>
                <w:lang w:val="en-US" w:eastAsia="zh-CN" w:bidi="ar-SA"/>
              </w:rPr>
              <w:t>项目要求值</w:t>
            </w:r>
          </w:p>
        </w:tc>
        <w:tc>
          <w:tcPr>
            <w:tcW w:w="1125" w:type="pct"/>
            <w:noWrap w:val="0"/>
            <w:vAlign w:val="center"/>
          </w:tcPr>
          <w:p>
            <w:pPr>
              <w:widowControl w:val="0"/>
              <w:ind w:firstLine="0" w:firstLineChars="0"/>
              <w:jc w:val="center"/>
              <w:rPr>
                <w:rFonts w:hint="eastAsia" w:ascii="宋体" w:hAnsi="宋体" w:eastAsia="宋体" w:cs="宋体"/>
                <w:kern w:val="2"/>
                <w:sz w:val="24"/>
                <w:szCs w:val="24"/>
                <w:highlight w:val="none"/>
                <w:vertAlign w:val="baseline"/>
                <w:lang w:val="en-US" w:eastAsia="zh-CN" w:bidi="ar-SA"/>
              </w:rPr>
            </w:pPr>
            <w:r>
              <w:rPr>
                <w:rFonts w:hint="eastAsia" w:ascii="宋体" w:hAnsi="宋体" w:eastAsia="宋体" w:cs="宋体"/>
                <w:kern w:val="2"/>
                <w:sz w:val="24"/>
                <w:szCs w:val="24"/>
                <w:highlight w:val="none"/>
                <w:lang w:val="en-US" w:eastAsia="zh-CN" w:bidi="ar-SA"/>
              </w:rPr>
              <w:t>投标方保证值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pct"/>
            <w:noWrap w:val="0"/>
            <w:vAlign w:val="center"/>
          </w:tcPr>
          <w:p>
            <w:pPr>
              <w:keepNext w:val="0"/>
              <w:keepLines w:val="0"/>
              <w:widowControl/>
              <w:suppressLineNumbers w:val="0"/>
              <w:spacing w:line="240" w:lineRule="auto"/>
              <w:ind w:firstLine="0" w:firstLineChars="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1</w:t>
            </w:r>
          </w:p>
        </w:tc>
        <w:tc>
          <w:tcPr>
            <w:tcW w:w="1258" w:type="pct"/>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基于AI视觉的输电线路综合智能激光驱鸟装置</w:t>
            </w:r>
          </w:p>
        </w:tc>
        <w:tc>
          <w:tcPr>
            <w:tcW w:w="2144" w:type="pct"/>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1.激光驱鸟装置1套；</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w:t>
            </w:r>
            <w:r>
              <w:rPr>
                <w:rFonts w:hint="eastAsia" w:ascii="宋体" w:hAnsi="宋体" w:cs="宋体"/>
                <w:i w:val="0"/>
                <w:iCs w:val="0"/>
                <w:color w:val="000000"/>
                <w:kern w:val="0"/>
                <w:sz w:val="20"/>
                <w:szCs w:val="20"/>
                <w:highlight w:val="none"/>
                <w:u w:val="none"/>
                <w:lang w:val="en-US" w:eastAsia="zh-CN" w:bidi="ar"/>
              </w:rPr>
              <w:t>配合</w:t>
            </w:r>
            <w:bookmarkStart w:id="69" w:name="_GoBack"/>
            <w:bookmarkEnd w:id="69"/>
            <w:r>
              <w:rPr>
                <w:rFonts w:hint="eastAsia" w:ascii="宋体" w:hAnsi="宋体" w:eastAsia="宋体" w:cs="宋体"/>
                <w:i w:val="0"/>
                <w:iCs w:val="0"/>
                <w:color w:val="000000"/>
                <w:kern w:val="0"/>
                <w:sz w:val="20"/>
                <w:szCs w:val="20"/>
                <w:highlight w:val="none"/>
                <w:u w:val="none"/>
                <w:lang w:val="en-US" w:eastAsia="zh-CN" w:bidi="ar"/>
              </w:rPr>
              <w:t>编制发明专利申请文本1份；</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3.技术研究报告1份；</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4.算法模型测试报告1份。</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5.完成第三方检测（检测机构应具备CMA或CNAS认证资质）</w:t>
            </w:r>
            <w:r>
              <w:rPr>
                <w:rFonts w:hint="eastAsia" w:ascii="宋体" w:hAnsi="宋体" w:cs="宋体"/>
                <w:i w:val="0"/>
                <w:iCs w:val="0"/>
                <w:color w:val="000000"/>
                <w:kern w:val="0"/>
                <w:sz w:val="20"/>
                <w:szCs w:val="20"/>
                <w:highlight w:val="none"/>
                <w:u w:val="none"/>
                <w:lang w:val="en-US" w:eastAsia="zh-CN" w:bidi="ar"/>
              </w:rPr>
              <w:t>；</w:t>
            </w:r>
          </w:p>
          <w:p>
            <w:pPr>
              <w:keepNext w:val="0"/>
              <w:keepLines w:val="0"/>
              <w:widowControl/>
              <w:suppressLineNumbers w:val="0"/>
              <w:spacing w:line="240" w:lineRule="auto"/>
              <w:ind w:firstLine="0" w:firstLineChars="0"/>
              <w:jc w:val="both"/>
              <w:textAlignment w:val="center"/>
              <w:rPr>
                <w:rFonts w:hint="default"/>
                <w:lang w:val="en-US" w:eastAsia="zh-CN"/>
              </w:rPr>
            </w:pPr>
            <w:r>
              <w:rPr>
                <w:rFonts w:hint="eastAsia" w:ascii="宋体" w:hAnsi="宋体" w:cs="宋体"/>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完成第三方检测报告及相关中试报告个1份。</w:t>
            </w:r>
          </w:p>
        </w:tc>
        <w:tc>
          <w:tcPr>
            <w:tcW w:w="1125" w:type="pct"/>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sz w:val="24"/>
                <w:szCs w:val="24"/>
                <w:highlight w:val="none"/>
                <w:vertAlign w:val="baseline"/>
              </w:rPr>
            </w:pPr>
          </w:p>
        </w:tc>
      </w:tr>
    </w:tbl>
    <w:p>
      <w:pPr>
        <w:rPr>
          <w:rFonts w:hint="eastAsia" w:ascii="宋体" w:hAnsi="宋体" w:cs="宋体"/>
          <w:sz w:val="24"/>
          <w:szCs w:val="24"/>
          <w:highlight w:val="none"/>
        </w:rPr>
      </w:pPr>
    </w:p>
    <w:p>
      <w:pPr>
        <w:tabs>
          <w:tab w:val="left" w:pos="851"/>
        </w:tabs>
        <w:ind w:firstLine="480"/>
        <w:rPr>
          <w:rFonts w:hint="eastAsia" w:ascii="宋体" w:hAnsi="宋体" w:eastAsia="宋体" w:cs="宋体"/>
          <w:lang w:val="en-US" w:eastAsia="zh-CN"/>
        </w:rPr>
      </w:pPr>
      <w:bookmarkStart w:id="68" w:name="_Toc23057"/>
      <w:r>
        <w:rPr>
          <w:rFonts w:hint="eastAsia" w:ascii="宋体" w:hAnsi="宋体" w:eastAsia="宋体" w:cs="宋体"/>
          <w:lang w:val="en-US" w:eastAsia="zh-CN"/>
        </w:rPr>
        <w:t>8.2投标方技术偏差表</w:t>
      </w:r>
      <w:bookmarkEnd w:id="68"/>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投标方提供的产品技术规范应与本技术规范中规定的要求一致。若有偏差投标方应如实、认真地填写偏差值；若无技术偏差则视为完全满足本技术规范的要求，且在投标方技术偏差表中填写“无偏差”。</w:t>
      </w:r>
    </w:p>
    <w:p>
      <w:pPr>
        <w:keepNext/>
        <w:keepLines w:val="0"/>
        <w:pageBreakBefore w:val="0"/>
        <w:widowControl w:val="0"/>
        <w:kinsoku/>
        <w:wordWrap/>
        <w:overflowPunct/>
        <w:topLinePunct w:val="0"/>
        <w:autoSpaceDE/>
        <w:autoSpaceDN/>
        <w:bidi w:val="0"/>
        <w:adjustRightInd/>
        <w:snapToGrid/>
        <w:jc w:val="center"/>
        <w:textAlignment w:val="auto"/>
        <w:rPr>
          <w:rFonts w:eastAsia="宋"/>
          <w:color w:val="auto"/>
          <w:highlight w:val="none"/>
        </w:rPr>
      </w:pPr>
      <w:r>
        <w:rPr>
          <w:rFonts w:hint="eastAsia" w:eastAsia="宋"/>
          <w:color w:val="auto"/>
          <w:highlight w:val="none"/>
          <w:lang w:val="en-US" w:eastAsia="zh-CN"/>
        </w:rPr>
        <w:t>表8.2</w:t>
      </w:r>
      <w:r>
        <w:rPr>
          <w:rFonts w:hint="eastAsia" w:eastAsia="宋"/>
          <w:color w:val="auto"/>
          <w:highlight w:val="none"/>
        </w:rPr>
        <w:t>投标方技术偏差表</w:t>
      </w:r>
    </w:p>
    <w:tbl>
      <w:tblPr>
        <w:tblStyle w:val="19"/>
        <w:tblpPr w:leftFromText="180" w:rightFromText="180" w:vertAnchor="text" w:horzAnchor="page" w:tblpX="1857" w:tblpY="313"/>
        <w:tblOverlap w:val="never"/>
        <w:tblW w:w="8417"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601"/>
        <w:gridCol w:w="1104"/>
        <w:gridCol w:w="1760"/>
        <w:gridCol w:w="2013"/>
        <w:gridCol w:w="1613"/>
        <w:gridCol w:w="132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序号</w:t>
            </w:r>
          </w:p>
        </w:tc>
        <w:tc>
          <w:tcPr>
            <w:tcW w:w="1104"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项目</w:t>
            </w:r>
          </w:p>
        </w:tc>
        <w:tc>
          <w:tcPr>
            <w:tcW w:w="1760"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对应条款编号</w:t>
            </w:r>
          </w:p>
        </w:tc>
        <w:tc>
          <w:tcPr>
            <w:tcW w:w="2013"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技术招标文件要求</w:t>
            </w:r>
          </w:p>
        </w:tc>
        <w:tc>
          <w:tcPr>
            <w:tcW w:w="1613"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hint="eastAsia" w:ascii="Calibri" w:hAnsi="Calibri" w:eastAsia="宋" w:cs="Times New Roman"/>
                <w:color w:val="auto"/>
                <w:kern w:val="2"/>
                <w:sz w:val="21"/>
                <w:szCs w:val="21"/>
                <w:highlight w:val="none"/>
                <w:lang w:val="en-US" w:eastAsia="zh-CN" w:bidi="ar-SA"/>
              </w:rPr>
              <w:t>偏差</w:t>
            </w:r>
          </w:p>
        </w:tc>
        <w:tc>
          <w:tcPr>
            <w:tcW w:w="1326"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1</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2</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hint="eastAsia" w:ascii="Calibri" w:hAnsi="Calibri" w:eastAsia="宋" w:cs="Times New Roman"/>
                <w:color w:val="auto"/>
                <w:kern w:val="2"/>
                <w:sz w:val="21"/>
                <w:szCs w:val="21"/>
                <w:highlight w:val="none"/>
                <w:lang w:val="en-US" w:eastAsia="zh-CN" w:bidi="ar-SA"/>
              </w:rPr>
            </w:pPr>
            <w:r>
              <w:rPr>
                <w:rFonts w:hint="eastAsia" w:ascii="Calibri" w:hAnsi="Calibri" w:eastAsia="宋" w:cs="Times New Roman"/>
                <w:color w:val="auto"/>
                <w:kern w:val="2"/>
                <w:sz w:val="21"/>
                <w:szCs w:val="21"/>
                <w:highlight w:val="none"/>
                <w:lang w:val="en-US" w:eastAsia="zh-CN" w:bidi="ar-SA"/>
              </w:rPr>
              <w:t>3</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bl>
    <w:p>
      <w:pPr>
        <w:ind w:firstLine="480"/>
        <w:rPr>
          <w:rFonts w:hint="eastAsia" w:ascii="宋体" w:hAnsi="宋体"/>
        </w:rPr>
      </w:pPr>
    </w:p>
    <w:sectPr>
      <w:headerReference r:id="rId17" w:type="default"/>
      <w:footerReference r:id="rId18" w:type="default"/>
      <w:pgSz w:w="11906" w:h="16838"/>
      <w:pgMar w:top="1440" w:right="1800" w:bottom="1440" w:left="1800" w:header="851" w:footer="549"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宋">
    <w:altName w:val="宋体"/>
    <w:panose1 w:val="00000000000000000000"/>
    <w:charset w:val="86"/>
    <w:family w:val="roman"/>
    <w:pitch w:val="default"/>
    <w:sig w:usb0="00000000" w:usb1="00000000" w:usb2="00000000" w:usb3="00000000" w:csb0="00040001" w:csb1="00000000"/>
  </w:font>
  <w:font w:name="Sitka Display">
    <w:panose1 w:val="02000505000000020004"/>
    <w:charset w:val="00"/>
    <w:family w:val="auto"/>
    <w:pitch w:val="default"/>
    <w:sig w:usb0="A00002EF" w:usb1="400020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jc w:val="center"/>
    </w:pPr>
    <w:r>
      <w:fldChar w:fldCharType="begin"/>
    </w:r>
    <w:r>
      <w:instrText xml:space="preserve"> PAGE   \* MERGEFORMAT </w:instrText>
    </w:r>
    <w:r>
      <w:fldChar w:fldCharType="separate"/>
    </w:r>
    <w:r>
      <w:t>7</w:t>
    </w:r>
    <w:r>
      <w:fldChar w:fldCharType="end"/>
    </w:r>
  </w:p>
  <w:p>
    <w:pPr>
      <w:pStyle w:val="1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top w:val="none" w:color="auto" w:sz="0" w:space="0"/>
        <w:left w:val="none" w:color="auto" w:sz="0" w:space="0"/>
        <w:bottom w:val="none" w:color="auto" w:sz="0" w:space="1"/>
        <w:right w:val="none" w:color="auto" w:sz="0" w:space="0"/>
        <w:between w:val="none" w:color="auto" w:sz="0" w:space="0"/>
      </w:pBdr>
      <w:ind w:firstLine="360"/>
    </w:pPr>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-1138555</wp:posOffset>
          </wp:positionH>
          <wp:positionV relativeFrom="paragraph">
            <wp:posOffset>-828040</wp:posOffset>
          </wp:positionV>
          <wp:extent cx="7765415" cy="10979150"/>
          <wp:effectExtent l="0" t="0" r="6985" b="0"/>
          <wp:wrapNone/>
          <wp:docPr id="1"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
                  <a:srcRect/>
                  <a:stretch>
                    <a:fillRect/>
                  </a:stretch>
                </pic:blipFill>
                <pic:spPr>
                  <a:xfrm>
                    <a:off x="0" y="0"/>
                    <a:ext cx="7765415" cy="1097915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ind w:firstLine="0" w:firstLineChars="0"/>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ind w:firstLine="0" w:firstLineChars="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decimal"/>
      <w:pStyle w:val="5"/>
      <w:suff w:val="space"/>
      <w:lvlText w:val="%1."/>
      <w:lvlJc w:val="left"/>
      <w:pPr>
        <w:ind w:left="720" w:firstLine="0"/>
      </w:pPr>
      <w:rPr>
        <w:rFonts w:hint="eastAsia"/>
      </w:rPr>
    </w:lvl>
    <w:lvl w:ilvl="1" w:tentative="0">
      <w:start w:val="1"/>
      <w:numFmt w:val="decimal"/>
      <w:lvlText w:val="%1.%2."/>
      <w:lvlJc w:val="left"/>
      <w:pPr>
        <w:ind w:left="0" w:firstLine="0"/>
      </w:pPr>
      <w:rPr>
        <w:rFonts w:hint="eastAsia"/>
      </w:rPr>
    </w:lvl>
    <w:lvl w:ilvl="2" w:tentative="0">
      <w:start w:val="1"/>
      <w:numFmt w:val="decimal"/>
      <w:lvlText w:val="%1.%2.%3."/>
      <w:lvlJc w:val="left"/>
      <w:pPr>
        <w:ind w:left="0" w:firstLine="0"/>
      </w:pPr>
      <w:rPr>
        <w:rFonts w:hint="eastAsia"/>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AxNTEzOTdjZTdkOGE4MWIyMGZiYWQ4MWJkOTIwYTIifQ=="/>
  </w:docVars>
  <w:rsids>
    <w:rsidRoot w:val="00172A27"/>
    <w:rsid w:val="00004157"/>
    <w:rsid w:val="000041A4"/>
    <w:rsid w:val="000052EC"/>
    <w:rsid w:val="00007D13"/>
    <w:rsid w:val="000224BF"/>
    <w:rsid w:val="000258D4"/>
    <w:rsid w:val="00030479"/>
    <w:rsid w:val="00032717"/>
    <w:rsid w:val="00033440"/>
    <w:rsid w:val="00033F7F"/>
    <w:rsid w:val="00035681"/>
    <w:rsid w:val="00035D33"/>
    <w:rsid w:val="00043144"/>
    <w:rsid w:val="00044CDB"/>
    <w:rsid w:val="00046DFE"/>
    <w:rsid w:val="00050BDA"/>
    <w:rsid w:val="00054AA8"/>
    <w:rsid w:val="00055E63"/>
    <w:rsid w:val="00056767"/>
    <w:rsid w:val="000661E0"/>
    <w:rsid w:val="00070856"/>
    <w:rsid w:val="00072157"/>
    <w:rsid w:val="000802B5"/>
    <w:rsid w:val="00085586"/>
    <w:rsid w:val="000874A2"/>
    <w:rsid w:val="00095CB6"/>
    <w:rsid w:val="00096F1E"/>
    <w:rsid w:val="000A263D"/>
    <w:rsid w:val="000A5721"/>
    <w:rsid w:val="000A722B"/>
    <w:rsid w:val="000B3BEC"/>
    <w:rsid w:val="000B435C"/>
    <w:rsid w:val="000B4BE8"/>
    <w:rsid w:val="000B5F9E"/>
    <w:rsid w:val="000D090E"/>
    <w:rsid w:val="000D5CC4"/>
    <w:rsid w:val="000E0498"/>
    <w:rsid w:val="000E0616"/>
    <w:rsid w:val="000E0E62"/>
    <w:rsid w:val="000E5032"/>
    <w:rsid w:val="000E5C42"/>
    <w:rsid w:val="000E64A4"/>
    <w:rsid w:val="000F0767"/>
    <w:rsid w:val="00104CFA"/>
    <w:rsid w:val="001109DD"/>
    <w:rsid w:val="00111650"/>
    <w:rsid w:val="001148D6"/>
    <w:rsid w:val="00122043"/>
    <w:rsid w:val="00122E5E"/>
    <w:rsid w:val="00122E78"/>
    <w:rsid w:val="00124416"/>
    <w:rsid w:val="00124504"/>
    <w:rsid w:val="00135D83"/>
    <w:rsid w:val="00150A8E"/>
    <w:rsid w:val="00151D98"/>
    <w:rsid w:val="0016086E"/>
    <w:rsid w:val="001626EF"/>
    <w:rsid w:val="00166883"/>
    <w:rsid w:val="001668FD"/>
    <w:rsid w:val="00171826"/>
    <w:rsid w:val="00172A27"/>
    <w:rsid w:val="00176332"/>
    <w:rsid w:val="001825A1"/>
    <w:rsid w:val="0018662B"/>
    <w:rsid w:val="001945DC"/>
    <w:rsid w:val="00197251"/>
    <w:rsid w:val="00197F2E"/>
    <w:rsid w:val="001A79DB"/>
    <w:rsid w:val="001B531B"/>
    <w:rsid w:val="001C4316"/>
    <w:rsid w:val="001C52D8"/>
    <w:rsid w:val="001C5D9F"/>
    <w:rsid w:val="001D1368"/>
    <w:rsid w:val="001D3DBA"/>
    <w:rsid w:val="001D73FA"/>
    <w:rsid w:val="001D7C43"/>
    <w:rsid w:val="001E16E7"/>
    <w:rsid w:val="001E240F"/>
    <w:rsid w:val="001E5350"/>
    <w:rsid w:val="001E56E3"/>
    <w:rsid w:val="001E6310"/>
    <w:rsid w:val="001F1B3A"/>
    <w:rsid w:val="001F2E26"/>
    <w:rsid w:val="001F5E12"/>
    <w:rsid w:val="00200344"/>
    <w:rsid w:val="00204DDE"/>
    <w:rsid w:val="00206CA6"/>
    <w:rsid w:val="002076A9"/>
    <w:rsid w:val="002129DB"/>
    <w:rsid w:val="00214076"/>
    <w:rsid w:val="00215454"/>
    <w:rsid w:val="00215C24"/>
    <w:rsid w:val="002170DB"/>
    <w:rsid w:val="00221DD8"/>
    <w:rsid w:val="00223528"/>
    <w:rsid w:val="00227267"/>
    <w:rsid w:val="002272F7"/>
    <w:rsid w:val="00232F10"/>
    <w:rsid w:val="002447E5"/>
    <w:rsid w:val="00244A2F"/>
    <w:rsid w:val="00244F7C"/>
    <w:rsid w:val="00253136"/>
    <w:rsid w:val="00254812"/>
    <w:rsid w:val="0025554B"/>
    <w:rsid w:val="00256DFA"/>
    <w:rsid w:val="002578A1"/>
    <w:rsid w:val="00263624"/>
    <w:rsid w:val="0026366A"/>
    <w:rsid w:val="00273D45"/>
    <w:rsid w:val="0027655A"/>
    <w:rsid w:val="00277AB6"/>
    <w:rsid w:val="0028170E"/>
    <w:rsid w:val="00281CC3"/>
    <w:rsid w:val="00284961"/>
    <w:rsid w:val="00286DFD"/>
    <w:rsid w:val="00291885"/>
    <w:rsid w:val="00293207"/>
    <w:rsid w:val="00296ABB"/>
    <w:rsid w:val="00297FC6"/>
    <w:rsid w:val="002A2204"/>
    <w:rsid w:val="002A3CE3"/>
    <w:rsid w:val="002B11FE"/>
    <w:rsid w:val="002B3FC8"/>
    <w:rsid w:val="002B6605"/>
    <w:rsid w:val="002C3F8E"/>
    <w:rsid w:val="002C416A"/>
    <w:rsid w:val="002C6F94"/>
    <w:rsid w:val="002D2215"/>
    <w:rsid w:val="002E4799"/>
    <w:rsid w:val="002F0B3F"/>
    <w:rsid w:val="00303976"/>
    <w:rsid w:val="00304504"/>
    <w:rsid w:val="003056CF"/>
    <w:rsid w:val="00323D15"/>
    <w:rsid w:val="00330DB3"/>
    <w:rsid w:val="00331942"/>
    <w:rsid w:val="003374FB"/>
    <w:rsid w:val="00337E95"/>
    <w:rsid w:val="0035398A"/>
    <w:rsid w:val="00367D06"/>
    <w:rsid w:val="00370CBE"/>
    <w:rsid w:val="00374D73"/>
    <w:rsid w:val="00375A24"/>
    <w:rsid w:val="00383D96"/>
    <w:rsid w:val="0038428A"/>
    <w:rsid w:val="00384DD9"/>
    <w:rsid w:val="00387572"/>
    <w:rsid w:val="00390743"/>
    <w:rsid w:val="003A5221"/>
    <w:rsid w:val="003B44D9"/>
    <w:rsid w:val="003B4B63"/>
    <w:rsid w:val="003B71DA"/>
    <w:rsid w:val="003C474C"/>
    <w:rsid w:val="003D2D90"/>
    <w:rsid w:val="003D518E"/>
    <w:rsid w:val="003D5A88"/>
    <w:rsid w:val="003D6855"/>
    <w:rsid w:val="003E1652"/>
    <w:rsid w:val="003E7211"/>
    <w:rsid w:val="003F3D66"/>
    <w:rsid w:val="003F6647"/>
    <w:rsid w:val="0041096A"/>
    <w:rsid w:val="00410AB4"/>
    <w:rsid w:val="00413078"/>
    <w:rsid w:val="00414022"/>
    <w:rsid w:val="004141AF"/>
    <w:rsid w:val="00420404"/>
    <w:rsid w:val="00424010"/>
    <w:rsid w:val="004319DD"/>
    <w:rsid w:val="00431A70"/>
    <w:rsid w:val="0043697B"/>
    <w:rsid w:val="0044008D"/>
    <w:rsid w:val="004428FF"/>
    <w:rsid w:val="004436AF"/>
    <w:rsid w:val="00445A6C"/>
    <w:rsid w:val="004460FA"/>
    <w:rsid w:val="00450340"/>
    <w:rsid w:val="0046254A"/>
    <w:rsid w:val="00464CA7"/>
    <w:rsid w:val="004656FF"/>
    <w:rsid w:val="004715E2"/>
    <w:rsid w:val="00481534"/>
    <w:rsid w:val="004824FD"/>
    <w:rsid w:val="00483253"/>
    <w:rsid w:val="00486E6D"/>
    <w:rsid w:val="00490469"/>
    <w:rsid w:val="00496968"/>
    <w:rsid w:val="004977C0"/>
    <w:rsid w:val="004A3092"/>
    <w:rsid w:val="004A5258"/>
    <w:rsid w:val="004B422D"/>
    <w:rsid w:val="004B73DC"/>
    <w:rsid w:val="004B7665"/>
    <w:rsid w:val="004C2C32"/>
    <w:rsid w:val="004C679B"/>
    <w:rsid w:val="004D40D4"/>
    <w:rsid w:val="004D4E92"/>
    <w:rsid w:val="004D5806"/>
    <w:rsid w:val="004D632E"/>
    <w:rsid w:val="004E0983"/>
    <w:rsid w:val="004E0AD2"/>
    <w:rsid w:val="004E1EF8"/>
    <w:rsid w:val="004E7B53"/>
    <w:rsid w:val="004F5CCD"/>
    <w:rsid w:val="00503AB9"/>
    <w:rsid w:val="00504879"/>
    <w:rsid w:val="005067D0"/>
    <w:rsid w:val="00510D9A"/>
    <w:rsid w:val="00511A84"/>
    <w:rsid w:val="00515454"/>
    <w:rsid w:val="005200C1"/>
    <w:rsid w:val="0052107D"/>
    <w:rsid w:val="00521DD7"/>
    <w:rsid w:val="00525600"/>
    <w:rsid w:val="00532496"/>
    <w:rsid w:val="00533557"/>
    <w:rsid w:val="0053627F"/>
    <w:rsid w:val="005365C7"/>
    <w:rsid w:val="00541F49"/>
    <w:rsid w:val="00542F5A"/>
    <w:rsid w:val="0054505D"/>
    <w:rsid w:val="00546480"/>
    <w:rsid w:val="0055140F"/>
    <w:rsid w:val="005546AC"/>
    <w:rsid w:val="00555060"/>
    <w:rsid w:val="005550E0"/>
    <w:rsid w:val="00570A2E"/>
    <w:rsid w:val="00575B70"/>
    <w:rsid w:val="00576175"/>
    <w:rsid w:val="005770D1"/>
    <w:rsid w:val="00577103"/>
    <w:rsid w:val="005808E9"/>
    <w:rsid w:val="00584106"/>
    <w:rsid w:val="00586294"/>
    <w:rsid w:val="0058651D"/>
    <w:rsid w:val="00594E70"/>
    <w:rsid w:val="005950C1"/>
    <w:rsid w:val="005B5AAA"/>
    <w:rsid w:val="005B7391"/>
    <w:rsid w:val="005C0E9A"/>
    <w:rsid w:val="005C42F8"/>
    <w:rsid w:val="005C45D2"/>
    <w:rsid w:val="005C5FA1"/>
    <w:rsid w:val="005D1816"/>
    <w:rsid w:val="005D3538"/>
    <w:rsid w:val="005D3C76"/>
    <w:rsid w:val="005D5795"/>
    <w:rsid w:val="005D7E95"/>
    <w:rsid w:val="005E1C0A"/>
    <w:rsid w:val="005E4AF6"/>
    <w:rsid w:val="005F0D01"/>
    <w:rsid w:val="005F5385"/>
    <w:rsid w:val="005F642B"/>
    <w:rsid w:val="005F6C08"/>
    <w:rsid w:val="00602D5B"/>
    <w:rsid w:val="00603B29"/>
    <w:rsid w:val="006120BA"/>
    <w:rsid w:val="0061273D"/>
    <w:rsid w:val="00615391"/>
    <w:rsid w:val="00616713"/>
    <w:rsid w:val="00620489"/>
    <w:rsid w:val="00621C69"/>
    <w:rsid w:val="00624B4E"/>
    <w:rsid w:val="0063112A"/>
    <w:rsid w:val="006316A0"/>
    <w:rsid w:val="006346A1"/>
    <w:rsid w:val="00634AA5"/>
    <w:rsid w:val="0063794D"/>
    <w:rsid w:val="00640D51"/>
    <w:rsid w:val="006449DC"/>
    <w:rsid w:val="00651BDE"/>
    <w:rsid w:val="00654782"/>
    <w:rsid w:val="00660BAE"/>
    <w:rsid w:val="006620B3"/>
    <w:rsid w:val="0066639C"/>
    <w:rsid w:val="00667765"/>
    <w:rsid w:val="0067357A"/>
    <w:rsid w:val="00674005"/>
    <w:rsid w:val="00684EB5"/>
    <w:rsid w:val="006856EE"/>
    <w:rsid w:val="00685814"/>
    <w:rsid w:val="00687E51"/>
    <w:rsid w:val="006961CC"/>
    <w:rsid w:val="0069730B"/>
    <w:rsid w:val="006A050D"/>
    <w:rsid w:val="006A0C95"/>
    <w:rsid w:val="006A32DC"/>
    <w:rsid w:val="006A3E2E"/>
    <w:rsid w:val="006B31C3"/>
    <w:rsid w:val="006B7B48"/>
    <w:rsid w:val="006C3FD9"/>
    <w:rsid w:val="006C431A"/>
    <w:rsid w:val="006D1FF4"/>
    <w:rsid w:val="006E0A4A"/>
    <w:rsid w:val="006F0594"/>
    <w:rsid w:val="006F1E19"/>
    <w:rsid w:val="006F53B4"/>
    <w:rsid w:val="0070068F"/>
    <w:rsid w:val="0070113F"/>
    <w:rsid w:val="00702201"/>
    <w:rsid w:val="00702BCA"/>
    <w:rsid w:val="0071238D"/>
    <w:rsid w:val="007131CA"/>
    <w:rsid w:val="0071489E"/>
    <w:rsid w:val="00714D09"/>
    <w:rsid w:val="007157EB"/>
    <w:rsid w:val="0071769C"/>
    <w:rsid w:val="00725DF9"/>
    <w:rsid w:val="00733A12"/>
    <w:rsid w:val="007423F8"/>
    <w:rsid w:val="007429C8"/>
    <w:rsid w:val="007475B0"/>
    <w:rsid w:val="00751F29"/>
    <w:rsid w:val="0075277E"/>
    <w:rsid w:val="00755E29"/>
    <w:rsid w:val="00761415"/>
    <w:rsid w:val="00764ABD"/>
    <w:rsid w:val="00770633"/>
    <w:rsid w:val="00771A04"/>
    <w:rsid w:val="00784867"/>
    <w:rsid w:val="0078561A"/>
    <w:rsid w:val="00785A56"/>
    <w:rsid w:val="00785EFB"/>
    <w:rsid w:val="00795F84"/>
    <w:rsid w:val="0079699C"/>
    <w:rsid w:val="007B1B67"/>
    <w:rsid w:val="007B4054"/>
    <w:rsid w:val="007B7C28"/>
    <w:rsid w:val="007C0F94"/>
    <w:rsid w:val="007C3F03"/>
    <w:rsid w:val="007C5204"/>
    <w:rsid w:val="007D2307"/>
    <w:rsid w:val="007D649B"/>
    <w:rsid w:val="007E7EC8"/>
    <w:rsid w:val="007F2444"/>
    <w:rsid w:val="007F4718"/>
    <w:rsid w:val="007F5D7D"/>
    <w:rsid w:val="007F6999"/>
    <w:rsid w:val="00815AC7"/>
    <w:rsid w:val="008232D4"/>
    <w:rsid w:val="00843392"/>
    <w:rsid w:val="00843E35"/>
    <w:rsid w:val="008457D7"/>
    <w:rsid w:val="00846536"/>
    <w:rsid w:val="00856A73"/>
    <w:rsid w:val="00857C8F"/>
    <w:rsid w:val="008602E4"/>
    <w:rsid w:val="0086374E"/>
    <w:rsid w:val="00866A1B"/>
    <w:rsid w:val="00866C9F"/>
    <w:rsid w:val="00871146"/>
    <w:rsid w:val="00872365"/>
    <w:rsid w:val="0087296F"/>
    <w:rsid w:val="0087344E"/>
    <w:rsid w:val="008746D5"/>
    <w:rsid w:val="008746E1"/>
    <w:rsid w:val="00877AFA"/>
    <w:rsid w:val="00881565"/>
    <w:rsid w:val="00886426"/>
    <w:rsid w:val="00892552"/>
    <w:rsid w:val="00895652"/>
    <w:rsid w:val="008A3A45"/>
    <w:rsid w:val="008A7CE7"/>
    <w:rsid w:val="008B346E"/>
    <w:rsid w:val="008B6898"/>
    <w:rsid w:val="008B753B"/>
    <w:rsid w:val="008B7C6C"/>
    <w:rsid w:val="008C020E"/>
    <w:rsid w:val="008C26D9"/>
    <w:rsid w:val="008C342F"/>
    <w:rsid w:val="008D0CA5"/>
    <w:rsid w:val="008E3EC8"/>
    <w:rsid w:val="00901522"/>
    <w:rsid w:val="00911DA9"/>
    <w:rsid w:val="00915C4F"/>
    <w:rsid w:val="00925041"/>
    <w:rsid w:val="00925365"/>
    <w:rsid w:val="00932F76"/>
    <w:rsid w:val="00933388"/>
    <w:rsid w:val="0093674E"/>
    <w:rsid w:val="00940243"/>
    <w:rsid w:val="00941926"/>
    <w:rsid w:val="00952503"/>
    <w:rsid w:val="00955B4E"/>
    <w:rsid w:val="00957002"/>
    <w:rsid w:val="009605FE"/>
    <w:rsid w:val="009628F5"/>
    <w:rsid w:val="009673C9"/>
    <w:rsid w:val="00976C40"/>
    <w:rsid w:val="00981E3E"/>
    <w:rsid w:val="00984CEB"/>
    <w:rsid w:val="009862DA"/>
    <w:rsid w:val="00986BB2"/>
    <w:rsid w:val="009A5C45"/>
    <w:rsid w:val="009B081C"/>
    <w:rsid w:val="009B1C8B"/>
    <w:rsid w:val="009B4C85"/>
    <w:rsid w:val="009B61D9"/>
    <w:rsid w:val="009C0827"/>
    <w:rsid w:val="009C0B63"/>
    <w:rsid w:val="009C24DF"/>
    <w:rsid w:val="009D5878"/>
    <w:rsid w:val="009D5B5D"/>
    <w:rsid w:val="009E0FE9"/>
    <w:rsid w:val="009E23F4"/>
    <w:rsid w:val="009E5BFB"/>
    <w:rsid w:val="009F04C4"/>
    <w:rsid w:val="009F04C9"/>
    <w:rsid w:val="009F2843"/>
    <w:rsid w:val="009F2B89"/>
    <w:rsid w:val="009F3C0C"/>
    <w:rsid w:val="009F4C8D"/>
    <w:rsid w:val="009F7F98"/>
    <w:rsid w:val="00A02D44"/>
    <w:rsid w:val="00A0383B"/>
    <w:rsid w:val="00A12B0B"/>
    <w:rsid w:val="00A1763A"/>
    <w:rsid w:val="00A21FC7"/>
    <w:rsid w:val="00A24519"/>
    <w:rsid w:val="00A27151"/>
    <w:rsid w:val="00A34954"/>
    <w:rsid w:val="00A349BC"/>
    <w:rsid w:val="00A41D34"/>
    <w:rsid w:val="00A54CE4"/>
    <w:rsid w:val="00A6014B"/>
    <w:rsid w:val="00A642C5"/>
    <w:rsid w:val="00A82E92"/>
    <w:rsid w:val="00A84A0D"/>
    <w:rsid w:val="00A86CD6"/>
    <w:rsid w:val="00A92999"/>
    <w:rsid w:val="00AA3762"/>
    <w:rsid w:val="00AA3949"/>
    <w:rsid w:val="00AA489A"/>
    <w:rsid w:val="00AB2957"/>
    <w:rsid w:val="00AC262B"/>
    <w:rsid w:val="00AC4AA8"/>
    <w:rsid w:val="00AC53E4"/>
    <w:rsid w:val="00AD5385"/>
    <w:rsid w:val="00AE174D"/>
    <w:rsid w:val="00AE467A"/>
    <w:rsid w:val="00AF4B61"/>
    <w:rsid w:val="00AF56F2"/>
    <w:rsid w:val="00AF6D39"/>
    <w:rsid w:val="00B000D2"/>
    <w:rsid w:val="00B014D1"/>
    <w:rsid w:val="00B0578B"/>
    <w:rsid w:val="00B06D17"/>
    <w:rsid w:val="00B1695C"/>
    <w:rsid w:val="00B20308"/>
    <w:rsid w:val="00B332D9"/>
    <w:rsid w:val="00B35E5D"/>
    <w:rsid w:val="00B35FCE"/>
    <w:rsid w:val="00B36D6A"/>
    <w:rsid w:val="00B41150"/>
    <w:rsid w:val="00B44C64"/>
    <w:rsid w:val="00B4557C"/>
    <w:rsid w:val="00B47E7F"/>
    <w:rsid w:val="00B5337C"/>
    <w:rsid w:val="00B53BC3"/>
    <w:rsid w:val="00B559B7"/>
    <w:rsid w:val="00B61A55"/>
    <w:rsid w:val="00B65B69"/>
    <w:rsid w:val="00B677F9"/>
    <w:rsid w:val="00B7364F"/>
    <w:rsid w:val="00B832D0"/>
    <w:rsid w:val="00B94945"/>
    <w:rsid w:val="00B97175"/>
    <w:rsid w:val="00BA0AF7"/>
    <w:rsid w:val="00BA37BB"/>
    <w:rsid w:val="00BA4322"/>
    <w:rsid w:val="00BA6AEB"/>
    <w:rsid w:val="00BB0D8D"/>
    <w:rsid w:val="00BB204F"/>
    <w:rsid w:val="00BB3130"/>
    <w:rsid w:val="00BC0CE4"/>
    <w:rsid w:val="00BC1DF0"/>
    <w:rsid w:val="00BD3953"/>
    <w:rsid w:val="00BE3A35"/>
    <w:rsid w:val="00BF3D2F"/>
    <w:rsid w:val="00BF520A"/>
    <w:rsid w:val="00BF706B"/>
    <w:rsid w:val="00C0619F"/>
    <w:rsid w:val="00C074A9"/>
    <w:rsid w:val="00C12CF2"/>
    <w:rsid w:val="00C172C3"/>
    <w:rsid w:val="00C25569"/>
    <w:rsid w:val="00C302FA"/>
    <w:rsid w:val="00C30946"/>
    <w:rsid w:val="00C334C5"/>
    <w:rsid w:val="00C34AE5"/>
    <w:rsid w:val="00C40698"/>
    <w:rsid w:val="00C451EA"/>
    <w:rsid w:val="00C517D1"/>
    <w:rsid w:val="00C53028"/>
    <w:rsid w:val="00C542F7"/>
    <w:rsid w:val="00C56DEE"/>
    <w:rsid w:val="00C600C7"/>
    <w:rsid w:val="00C636B7"/>
    <w:rsid w:val="00C66A18"/>
    <w:rsid w:val="00C7216E"/>
    <w:rsid w:val="00C842BD"/>
    <w:rsid w:val="00C921CD"/>
    <w:rsid w:val="00C93C34"/>
    <w:rsid w:val="00C97BF9"/>
    <w:rsid w:val="00CA30C0"/>
    <w:rsid w:val="00CB1AD1"/>
    <w:rsid w:val="00CB4083"/>
    <w:rsid w:val="00CB7961"/>
    <w:rsid w:val="00CC555F"/>
    <w:rsid w:val="00CC6711"/>
    <w:rsid w:val="00CD16D2"/>
    <w:rsid w:val="00CD1731"/>
    <w:rsid w:val="00CD1C9F"/>
    <w:rsid w:val="00CD7BD4"/>
    <w:rsid w:val="00CD7DA4"/>
    <w:rsid w:val="00CE29D1"/>
    <w:rsid w:val="00CF46C9"/>
    <w:rsid w:val="00CF66A6"/>
    <w:rsid w:val="00CF6719"/>
    <w:rsid w:val="00D03B03"/>
    <w:rsid w:val="00D06041"/>
    <w:rsid w:val="00D128FD"/>
    <w:rsid w:val="00D1332B"/>
    <w:rsid w:val="00D24E2D"/>
    <w:rsid w:val="00D30F60"/>
    <w:rsid w:val="00D42328"/>
    <w:rsid w:val="00D46B74"/>
    <w:rsid w:val="00D548D9"/>
    <w:rsid w:val="00D56005"/>
    <w:rsid w:val="00D6301D"/>
    <w:rsid w:val="00D74DA6"/>
    <w:rsid w:val="00D770CD"/>
    <w:rsid w:val="00D86FBA"/>
    <w:rsid w:val="00D877D8"/>
    <w:rsid w:val="00D92539"/>
    <w:rsid w:val="00D9290E"/>
    <w:rsid w:val="00D936B8"/>
    <w:rsid w:val="00D93872"/>
    <w:rsid w:val="00D94D3B"/>
    <w:rsid w:val="00DA06B5"/>
    <w:rsid w:val="00DA4723"/>
    <w:rsid w:val="00DA4A72"/>
    <w:rsid w:val="00DB06E8"/>
    <w:rsid w:val="00DB6A2A"/>
    <w:rsid w:val="00DB781A"/>
    <w:rsid w:val="00DC3AA5"/>
    <w:rsid w:val="00DC4367"/>
    <w:rsid w:val="00DC4368"/>
    <w:rsid w:val="00DC53BB"/>
    <w:rsid w:val="00DD2F52"/>
    <w:rsid w:val="00DD4126"/>
    <w:rsid w:val="00DD6EC5"/>
    <w:rsid w:val="00DE41CF"/>
    <w:rsid w:val="00DF3C0C"/>
    <w:rsid w:val="00DF57F5"/>
    <w:rsid w:val="00DF58D7"/>
    <w:rsid w:val="00E033D5"/>
    <w:rsid w:val="00E046DA"/>
    <w:rsid w:val="00E137EF"/>
    <w:rsid w:val="00E22B77"/>
    <w:rsid w:val="00E24F8F"/>
    <w:rsid w:val="00E24F93"/>
    <w:rsid w:val="00E327BA"/>
    <w:rsid w:val="00E33503"/>
    <w:rsid w:val="00E36B58"/>
    <w:rsid w:val="00E37E74"/>
    <w:rsid w:val="00E4290E"/>
    <w:rsid w:val="00E47476"/>
    <w:rsid w:val="00E5152A"/>
    <w:rsid w:val="00E524C1"/>
    <w:rsid w:val="00E65502"/>
    <w:rsid w:val="00E67613"/>
    <w:rsid w:val="00E67E90"/>
    <w:rsid w:val="00E7510A"/>
    <w:rsid w:val="00E80769"/>
    <w:rsid w:val="00E8103A"/>
    <w:rsid w:val="00E8536E"/>
    <w:rsid w:val="00E87412"/>
    <w:rsid w:val="00E914F5"/>
    <w:rsid w:val="00E92D2F"/>
    <w:rsid w:val="00EA076D"/>
    <w:rsid w:val="00EA1090"/>
    <w:rsid w:val="00EA1201"/>
    <w:rsid w:val="00EA35A1"/>
    <w:rsid w:val="00EB702A"/>
    <w:rsid w:val="00EB7D0B"/>
    <w:rsid w:val="00EC1C6D"/>
    <w:rsid w:val="00EC2DB6"/>
    <w:rsid w:val="00EC6991"/>
    <w:rsid w:val="00EC6A5C"/>
    <w:rsid w:val="00EC6C7B"/>
    <w:rsid w:val="00ED58A5"/>
    <w:rsid w:val="00ED76F8"/>
    <w:rsid w:val="00EE3F7F"/>
    <w:rsid w:val="00EE7B24"/>
    <w:rsid w:val="00EF07D2"/>
    <w:rsid w:val="00EF40E7"/>
    <w:rsid w:val="00EF7E26"/>
    <w:rsid w:val="00F05D7C"/>
    <w:rsid w:val="00F10131"/>
    <w:rsid w:val="00F11B25"/>
    <w:rsid w:val="00F21728"/>
    <w:rsid w:val="00F306AF"/>
    <w:rsid w:val="00F34F40"/>
    <w:rsid w:val="00F354F3"/>
    <w:rsid w:val="00F35CA2"/>
    <w:rsid w:val="00F36D3A"/>
    <w:rsid w:val="00F41E93"/>
    <w:rsid w:val="00F7145F"/>
    <w:rsid w:val="00F76968"/>
    <w:rsid w:val="00F83D9D"/>
    <w:rsid w:val="00F871A0"/>
    <w:rsid w:val="00F87440"/>
    <w:rsid w:val="00F9269A"/>
    <w:rsid w:val="00F94332"/>
    <w:rsid w:val="00F943CC"/>
    <w:rsid w:val="00F9673E"/>
    <w:rsid w:val="00FB0EC3"/>
    <w:rsid w:val="00FB1093"/>
    <w:rsid w:val="00FC1D1E"/>
    <w:rsid w:val="00FC2BA1"/>
    <w:rsid w:val="00FC70CA"/>
    <w:rsid w:val="00FD532A"/>
    <w:rsid w:val="00FD75F1"/>
    <w:rsid w:val="00FE3E95"/>
    <w:rsid w:val="00FE55AE"/>
    <w:rsid w:val="00FF15D5"/>
    <w:rsid w:val="00FF7B7F"/>
    <w:rsid w:val="0115077C"/>
    <w:rsid w:val="0116312F"/>
    <w:rsid w:val="0175001E"/>
    <w:rsid w:val="017C66DE"/>
    <w:rsid w:val="01804A4C"/>
    <w:rsid w:val="01890D0B"/>
    <w:rsid w:val="01963062"/>
    <w:rsid w:val="01AC1887"/>
    <w:rsid w:val="01DD1E9F"/>
    <w:rsid w:val="01E37A17"/>
    <w:rsid w:val="01F55FA8"/>
    <w:rsid w:val="020578DD"/>
    <w:rsid w:val="026C4FD1"/>
    <w:rsid w:val="027A2971"/>
    <w:rsid w:val="028606DA"/>
    <w:rsid w:val="02B11EFA"/>
    <w:rsid w:val="02C9546D"/>
    <w:rsid w:val="03604AE8"/>
    <w:rsid w:val="03EE0393"/>
    <w:rsid w:val="04155920"/>
    <w:rsid w:val="04305357"/>
    <w:rsid w:val="044E2BE0"/>
    <w:rsid w:val="0452141E"/>
    <w:rsid w:val="04842AA6"/>
    <w:rsid w:val="048707FB"/>
    <w:rsid w:val="04980A96"/>
    <w:rsid w:val="049D5915"/>
    <w:rsid w:val="04DD0CB1"/>
    <w:rsid w:val="04ED66A4"/>
    <w:rsid w:val="05087233"/>
    <w:rsid w:val="05406EB7"/>
    <w:rsid w:val="059D2DF8"/>
    <w:rsid w:val="05BA78F4"/>
    <w:rsid w:val="05C55124"/>
    <w:rsid w:val="05CB7B8E"/>
    <w:rsid w:val="05CE4396"/>
    <w:rsid w:val="05F17CC7"/>
    <w:rsid w:val="062A122C"/>
    <w:rsid w:val="06E65352"/>
    <w:rsid w:val="074B6D85"/>
    <w:rsid w:val="07713C35"/>
    <w:rsid w:val="07B63B11"/>
    <w:rsid w:val="07D720B6"/>
    <w:rsid w:val="07DB403D"/>
    <w:rsid w:val="07ED0B0D"/>
    <w:rsid w:val="080D690E"/>
    <w:rsid w:val="081F390C"/>
    <w:rsid w:val="08B275D1"/>
    <w:rsid w:val="08E001B0"/>
    <w:rsid w:val="09222209"/>
    <w:rsid w:val="098826F0"/>
    <w:rsid w:val="09BB55BA"/>
    <w:rsid w:val="09C87119"/>
    <w:rsid w:val="09E922F6"/>
    <w:rsid w:val="09F75AC8"/>
    <w:rsid w:val="0A0C3321"/>
    <w:rsid w:val="0A0D0E47"/>
    <w:rsid w:val="0A18464F"/>
    <w:rsid w:val="0A291D87"/>
    <w:rsid w:val="0A2E2341"/>
    <w:rsid w:val="0A366207"/>
    <w:rsid w:val="0A8B0EAB"/>
    <w:rsid w:val="0A922065"/>
    <w:rsid w:val="0AA049F3"/>
    <w:rsid w:val="0AA96DC2"/>
    <w:rsid w:val="0ABF3E2E"/>
    <w:rsid w:val="0ADC03EB"/>
    <w:rsid w:val="0B441098"/>
    <w:rsid w:val="0B4D3BF1"/>
    <w:rsid w:val="0B95124F"/>
    <w:rsid w:val="0BBD1D37"/>
    <w:rsid w:val="0BC56F5F"/>
    <w:rsid w:val="0BDB3721"/>
    <w:rsid w:val="0C073E59"/>
    <w:rsid w:val="0C314090"/>
    <w:rsid w:val="0C51682D"/>
    <w:rsid w:val="0CB27CB2"/>
    <w:rsid w:val="0CB3217A"/>
    <w:rsid w:val="0CD10852"/>
    <w:rsid w:val="0D2336F8"/>
    <w:rsid w:val="0D8D2D08"/>
    <w:rsid w:val="0E0D0C45"/>
    <w:rsid w:val="0E236A3E"/>
    <w:rsid w:val="0E3E5A73"/>
    <w:rsid w:val="0E740F48"/>
    <w:rsid w:val="0E9B5403"/>
    <w:rsid w:val="0EA37FCC"/>
    <w:rsid w:val="0F3048C7"/>
    <w:rsid w:val="0FD51371"/>
    <w:rsid w:val="0FDB4A43"/>
    <w:rsid w:val="0FDE3679"/>
    <w:rsid w:val="0FDF3286"/>
    <w:rsid w:val="10635C65"/>
    <w:rsid w:val="107D339A"/>
    <w:rsid w:val="10961B97"/>
    <w:rsid w:val="10AD2295"/>
    <w:rsid w:val="11060FEB"/>
    <w:rsid w:val="11332C1D"/>
    <w:rsid w:val="11424B3C"/>
    <w:rsid w:val="115434A7"/>
    <w:rsid w:val="1186164E"/>
    <w:rsid w:val="11893269"/>
    <w:rsid w:val="11DA6313"/>
    <w:rsid w:val="11F67716"/>
    <w:rsid w:val="120C6381"/>
    <w:rsid w:val="120E6D62"/>
    <w:rsid w:val="12263756"/>
    <w:rsid w:val="129C0FBA"/>
    <w:rsid w:val="12BC3060"/>
    <w:rsid w:val="12CF1390"/>
    <w:rsid w:val="12EA61CA"/>
    <w:rsid w:val="12EB7263"/>
    <w:rsid w:val="12F42BA4"/>
    <w:rsid w:val="13270D7A"/>
    <w:rsid w:val="13352C8C"/>
    <w:rsid w:val="134B775D"/>
    <w:rsid w:val="134E01D7"/>
    <w:rsid w:val="13584DCD"/>
    <w:rsid w:val="13624C7F"/>
    <w:rsid w:val="136B4AD7"/>
    <w:rsid w:val="137E3987"/>
    <w:rsid w:val="1382238D"/>
    <w:rsid w:val="13B25860"/>
    <w:rsid w:val="13DB2AF9"/>
    <w:rsid w:val="141B1331"/>
    <w:rsid w:val="14324EA6"/>
    <w:rsid w:val="143809CF"/>
    <w:rsid w:val="14565BE9"/>
    <w:rsid w:val="1457366A"/>
    <w:rsid w:val="145D1E98"/>
    <w:rsid w:val="147C1835"/>
    <w:rsid w:val="147C5E29"/>
    <w:rsid w:val="14D54096"/>
    <w:rsid w:val="14DD044C"/>
    <w:rsid w:val="14DD31E2"/>
    <w:rsid w:val="15142B24"/>
    <w:rsid w:val="153C0833"/>
    <w:rsid w:val="15BA2D4A"/>
    <w:rsid w:val="15D62A35"/>
    <w:rsid w:val="15E74C42"/>
    <w:rsid w:val="16315EBE"/>
    <w:rsid w:val="163341DB"/>
    <w:rsid w:val="168F1DFA"/>
    <w:rsid w:val="16A77525"/>
    <w:rsid w:val="16A9400E"/>
    <w:rsid w:val="16D276A1"/>
    <w:rsid w:val="16D30CDD"/>
    <w:rsid w:val="17156845"/>
    <w:rsid w:val="171928BE"/>
    <w:rsid w:val="173E6AE4"/>
    <w:rsid w:val="174723F2"/>
    <w:rsid w:val="174943E9"/>
    <w:rsid w:val="1757657C"/>
    <w:rsid w:val="176519FD"/>
    <w:rsid w:val="176F167E"/>
    <w:rsid w:val="17814E1C"/>
    <w:rsid w:val="17932850"/>
    <w:rsid w:val="17C41659"/>
    <w:rsid w:val="17D849D6"/>
    <w:rsid w:val="180E527E"/>
    <w:rsid w:val="18184694"/>
    <w:rsid w:val="182B30B6"/>
    <w:rsid w:val="182C673E"/>
    <w:rsid w:val="18C313DF"/>
    <w:rsid w:val="18EE0BF6"/>
    <w:rsid w:val="19131D2F"/>
    <w:rsid w:val="192405E7"/>
    <w:rsid w:val="195C76F5"/>
    <w:rsid w:val="19600305"/>
    <w:rsid w:val="19714CB9"/>
    <w:rsid w:val="19753246"/>
    <w:rsid w:val="19923A79"/>
    <w:rsid w:val="19CC2CC4"/>
    <w:rsid w:val="1A142085"/>
    <w:rsid w:val="1A2C3DD7"/>
    <w:rsid w:val="1A606D71"/>
    <w:rsid w:val="1A6B245E"/>
    <w:rsid w:val="1A7E2606"/>
    <w:rsid w:val="1AAA4EE5"/>
    <w:rsid w:val="1AAE5A45"/>
    <w:rsid w:val="1AAF59FC"/>
    <w:rsid w:val="1AB10FB0"/>
    <w:rsid w:val="1AD5150D"/>
    <w:rsid w:val="1AEB1A05"/>
    <w:rsid w:val="1AEB5F51"/>
    <w:rsid w:val="1B205A92"/>
    <w:rsid w:val="1B31572D"/>
    <w:rsid w:val="1B494FD0"/>
    <w:rsid w:val="1B6C5B53"/>
    <w:rsid w:val="1C3310A9"/>
    <w:rsid w:val="1D2F77CB"/>
    <w:rsid w:val="1D40117C"/>
    <w:rsid w:val="1D785B20"/>
    <w:rsid w:val="1D8760B4"/>
    <w:rsid w:val="1DA805C1"/>
    <w:rsid w:val="1DB00010"/>
    <w:rsid w:val="1DB72D4D"/>
    <w:rsid w:val="1DD469C9"/>
    <w:rsid w:val="1DDF5840"/>
    <w:rsid w:val="1DFD14A7"/>
    <w:rsid w:val="1E033CFE"/>
    <w:rsid w:val="1E2F53D8"/>
    <w:rsid w:val="1E4E1D03"/>
    <w:rsid w:val="1E562965"/>
    <w:rsid w:val="1E566E09"/>
    <w:rsid w:val="1E960FB4"/>
    <w:rsid w:val="1E966DAA"/>
    <w:rsid w:val="1EB83620"/>
    <w:rsid w:val="1ECE4BF1"/>
    <w:rsid w:val="1ED84278"/>
    <w:rsid w:val="1ED97BFC"/>
    <w:rsid w:val="1EE73B09"/>
    <w:rsid w:val="1F0C23CC"/>
    <w:rsid w:val="1F1545CE"/>
    <w:rsid w:val="1F2C1918"/>
    <w:rsid w:val="1F316326"/>
    <w:rsid w:val="1F5D4A06"/>
    <w:rsid w:val="1F964F4E"/>
    <w:rsid w:val="1F9A2D26"/>
    <w:rsid w:val="1F9F6536"/>
    <w:rsid w:val="1FB92045"/>
    <w:rsid w:val="1FE87E47"/>
    <w:rsid w:val="1FF42436"/>
    <w:rsid w:val="1FF53618"/>
    <w:rsid w:val="20215745"/>
    <w:rsid w:val="203647FC"/>
    <w:rsid w:val="205A5529"/>
    <w:rsid w:val="20631369"/>
    <w:rsid w:val="207B66B3"/>
    <w:rsid w:val="20A0436C"/>
    <w:rsid w:val="20AE4DC8"/>
    <w:rsid w:val="20C20786"/>
    <w:rsid w:val="20C274CD"/>
    <w:rsid w:val="20C34F92"/>
    <w:rsid w:val="20DD55C0"/>
    <w:rsid w:val="20EC75B1"/>
    <w:rsid w:val="21024A33"/>
    <w:rsid w:val="21224D81"/>
    <w:rsid w:val="2184139D"/>
    <w:rsid w:val="218F1C0A"/>
    <w:rsid w:val="21912162"/>
    <w:rsid w:val="2191233E"/>
    <w:rsid w:val="219A0DBB"/>
    <w:rsid w:val="21AB2FC8"/>
    <w:rsid w:val="21FB04CE"/>
    <w:rsid w:val="221F6235"/>
    <w:rsid w:val="224A27E1"/>
    <w:rsid w:val="225D2D35"/>
    <w:rsid w:val="226B066F"/>
    <w:rsid w:val="227A2080"/>
    <w:rsid w:val="22834430"/>
    <w:rsid w:val="22E10344"/>
    <w:rsid w:val="22E942A6"/>
    <w:rsid w:val="22EC3DDE"/>
    <w:rsid w:val="22F45DE8"/>
    <w:rsid w:val="22FF76A7"/>
    <w:rsid w:val="236E082B"/>
    <w:rsid w:val="237C10C0"/>
    <w:rsid w:val="237F64DC"/>
    <w:rsid w:val="23EC36B6"/>
    <w:rsid w:val="241A2A47"/>
    <w:rsid w:val="244C451B"/>
    <w:rsid w:val="24524D99"/>
    <w:rsid w:val="24A600AD"/>
    <w:rsid w:val="24AB7DB8"/>
    <w:rsid w:val="24C21763"/>
    <w:rsid w:val="24CD5D6E"/>
    <w:rsid w:val="25421E95"/>
    <w:rsid w:val="26091A0C"/>
    <w:rsid w:val="261F5032"/>
    <w:rsid w:val="2628108B"/>
    <w:rsid w:val="26431A21"/>
    <w:rsid w:val="26C239CA"/>
    <w:rsid w:val="26C90E2D"/>
    <w:rsid w:val="26D747CC"/>
    <w:rsid w:val="270B25DA"/>
    <w:rsid w:val="270F17A0"/>
    <w:rsid w:val="273705EE"/>
    <w:rsid w:val="27723A43"/>
    <w:rsid w:val="278542BB"/>
    <w:rsid w:val="27DA4607"/>
    <w:rsid w:val="27E06514"/>
    <w:rsid w:val="2827575A"/>
    <w:rsid w:val="28801A02"/>
    <w:rsid w:val="28902F18"/>
    <w:rsid w:val="28994B2A"/>
    <w:rsid w:val="28B46433"/>
    <w:rsid w:val="28CD560F"/>
    <w:rsid w:val="28ED0D31"/>
    <w:rsid w:val="29032BEF"/>
    <w:rsid w:val="2927562A"/>
    <w:rsid w:val="298A7967"/>
    <w:rsid w:val="29AC36EE"/>
    <w:rsid w:val="2A0B0AA8"/>
    <w:rsid w:val="2A1B0D71"/>
    <w:rsid w:val="2A4C7902"/>
    <w:rsid w:val="2A62490E"/>
    <w:rsid w:val="2A663F30"/>
    <w:rsid w:val="2A6A39E8"/>
    <w:rsid w:val="2AC670C5"/>
    <w:rsid w:val="2B2D01CF"/>
    <w:rsid w:val="2B4F2A6E"/>
    <w:rsid w:val="2B4F631D"/>
    <w:rsid w:val="2B7375A1"/>
    <w:rsid w:val="2B7D5B67"/>
    <w:rsid w:val="2BCA23E3"/>
    <w:rsid w:val="2BCB64B2"/>
    <w:rsid w:val="2BCD490E"/>
    <w:rsid w:val="2BD51A79"/>
    <w:rsid w:val="2BDB094E"/>
    <w:rsid w:val="2BDF04C0"/>
    <w:rsid w:val="2BE50244"/>
    <w:rsid w:val="2BED6F1A"/>
    <w:rsid w:val="2C255C58"/>
    <w:rsid w:val="2C365B84"/>
    <w:rsid w:val="2C532B0F"/>
    <w:rsid w:val="2C6E29F7"/>
    <w:rsid w:val="2C931228"/>
    <w:rsid w:val="2CC41C04"/>
    <w:rsid w:val="2CF40263"/>
    <w:rsid w:val="2D48195B"/>
    <w:rsid w:val="2D7363DF"/>
    <w:rsid w:val="2D8C0151"/>
    <w:rsid w:val="2DDF2977"/>
    <w:rsid w:val="2E5642BC"/>
    <w:rsid w:val="2E7620ED"/>
    <w:rsid w:val="2ECD498D"/>
    <w:rsid w:val="2EE724DC"/>
    <w:rsid w:val="2EF51D26"/>
    <w:rsid w:val="2EF76C06"/>
    <w:rsid w:val="2F0D20DE"/>
    <w:rsid w:val="2F177EEF"/>
    <w:rsid w:val="2F5D30B3"/>
    <w:rsid w:val="2F7009B1"/>
    <w:rsid w:val="2F7964B4"/>
    <w:rsid w:val="2FA07728"/>
    <w:rsid w:val="2FB318C4"/>
    <w:rsid w:val="2FC002D5"/>
    <w:rsid w:val="30083A5D"/>
    <w:rsid w:val="30162726"/>
    <w:rsid w:val="302E6AE1"/>
    <w:rsid w:val="30677FB8"/>
    <w:rsid w:val="306A6A79"/>
    <w:rsid w:val="309335A5"/>
    <w:rsid w:val="309537C1"/>
    <w:rsid w:val="30963B52"/>
    <w:rsid w:val="30BD0622"/>
    <w:rsid w:val="30E3277E"/>
    <w:rsid w:val="30E82380"/>
    <w:rsid w:val="31324444"/>
    <w:rsid w:val="31476967"/>
    <w:rsid w:val="315453F8"/>
    <w:rsid w:val="31653193"/>
    <w:rsid w:val="31973FCB"/>
    <w:rsid w:val="31C003CA"/>
    <w:rsid w:val="31D21342"/>
    <w:rsid w:val="31E21586"/>
    <w:rsid w:val="31FA6300"/>
    <w:rsid w:val="320E50AB"/>
    <w:rsid w:val="321118B3"/>
    <w:rsid w:val="32170A8D"/>
    <w:rsid w:val="32525BDF"/>
    <w:rsid w:val="32786E04"/>
    <w:rsid w:val="328B6984"/>
    <w:rsid w:val="32983FD4"/>
    <w:rsid w:val="32AF23C2"/>
    <w:rsid w:val="32DC4F67"/>
    <w:rsid w:val="32EE1A36"/>
    <w:rsid w:val="33723946"/>
    <w:rsid w:val="33BF4A72"/>
    <w:rsid w:val="33D7599C"/>
    <w:rsid w:val="342D1BFF"/>
    <w:rsid w:val="342F480F"/>
    <w:rsid w:val="343E26EE"/>
    <w:rsid w:val="344F3C87"/>
    <w:rsid w:val="3475581F"/>
    <w:rsid w:val="347E1DA2"/>
    <w:rsid w:val="349B682B"/>
    <w:rsid w:val="34B34830"/>
    <w:rsid w:val="34C649F1"/>
    <w:rsid w:val="34ED54E4"/>
    <w:rsid w:val="3503309E"/>
    <w:rsid w:val="35435064"/>
    <w:rsid w:val="35476E77"/>
    <w:rsid w:val="35A1628C"/>
    <w:rsid w:val="361707D4"/>
    <w:rsid w:val="3620672B"/>
    <w:rsid w:val="36250A64"/>
    <w:rsid w:val="365B1287"/>
    <w:rsid w:val="365C313C"/>
    <w:rsid w:val="36831F44"/>
    <w:rsid w:val="36A209E6"/>
    <w:rsid w:val="36BE109A"/>
    <w:rsid w:val="36E01197"/>
    <w:rsid w:val="36FA2163"/>
    <w:rsid w:val="37042CD1"/>
    <w:rsid w:val="37293B7E"/>
    <w:rsid w:val="375F2433"/>
    <w:rsid w:val="377B3D13"/>
    <w:rsid w:val="37A54EB9"/>
    <w:rsid w:val="37B86AAF"/>
    <w:rsid w:val="37BC7880"/>
    <w:rsid w:val="37C14982"/>
    <w:rsid w:val="37C44C8D"/>
    <w:rsid w:val="37DB3ACA"/>
    <w:rsid w:val="38082ACA"/>
    <w:rsid w:val="3810525E"/>
    <w:rsid w:val="381D6482"/>
    <w:rsid w:val="381E409C"/>
    <w:rsid w:val="38234CA6"/>
    <w:rsid w:val="383407C4"/>
    <w:rsid w:val="385E26EA"/>
    <w:rsid w:val="38684E80"/>
    <w:rsid w:val="3875617F"/>
    <w:rsid w:val="389573C2"/>
    <w:rsid w:val="38A00D60"/>
    <w:rsid w:val="38B52017"/>
    <w:rsid w:val="390521E1"/>
    <w:rsid w:val="390C65EA"/>
    <w:rsid w:val="39184F8F"/>
    <w:rsid w:val="39BC591B"/>
    <w:rsid w:val="39D24B04"/>
    <w:rsid w:val="39DF13C4"/>
    <w:rsid w:val="39E032E9"/>
    <w:rsid w:val="3A1E08C5"/>
    <w:rsid w:val="3A3A347C"/>
    <w:rsid w:val="3A6D1368"/>
    <w:rsid w:val="3A8332F9"/>
    <w:rsid w:val="3A914FF9"/>
    <w:rsid w:val="3AC94E98"/>
    <w:rsid w:val="3AD16E8E"/>
    <w:rsid w:val="3AD2258E"/>
    <w:rsid w:val="3AD62764"/>
    <w:rsid w:val="3AFA3A3A"/>
    <w:rsid w:val="3AFE1F63"/>
    <w:rsid w:val="3B035B6A"/>
    <w:rsid w:val="3B135B6F"/>
    <w:rsid w:val="3B2A71FC"/>
    <w:rsid w:val="3B455DE4"/>
    <w:rsid w:val="3B4B6B6F"/>
    <w:rsid w:val="3B4F1DA6"/>
    <w:rsid w:val="3B510544"/>
    <w:rsid w:val="3B6250F8"/>
    <w:rsid w:val="3B7003FD"/>
    <w:rsid w:val="3BAE7806"/>
    <w:rsid w:val="3BB16FD5"/>
    <w:rsid w:val="3BCF3DE2"/>
    <w:rsid w:val="3BFF5F92"/>
    <w:rsid w:val="3C022A83"/>
    <w:rsid w:val="3C342B36"/>
    <w:rsid w:val="3C3876DA"/>
    <w:rsid w:val="3C6E7B33"/>
    <w:rsid w:val="3C8F2735"/>
    <w:rsid w:val="3CEA347A"/>
    <w:rsid w:val="3D697A4C"/>
    <w:rsid w:val="3DA637B6"/>
    <w:rsid w:val="3DC70DA6"/>
    <w:rsid w:val="3E4203B8"/>
    <w:rsid w:val="3E433531"/>
    <w:rsid w:val="3E524F05"/>
    <w:rsid w:val="3E8310FD"/>
    <w:rsid w:val="3E8D51C5"/>
    <w:rsid w:val="3E911ED8"/>
    <w:rsid w:val="3E9776C5"/>
    <w:rsid w:val="3E9B4698"/>
    <w:rsid w:val="3EF4070F"/>
    <w:rsid w:val="3EFD1BF3"/>
    <w:rsid w:val="3F345912"/>
    <w:rsid w:val="3F456AA7"/>
    <w:rsid w:val="3F4A39C9"/>
    <w:rsid w:val="3FC76DC7"/>
    <w:rsid w:val="3FCC0881"/>
    <w:rsid w:val="3FE86074"/>
    <w:rsid w:val="404350E0"/>
    <w:rsid w:val="407549A4"/>
    <w:rsid w:val="40A33F45"/>
    <w:rsid w:val="40BE38AE"/>
    <w:rsid w:val="40E32281"/>
    <w:rsid w:val="413E57AF"/>
    <w:rsid w:val="414F176A"/>
    <w:rsid w:val="41694E7F"/>
    <w:rsid w:val="41AD3D25"/>
    <w:rsid w:val="41EC6FB9"/>
    <w:rsid w:val="42675C80"/>
    <w:rsid w:val="42857E42"/>
    <w:rsid w:val="429C3481"/>
    <w:rsid w:val="42AE426E"/>
    <w:rsid w:val="42F775E0"/>
    <w:rsid w:val="432934FC"/>
    <w:rsid w:val="433A3A5A"/>
    <w:rsid w:val="433B7B45"/>
    <w:rsid w:val="4346094B"/>
    <w:rsid w:val="43461DE8"/>
    <w:rsid w:val="43600284"/>
    <w:rsid w:val="43642BE7"/>
    <w:rsid w:val="43860D47"/>
    <w:rsid w:val="438F36C0"/>
    <w:rsid w:val="43943464"/>
    <w:rsid w:val="439D5CFD"/>
    <w:rsid w:val="442C26BD"/>
    <w:rsid w:val="44463ADF"/>
    <w:rsid w:val="447A4D50"/>
    <w:rsid w:val="44BA6EFA"/>
    <w:rsid w:val="44C70737"/>
    <w:rsid w:val="450862B9"/>
    <w:rsid w:val="452B429C"/>
    <w:rsid w:val="45442CA9"/>
    <w:rsid w:val="45525FCE"/>
    <w:rsid w:val="45AF7D25"/>
    <w:rsid w:val="45BA7421"/>
    <w:rsid w:val="45FA1F13"/>
    <w:rsid w:val="461036EB"/>
    <w:rsid w:val="4642740B"/>
    <w:rsid w:val="46603AD2"/>
    <w:rsid w:val="46621D09"/>
    <w:rsid w:val="466D2298"/>
    <w:rsid w:val="46896345"/>
    <w:rsid w:val="468F024E"/>
    <w:rsid w:val="46985A97"/>
    <w:rsid w:val="469F0A9E"/>
    <w:rsid w:val="46DD0B13"/>
    <w:rsid w:val="46E23A2A"/>
    <w:rsid w:val="46E37CD8"/>
    <w:rsid w:val="47195F8F"/>
    <w:rsid w:val="47347438"/>
    <w:rsid w:val="475450F8"/>
    <w:rsid w:val="476C7959"/>
    <w:rsid w:val="4795557D"/>
    <w:rsid w:val="47A63299"/>
    <w:rsid w:val="47C737CE"/>
    <w:rsid w:val="48176E2E"/>
    <w:rsid w:val="4828256E"/>
    <w:rsid w:val="482E4477"/>
    <w:rsid w:val="48362D3C"/>
    <w:rsid w:val="48711FC6"/>
    <w:rsid w:val="487318F4"/>
    <w:rsid w:val="48E174F1"/>
    <w:rsid w:val="48F6071D"/>
    <w:rsid w:val="490E7AA5"/>
    <w:rsid w:val="494012EE"/>
    <w:rsid w:val="495C67D2"/>
    <w:rsid w:val="498948AA"/>
    <w:rsid w:val="49994D4E"/>
    <w:rsid w:val="49E04860"/>
    <w:rsid w:val="49F243DB"/>
    <w:rsid w:val="49FB156F"/>
    <w:rsid w:val="49FC5D5A"/>
    <w:rsid w:val="4A286E62"/>
    <w:rsid w:val="4A471230"/>
    <w:rsid w:val="4A780610"/>
    <w:rsid w:val="4A8E676D"/>
    <w:rsid w:val="4AC54194"/>
    <w:rsid w:val="4B0C433A"/>
    <w:rsid w:val="4B35476F"/>
    <w:rsid w:val="4B475260"/>
    <w:rsid w:val="4B5A07E8"/>
    <w:rsid w:val="4BA25344"/>
    <w:rsid w:val="4BDA4326"/>
    <w:rsid w:val="4BEB36BA"/>
    <w:rsid w:val="4BEF33B4"/>
    <w:rsid w:val="4BF03CAC"/>
    <w:rsid w:val="4C2F38A5"/>
    <w:rsid w:val="4C320988"/>
    <w:rsid w:val="4C331F8F"/>
    <w:rsid w:val="4C54044A"/>
    <w:rsid w:val="4C7306FC"/>
    <w:rsid w:val="4C7C5EF5"/>
    <w:rsid w:val="4CB57E51"/>
    <w:rsid w:val="4CEE0B24"/>
    <w:rsid w:val="4CF514BF"/>
    <w:rsid w:val="4D0F7FFF"/>
    <w:rsid w:val="4D1717E9"/>
    <w:rsid w:val="4D287306"/>
    <w:rsid w:val="4D3B2BA3"/>
    <w:rsid w:val="4D9E3AFA"/>
    <w:rsid w:val="4DC12B9F"/>
    <w:rsid w:val="4E233D62"/>
    <w:rsid w:val="4E962786"/>
    <w:rsid w:val="4ECF2AD4"/>
    <w:rsid w:val="4F195165"/>
    <w:rsid w:val="4F273FBE"/>
    <w:rsid w:val="4F2C6C47"/>
    <w:rsid w:val="4F2F65F9"/>
    <w:rsid w:val="4F31194C"/>
    <w:rsid w:val="4F506DD9"/>
    <w:rsid w:val="4F602AB3"/>
    <w:rsid w:val="4F6C34E7"/>
    <w:rsid w:val="500D6ABF"/>
    <w:rsid w:val="501C315F"/>
    <w:rsid w:val="502B5150"/>
    <w:rsid w:val="506505B6"/>
    <w:rsid w:val="5082298F"/>
    <w:rsid w:val="508A631B"/>
    <w:rsid w:val="50A867A1"/>
    <w:rsid w:val="50C231AF"/>
    <w:rsid w:val="50C64E79"/>
    <w:rsid w:val="51121E6C"/>
    <w:rsid w:val="5145397C"/>
    <w:rsid w:val="51C714B0"/>
    <w:rsid w:val="52085A22"/>
    <w:rsid w:val="52242D7E"/>
    <w:rsid w:val="52255532"/>
    <w:rsid w:val="52545EA1"/>
    <w:rsid w:val="527313D2"/>
    <w:rsid w:val="52A5133D"/>
    <w:rsid w:val="52AE4A26"/>
    <w:rsid w:val="52BA6550"/>
    <w:rsid w:val="52C36E5D"/>
    <w:rsid w:val="52D518F2"/>
    <w:rsid w:val="52F413F9"/>
    <w:rsid w:val="53162A7A"/>
    <w:rsid w:val="53466052"/>
    <w:rsid w:val="53693E4A"/>
    <w:rsid w:val="5393682D"/>
    <w:rsid w:val="53BF72F1"/>
    <w:rsid w:val="53C77F81"/>
    <w:rsid w:val="54013AED"/>
    <w:rsid w:val="542D56BA"/>
    <w:rsid w:val="54405E87"/>
    <w:rsid w:val="545C37CE"/>
    <w:rsid w:val="548825BE"/>
    <w:rsid w:val="548E488F"/>
    <w:rsid w:val="54AC0E74"/>
    <w:rsid w:val="54C10E48"/>
    <w:rsid w:val="54F3048A"/>
    <w:rsid w:val="55024FEE"/>
    <w:rsid w:val="557B1FBF"/>
    <w:rsid w:val="55910872"/>
    <w:rsid w:val="55C8213D"/>
    <w:rsid w:val="55D97B52"/>
    <w:rsid w:val="5624334F"/>
    <w:rsid w:val="56890087"/>
    <w:rsid w:val="56941399"/>
    <w:rsid w:val="56FE35BF"/>
    <w:rsid w:val="5704401B"/>
    <w:rsid w:val="575F7ED8"/>
    <w:rsid w:val="580D12D8"/>
    <w:rsid w:val="580F0E14"/>
    <w:rsid w:val="58175C92"/>
    <w:rsid w:val="582E1C82"/>
    <w:rsid w:val="583A640D"/>
    <w:rsid w:val="5855257E"/>
    <w:rsid w:val="58650B29"/>
    <w:rsid w:val="58907EDA"/>
    <w:rsid w:val="59142B31"/>
    <w:rsid w:val="592A00D8"/>
    <w:rsid w:val="59594278"/>
    <w:rsid w:val="595B7AB0"/>
    <w:rsid w:val="596040BD"/>
    <w:rsid w:val="59965D30"/>
    <w:rsid w:val="59C832BE"/>
    <w:rsid w:val="5A3D2DC3"/>
    <w:rsid w:val="5A5F5106"/>
    <w:rsid w:val="5A6951E1"/>
    <w:rsid w:val="5A6F70EB"/>
    <w:rsid w:val="5A8C2C8F"/>
    <w:rsid w:val="5ACB5EC5"/>
    <w:rsid w:val="5ADD34EB"/>
    <w:rsid w:val="5AF54CD9"/>
    <w:rsid w:val="5B0A558E"/>
    <w:rsid w:val="5B327420"/>
    <w:rsid w:val="5B45438C"/>
    <w:rsid w:val="5B5B06A3"/>
    <w:rsid w:val="5BAB33C9"/>
    <w:rsid w:val="5BDB7642"/>
    <w:rsid w:val="5C000D60"/>
    <w:rsid w:val="5C0564B8"/>
    <w:rsid w:val="5C1C1980"/>
    <w:rsid w:val="5C4202EB"/>
    <w:rsid w:val="5C487FF6"/>
    <w:rsid w:val="5C751D60"/>
    <w:rsid w:val="5C7B2FBB"/>
    <w:rsid w:val="5C9003EA"/>
    <w:rsid w:val="5CAF45D9"/>
    <w:rsid w:val="5CB8263D"/>
    <w:rsid w:val="5D09221E"/>
    <w:rsid w:val="5D494E95"/>
    <w:rsid w:val="5D525F29"/>
    <w:rsid w:val="5D704AEA"/>
    <w:rsid w:val="5D9750CB"/>
    <w:rsid w:val="5DB56F1E"/>
    <w:rsid w:val="5DC32AF4"/>
    <w:rsid w:val="5DEB6E57"/>
    <w:rsid w:val="5E565A8E"/>
    <w:rsid w:val="5E5A675C"/>
    <w:rsid w:val="5E5F0DE7"/>
    <w:rsid w:val="5E7A598C"/>
    <w:rsid w:val="5E9F7C10"/>
    <w:rsid w:val="5EA41431"/>
    <w:rsid w:val="5EAF73F9"/>
    <w:rsid w:val="5ED715A9"/>
    <w:rsid w:val="5F3673C4"/>
    <w:rsid w:val="5F3B0796"/>
    <w:rsid w:val="5F463DDB"/>
    <w:rsid w:val="5F4D6FE9"/>
    <w:rsid w:val="5F563F98"/>
    <w:rsid w:val="5FB33FD2"/>
    <w:rsid w:val="5FBE1B5B"/>
    <w:rsid w:val="600D4872"/>
    <w:rsid w:val="602F47E9"/>
    <w:rsid w:val="604B0B39"/>
    <w:rsid w:val="607C288E"/>
    <w:rsid w:val="60A26D69"/>
    <w:rsid w:val="60C95C15"/>
    <w:rsid w:val="60DC2E87"/>
    <w:rsid w:val="61334426"/>
    <w:rsid w:val="61351088"/>
    <w:rsid w:val="61E53D27"/>
    <w:rsid w:val="622C0E17"/>
    <w:rsid w:val="62605093"/>
    <w:rsid w:val="62695C01"/>
    <w:rsid w:val="62775FD3"/>
    <w:rsid w:val="627E3805"/>
    <w:rsid w:val="62805827"/>
    <w:rsid w:val="62EC6490"/>
    <w:rsid w:val="63D01E3F"/>
    <w:rsid w:val="63E43B3C"/>
    <w:rsid w:val="640E4535"/>
    <w:rsid w:val="643A375C"/>
    <w:rsid w:val="64466AD2"/>
    <w:rsid w:val="644D74F4"/>
    <w:rsid w:val="646F78AA"/>
    <w:rsid w:val="6482678D"/>
    <w:rsid w:val="64AA5237"/>
    <w:rsid w:val="65253FDA"/>
    <w:rsid w:val="65300472"/>
    <w:rsid w:val="65347A1E"/>
    <w:rsid w:val="65452F82"/>
    <w:rsid w:val="65546A82"/>
    <w:rsid w:val="6560518B"/>
    <w:rsid w:val="658D446A"/>
    <w:rsid w:val="65A11F4C"/>
    <w:rsid w:val="65B221E6"/>
    <w:rsid w:val="65DA79A0"/>
    <w:rsid w:val="65DB0E2C"/>
    <w:rsid w:val="6632293D"/>
    <w:rsid w:val="664A365E"/>
    <w:rsid w:val="669D4225"/>
    <w:rsid w:val="66D47E98"/>
    <w:rsid w:val="672158C0"/>
    <w:rsid w:val="677B0314"/>
    <w:rsid w:val="677F6F74"/>
    <w:rsid w:val="67CA2A68"/>
    <w:rsid w:val="67DB2AF0"/>
    <w:rsid w:val="68A11FFC"/>
    <w:rsid w:val="693105D7"/>
    <w:rsid w:val="69386092"/>
    <w:rsid w:val="695119B2"/>
    <w:rsid w:val="69584DB0"/>
    <w:rsid w:val="69840267"/>
    <w:rsid w:val="69A407A8"/>
    <w:rsid w:val="69BF6BDD"/>
    <w:rsid w:val="69D31EB9"/>
    <w:rsid w:val="69D83EDA"/>
    <w:rsid w:val="6A192046"/>
    <w:rsid w:val="6A306175"/>
    <w:rsid w:val="6A526EE5"/>
    <w:rsid w:val="6AA560DB"/>
    <w:rsid w:val="6B0B1A2E"/>
    <w:rsid w:val="6B9D2F4E"/>
    <w:rsid w:val="6BA02A3F"/>
    <w:rsid w:val="6BA03046"/>
    <w:rsid w:val="6BC7249D"/>
    <w:rsid w:val="6BD04C6F"/>
    <w:rsid w:val="6BDC20C6"/>
    <w:rsid w:val="6BEB329A"/>
    <w:rsid w:val="6BF86C35"/>
    <w:rsid w:val="6C166F5C"/>
    <w:rsid w:val="6C1D5E3D"/>
    <w:rsid w:val="6C1E448D"/>
    <w:rsid w:val="6C783074"/>
    <w:rsid w:val="6C9500C9"/>
    <w:rsid w:val="6C9F05FC"/>
    <w:rsid w:val="6CCD7110"/>
    <w:rsid w:val="6CFA617E"/>
    <w:rsid w:val="6D2D0302"/>
    <w:rsid w:val="6D760823"/>
    <w:rsid w:val="6D806BB4"/>
    <w:rsid w:val="6D894A65"/>
    <w:rsid w:val="6DD50E85"/>
    <w:rsid w:val="6DDD3F44"/>
    <w:rsid w:val="6DF10A88"/>
    <w:rsid w:val="6DF47A72"/>
    <w:rsid w:val="6DF76D93"/>
    <w:rsid w:val="6E2E1E7D"/>
    <w:rsid w:val="6E737672"/>
    <w:rsid w:val="6EA5282A"/>
    <w:rsid w:val="6EB04D47"/>
    <w:rsid w:val="6EC425A0"/>
    <w:rsid w:val="6EDD2A32"/>
    <w:rsid w:val="6F593630"/>
    <w:rsid w:val="6F620721"/>
    <w:rsid w:val="6F7076E4"/>
    <w:rsid w:val="6F9D176F"/>
    <w:rsid w:val="6FB04A89"/>
    <w:rsid w:val="6FCA78EF"/>
    <w:rsid w:val="6FE864B6"/>
    <w:rsid w:val="7040659E"/>
    <w:rsid w:val="704412F5"/>
    <w:rsid w:val="70CF2E0D"/>
    <w:rsid w:val="70F55BA8"/>
    <w:rsid w:val="70F57C3D"/>
    <w:rsid w:val="7148570A"/>
    <w:rsid w:val="714B6FA9"/>
    <w:rsid w:val="71551BD5"/>
    <w:rsid w:val="71785618"/>
    <w:rsid w:val="719173FA"/>
    <w:rsid w:val="71C63C72"/>
    <w:rsid w:val="71C965BE"/>
    <w:rsid w:val="727069B4"/>
    <w:rsid w:val="72AD133E"/>
    <w:rsid w:val="72F14A43"/>
    <w:rsid w:val="733E6754"/>
    <w:rsid w:val="734D525A"/>
    <w:rsid w:val="737D0B03"/>
    <w:rsid w:val="73BB0416"/>
    <w:rsid w:val="73D31E97"/>
    <w:rsid w:val="73E133AB"/>
    <w:rsid w:val="73E612C3"/>
    <w:rsid w:val="74674908"/>
    <w:rsid w:val="747D4685"/>
    <w:rsid w:val="74AF4CFD"/>
    <w:rsid w:val="7550560B"/>
    <w:rsid w:val="756845CD"/>
    <w:rsid w:val="757906F5"/>
    <w:rsid w:val="758E216C"/>
    <w:rsid w:val="762F1A8F"/>
    <w:rsid w:val="763A78B0"/>
    <w:rsid w:val="763C2FCD"/>
    <w:rsid w:val="7646191B"/>
    <w:rsid w:val="769E45BB"/>
    <w:rsid w:val="76AF1BCB"/>
    <w:rsid w:val="76D25BC0"/>
    <w:rsid w:val="77130569"/>
    <w:rsid w:val="77281135"/>
    <w:rsid w:val="77407237"/>
    <w:rsid w:val="7743475F"/>
    <w:rsid w:val="77503688"/>
    <w:rsid w:val="77F160D3"/>
    <w:rsid w:val="77F6629C"/>
    <w:rsid w:val="78212811"/>
    <w:rsid w:val="784D2C1B"/>
    <w:rsid w:val="78CC6C6A"/>
    <w:rsid w:val="79134850"/>
    <w:rsid w:val="791372BB"/>
    <w:rsid w:val="79B0623B"/>
    <w:rsid w:val="7A123748"/>
    <w:rsid w:val="7A2533FD"/>
    <w:rsid w:val="7A345D59"/>
    <w:rsid w:val="7A9E7923"/>
    <w:rsid w:val="7ADE32A3"/>
    <w:rsid w:val="7AEA32BE"/>
    <w:rsid w:val="7B2737E9"/>
    <w:rsid w:val="7B564EC8"/>
    <w:rsid w:val="7B5733E2"/>
    <w:rsid w:val="7B781151"/>
    <w:rsid w:val="7B9861E4"/>
    <w:rsid w:val="7BC57958"/>
    <w:rsid w:val="7BDF0A19"/>
    <w:rsid w:val="7C047802"/>
    <w:rsid w:val="7C0A3603"/>
    <w:rsid w:val="7C0B180E"/>
    <w:rsid w:val="7C3A18F2"/>
    <w:rsid w:val="7C3F770A"/>
    <w:rsid w:val="7C60423E"/>
    <w:rsid w:val="7C741AA9"/>
    <w:rsid w:val="7C7554D3"/>
    <w:rsid w:val="7CA659DB"/>
    <w:rsid w:val="7CB67C2D"/>
    <w:rsid w:val="7D7A0E23"/>
    <w:rsid w:val="7DDE371C"/>
    <w:rsid w:val="7E245210"/>
    <w:rsid w:val="7E345FE1"/>
    <w:rsid w:val="7E3B3A15"/>
    <w:rsid w:val="7E621509"/>
    <w:rsid w:val="7E7B38B3"/>
    <w:rsid w:val="7E9868C2"/>
    <w:rsid w:val="7F2A14D1"/>
    <w:rsid w:val="7F4852A7"/>
    <w:rsid w:val="7F614579"/>
    <w:rsid w:val="7F972282"/>
    <w:rsid w:val="7F9D1EA4"/>
    <w:rsid w:val="7FC505D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pPr>
    <w:rPr>
      <w:rFonts w:ascii="Times New Roman" w:hAnsi="Times New Roman" w:eastAsia="宋体" w:cs="Times New Roman"/>
      <w:kern w:val="2"/>
      <w:sz w:val="24"/>
      <w:szCs w:val="24"/>
      <w:lang w:val="en-US" w:eastAsia="zh-CN" w:bidi="ar-SA"/>
    </w:rPr>
  </w:style>
  <w:style w:type="paragraph" w:styleId="5">
    <w:name w:val="heading 1"/>
    <w:basedOn w:val="1"/>
    <w:next w:val="1"/>
    <w:link w:val="27"/>
    <w:qFormat/>
    <w:uiPriority w:val="0"/>
    <w:pPr>
      <w:keepNext/>
      <w:numPr>
        <w:ilvl w:val="0"/>
        <w:numId w:val="1"/>
      </w:numPr>
      <w:spacing w:beforeLines="100" w:afterLines="50"/>
      <w:outlineLvl w:val="0"/>
    </w:pPr>
    <w:rPr>
      <w:rFonts w:ascii="宋体" w:hAnsi="宋体"/>
      <w:b/>
      <w:bCs/>
      <w:kern w:val="24"/>
      <w:sz w:val="30"/>
      <w:u w:color="000000"/>
    </w:rPr>
  </w:style>
  <w:style w:type="paragraph" w:styleId="6">
    <w:name w:val="heading 2"/>
    <w:basedOn w:val="1"/>
    <w:next w:val="7"/>
    <w:qFormat/>
    <w:uiPriority w:val="0"/>
    <w:pPr>
      <w:keepNext/>
      <w:keepLines/>
      <w:spacing w:before="260" w:beforeLines="0" w:after="260" w:afterLines="0" w:line="416" w:lineRule="auto"/>
      <w:outlineLvl w:val="1"/>
    </w:pPr>
    <w:rPr>
      <w:rFonts w:ascii="Cambria" w:hAnsi="Cambria"/>
      <w:b/>
      <w:bCs/>
      <w:sz w:val="30"/>
      <w:szCs w:val="32"/>
    </w:rPr>
  </w:style>
  <w:style w:type="paragraph" w:styleId="8">
    <w:name w:val="heading 3"/>
    <w:basedOn w:val="1"/>
    <w:next w:val="1"/>
    <w:semiHidden/>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99"/>
  </w:style>
  <w:style w:type="paragraph" w:styleId="3">
    <w:name w:val="Body Text"/>
    <w:basedOn w:val="1"/>
    <w:next w:val="4"/>
    <w:qFormat/>
    <w:uiPriority w:val="0"/>
    <w:pPr>
      <w:spacing w:after="120"/>
    </w:pPr>
    <w:rPr>
      <w:kern w:val="0"/>
      <w:sz w:val="20"/>
    </w:rPr>
  </w:style>
  <w:style w:type="paragraph" w:styleId="4">
    <w:name w:val="Title"/>
    <w:basedOn w:val="1"/>
    <w:next w:val="1"/>
    <w:qFormat/>
    <w:uiPriority w:val="0"/>
    <w:pPr>
      <w:spacing w:before="240" w:after="60"/>
      <w:jc w:val="center"/>
      <w:outlineLvl w:val="0"/>
    </w:pPr>
    <w:rPr>
      <w:rFonts w:ascii="Cambria" w:hAnsi="Cambria"/>
      <w:b/>
      <w:bCs/>
      <w:sz w:val="32"/>
      <w:szCs w:val="32"/>
    </w:rPr>
  </w:style>
  <w:style w:type="paragraph" w:styleId="7">
    <w:name w:val="Normal Indent"/>
    <w:basedOn w:val="1"/>
    <w:unhideWhenUsed/>
    <w:qFormat/>
    <w:uiPriority w:val="0"/>
    <w:pPr>
      <w:ind w:firstLine="420" w:firstLineChars="200"/>
    </w:pPr>
  </w:style>
  <w:style w:type="paragraph" w:styleId="9">
    <w:name w:val="caption"/>
    <w:basedOn w:val="1"/>
    <w:next w:val="1"/>
    <w:unhideWhenUsed/>
    <w:qFormat/>
    <w:uiPriority w:val="35"/>
    <w:rPr>
      <w:rFonts w:eastAsia="黑体" w:asciiTheme="majorHAnsi" w:hAnsiTheme="majorHAnsi" w:cstheme="majorBidi"/>
      <w:sz w:val="20"/>
      <w:szCs w:val="20"/>
    </w:rPr>
  </w:style>
  <w:style w:type="paragraph" w:styleId="10">
    <w:name w:val="Document Map"/>
    <w:basedOn w:val="1"/>
    <w:qFormat/>
    <w:uiPriority w:val="0"/>
    <w:pPr>
      <w:shd w:val="clear" w:color="auto" w:fill="000080"/>
    </w:pPr>
  </w:style>
  <w:style w:type="paragraph" w:styleId="11">
    <w:name w:val="annotation text"/>
    <w:basedOn w:val="1"/>
    <w:link w:val="29"/>
    <w:qFormat/>
    <w:uiPriority w:val="0"/>
  </w:style>
  <w:style w:type="paragraph" w:styleId="12">
    <w:name w:val="Plain Text"/>
    <w:basedOn w:val="1"/>
    <w:qFormat/>
    <w:uiPriority w:val="99"/>
    <w:rPr>
      <w:rFonts w:ascii="宋体" w:hAnsi="Courier New" w:cs="Courier New"/>
      <w:szCs w:val="21"/>
    </w:rPr>
  </w:style>
  <w:style w:type="paragraph" w:styleId="13">
    <w:name w:val="Balloon Text"/>
    <w:basedOn w:val="1"/>
    <w:link w:val="30"/>
    <w:qFormat/>
    <w:uiPriority w:val="0"/>
    <w:rPr>
      <w:sz w:val="18"/>
      <w:szCs w:val="18"/>
    </w:rPr>
  </w:style>
  <w:style w:type="paragraph" w:styleId="14">
    <w:name w:val="footer"/>
    <w:basedOn w:val="1"/>
    <w:link w:val="26"/>
    <w:qFormat/>
    <w:uiPriority w:val="0"/>
    <w:pPr>
      <w:tabs>
        <w:tab w:val="center" w:pos="4153"/>
        <w:tab w:val="right" w:pos="8306"/>
      </w:tabs>
      <w:snapToGrid w:val="0"/>
    </w:pPr>
    <w:rPr>
      <w:sz w:val="18"/>
    </w:rPr>
  </w:style>
  <w:style w:type="paragraph" w:styleId="15">
    <w:name w:val="header"/>
    <w:basedOn w:val="1"/>
    <w:link w:val="28"/>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pPr>
      <w:spacing w:line="240" w:lineRule="auto"/>
      <w:ind w:firstLine="0" w:firstLineChars="0"/>
    </w:pPr>
    <w:rPr>
      <w:sz w:val="21"/>
    </w:rPr>
  </w:style>
  <w:style w:type="paragraph" w:styleId="17">
    <w:name w:val="toc 2"/>
    <w:basedOn w:val="1"/>
    <w:next w:val="1"/>
    <w:unhideWhenUsed/>
    <w:qFormat/>
    <w:uiPriority w:val="39"/>
    <w:pPr>
      <w:widowControl/>
      <w:spacing w:after="100" w:line="259" w:lineRule="auto"/>
      <w:ind w:left="220"/>
    </w:pPr>
    <w:rPr>
      <w:kern w:val="0"/>
      <w:sz w:val="22"/>
    </w:rPr>
  </w:style>
  <w:style w:type="paragraph" w:styleId="18">
    <w:name w:val="annotation subject"/>
    <w:basedOn w:val="11"/>
    <w:next w:val="11"/>
    <w:link w:val="31"/>
    <w:qFormat/>
    <w:uiPriority w:val="0"/>
    <w:rPr>
      <w:b/>
      <w:bCs/>
    </w:rPr>
  </w:style>
  <w:style w:type="table" w:styleId="20">
    <w:name w:val="Table Grid"/>
    <w:basedOn w:val="1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22"/>
    <w:rPr>
      <w:b/>
    </w:rPr>
  </w:style>
  <w:style w:type="character" w:styleId="23">
    <w:name w:val="page number"/>
    <w:semiHidden/>
    <w:qFormat/>
    <w:uiPriority w:val="0"/>
  </w:style>
  <w:style w:type="character" w:styleId="24">
    <w:name w:val="Hyperlink"/>
    <w:qFormat/>
    <w:uiPriority w:val="99"/>
    <w:rPr>
      <w:color w:val="0000FF"/>
      <w:u w:val="single"/>
    </w:rPr>
  </w:style>
  <w:style w:type="character" w:styleId="25">
    <w:name w:val="annotation reference"/>
    <w:qFormat/>
    <w:uiPriority w:val="0"/>
    <w:rPr>
      <w:sz w:val="21"/>
      <w:szCs w:val="21"/>
    </w:rPr>
  </w:style>
  <w:style w:type="character" w:customStyle="1" w:styleId="26">
    <w:name w:val="页脚 字符"/>
    <w:link w:val="14"/>
    <w:qFormat/>
    <w:uiPriority w:val="0"/>
    <w:rPr>
      <w:rFonts w:ascii="Times New Roman" w:hAnsi="Times New Roman" w:eastAsia="宋体" w:cs="Times New Roman"/>
      <w:sz w:val="18"/>
      <w:szCs w:val="24"/>
    </w:rPr>
  </w:style>
  <w:style w:type="character" w:customStyle="1" w:styleId="27">
    <w:name w:val="标题 1 字符"/>
    <w:link w:val="5"/>
    <w:qFormat/>
    <w:uiPriority w:val="0"/>
    <w:rPr>
      <w:rFonts w:ascii="宋体" w:hAnsi="宋体"/>
      <w:b/>
      <w:bCs/>
      <w:kern w:val="24"/>
      <w:sz w:val="30"/>
      <w:szCs w:val="24"/>
      <w:u w:color="000000"/>
    </w:rPr>
  </w:style>
  <w:style w:type="character" w:customStyle="1" w:styleId="28">
    <w:name w:val="页眉 字符"/>
    <w:link w:val="15"/>
    <w:qFormat/>
    <w:uiPriority w:val="0"/>
    <w:rPr>
      <w:rFonts w:ascii="Times New Roman" w:hAnsi="Times New Roman" w:eastAsia="宋体" w:cs="Times New Roman"/>
      <w:sz w:val="18"/>
      <w:szCs w:val="18"/>
    </w:rPr>
  </w:style>
  <w:style w:type="character" w:customStyle="1" w:styleId="29">
    <w:name w:val="批注文字 字符"/>
    <w:link w:val="11"/>
    <w:qFormat/>
    <w:uiPriority w:val="0"/>
    <w:rPr>
      <w:rFonts w:ascii="Times New Roman" w:hAnsi="Times New Roman"/>
      <w:kern w:val="2"/>
      <w:sz w:val="21"/>
      <w:szCs w:val="24"/>
    </w:rPr>
  </w:style>
  <w:style w:type="character" w:customStyle="1" w:styleId="30">
    <w:name w:val="批注框文本 字符"/>
    <w:link w:val="13"/>
    <w:qFormat/>
    <w:uiPriority w:val="0"/>
    <w:rPr>
      <w:rFonts w:ascii="Times New Roman" w:hAnsi="Times New Roman"/>
      <w:kern w:val="2"/>
      <w:sz w:val="18"/>
      <w:szCs w:val="18"/>
    </w:rPr>
  </w:style>
  <w:style w:type="character" w:customStyle="1" w:styleId="31">
    <w:name w:val="批注主题 字符"/>
    <w:link w:val="18"/>
    <w:qFormat/>
    <w:uiPriority w:val="0"/>
    <w:rPr>
      <w:rFonts w:ascii="Times New Roman" w:hAnsi="Times New Roman"/>
      <w:b/>
      <w:bCs/>
      <w:kern w:val="2"/>
      <w:sz w:val="21"/>
      <w:szCs w:val="24"/>
    </w:rPr>
  </w:style>
  <w:style w:type="paragraph" w:customStyle="1" w:styleId="32">
    <w:name w:val="修订1"/>
    <w:qFormat/>
    <w:uiPriority w:val="0"/>
    <w:rPr>
      <w:rFonts w:ascii="Times New Roman" w:hAnsi="Times New Roman" w:eastAsia="宋体" w:cs="Times New Roman"/>
      <w:kern w:val="2"/>
      <w:sz w:val="21"/>
      <w:szCs w:val="24"/>
      <w:lang w:val="en-US" w:eastAsia="zh-CN" w:bidi="ar-SA"/>
    </w:rPr>
  </w:style>
  <w:style w:type="paragraph" w:customStyle="1" w:styleId="33">
    <w:name w:val="ZHR标题2"/>
    <w:qFormat/>
    <w:uiPriority w:val="0"/>
    <w:pPr>
      <w:spacing w:beforeLines="50" w:afterLines="50" w:line="360" w:lineRule="auto"/>
      <w:outlineLvl w:val="1"/>
    </w:pPr>
    <w:rPr>
      <w:rFonts w:ascii="Times New Roman" w:hAnsi="Times New Roman" w:eastAsia="宋体" w:cs="Times New Roman"/>
      <w:b/>
      <w:kern w:val="2"/>
      <w:sz w:val="24"/>
      <w:szCs w:val="24"/>
      <w:lang w:val="en-US" w:eastAsia="zh-CN" w:bidi="ar-SA"/>
    </w:rPr>
  </w:style>
  <w:style w:type="paragraph" w:customStyle="1" w:styleId="3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5">
    <w:name w:val="修订2"/>
    <w:hidden/>
    <w:unhideWhenUsed/>
    <w:qFormat/>
    <w:uiPriority w:val="99"/>
    <w:rPr>
      <w:rFonts w:ascii="Times New Roman" w:hAnsi="Times New Roman" w:eastAsia="宋体" w:cs="Times New Roman"/>
      <w:kern w:val="2"/>
      <w:sz w:val="24"/>
      <w:szCs w:val="24"/>
      <w:lang w:val="en-US" w:eastAsia="zh-CN" w:bidi="ar-SA"/>
    </w:rPr>
  </w:style>
  <w:style w:type="paragraph" w:customStyle="1" w:styleId="36">
    <w:name w:val="WPSOffice手动目录 1"/>
    <w:qFormat/>
    <w:uiPriority w:val="0"/>
    <w:rPr>
      <w:rFonts w:ascii="Times New Roman" w:hAnsi="Times New Roman" w:eastAsia="宋体" w:cs="Times New Roman"/>
      <w:lang w:val="en-US" w:eastAsia="zh-CN" w:bidi="ar-SA"/>
    </w:rPr>
  </w:style>
  <w:style w:type="paragraph" w:customStyle="1" w:styleId="37">
    <w:name w:val="Revision"/>
    <w:hidden/>
    <w:unhideWhenUsed/>
    <w:qFormat/>
    <w:uiPriority w:val="99"/>
    <w:rPr>
      <w:rFonts w:ascii="Times New Roman" w:hAnsi="Times New Roman" w:eastAsia="宋体" w:cs="Times New Roman"/>
      <w:kern w:val="2"/>
      <w:sz w:val="24"/>
      <w:szCs w:val="24"/>
      <w:lang w:val="en-US" w:eastAsia="zh-CN" w:bidi="ar-SA"/>
    </w:rPr>
  </w:style>
  <w:style w:type="paragraph" w:customStyle="1" w:styleId="38">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39">
    <w:name w:val="首行缩进"/>
    <w:basedOn w:val="1"/>
    <w:qFormat/>
    <w:uiPriority w:val="0"/>
    <w:pPr>
      <w:spacing w:line="300" w:lineRule="auto"/>
      <w:ind w:firstLine="420" w:firstLineChars="200"/>
    </w:pPr>
    <w:rPr>
      <w:rFonts w:eastAsia="方正书宋简体" w:cs="宋体"/>
      <w:kern w:val="2"/>
      <w:sz w:val="21"/>
      <w:lang w:val="en-US" w:eastAsia="zh-CN" w:bidi="ar-SA"/>
    </w:rPr>
  </w:style>
  <w:style w:type="paragraph" w:customStyle="1" w:styleId="40">
    <w:name w:val="正文首先缩进"/>
    <w:basedOn w:val="1"/>
    <w:qFormat/>
    <w:uiPriority w:val="0"/>
    <w:pPr>
      <w:spacing w:line="360" w:lineRule="auto"/>
      <w:ind w:firstLine="420" w:firstLineChars="200"/>
    </w:pPr>
  </w:style>
  <w:style w:type="paragraph" w:customStyle="1" w:styleId="41">
    <w:name w:val="Bg"/>
    <w:basedOn w:val="1"/>
    <w:qFormat/>
    <w:uiPriority w:val="0"/>
    <w:pPr>
      <w:topLinePunct/>
      <w:snapToGrid w:val="0"/>
      <w:spacing w:before="60" w:after="60"/>
      <w:contextualSpacing/>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10</Pages>
  <Words>4973</Words>
  <Characters>5183</Characters>
  <Lines>128</Lines>
  <Paragraphs>114</Paragraphs>
  <TotalTime>3</TotalTime>
  <ScaleCrop>false</ScaleCrop>
  <LinksUpToDate>false</LinksUpToDate>
  <CharactersWithSpaces>5222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2025-03-20T00:10:00Z</dcterms:created>
  <dc:creator>Chen Xiangyu</dc:creator>
  <cp:lastModifiedBy>bsjgy15</cp:lastModifiedBy>
  <cp:lastPrinted>2025-03-06T15:48:00Z</cp:lastPrinted>
  <dcterms:modified xsi:type="dcterms:W3CDTF">2026-06-26T02:45:08Z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8D6B69189A32403B945F6EC5F6A8F9B6</vt:lpwstr>
  </property>
  <property fmtid="{D5CDD505-2E9C-101B-9397-08002B2CF9AE}" pid="4" name="KSOTemplateDocerSaveRecord">
    <vt:lpwstr>eyJoZGlkIjoiOThkOTE1MDZlYTI4NDE5MjYwNDZiMWY4YmY5YjQ1MGIiLCJ1c2VySWQiOiIxMjAzOTc5MTQ2In0=</vt:lpwstr>
  </property>
</Properties>
</file>