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805581"/>
      <w:bookmarkStart w:id="1" w:name="_Toc309593186"/>
      <w:bookmarkStart w:id="2" w:name="_Toc307577976"/>
      <w:bookmarkStart w:id="3" w:name="_Toc309593257"/>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南网超高压公司百色局2026年职创项目（</w:t>
      </w:r>
      <w:bookmarkStart w:id="69" w:name="_GoBack"/>
      <w:bookmarkEnd w:id="69"/>
      <w:r>
        <w:rPr>
          <w:rFonts w:hint="eastAsia" w:ascii="Calibri" w:hAnsi="Calibri" w:eastAsia="黑体"/>
          <w:b/>
          <w:sz w:val="52"/>
          <w:lang w:val="en-US" w:eastAsia="zh-CN"/>
        </w:rPr>
        <w:t>基于固定式单目视觉的输电线路树障智能监测与分析）技术规范书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218675718"/>
      <w:bookmarkStart w:id="6" w:name="_Toc1999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TOC \o "1-1" \h \u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_Toc9520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1.总则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_Toc9520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_Toc5588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2.应遵循的主要标准</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_Toc5588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_Toc16474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3.使用条件</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_Toc16474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3</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_Toc27043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4.制作原则</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_Toc27043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4</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_Toc22696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5.技术服务内容及方式</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_Toc22696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5</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_Toc23208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6.对投标方的要求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_Toc23208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9</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_Toc30826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7.售后服务及其它服务要求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_Toc30826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11</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4"/>
          <w:rFonts w:hint="eastAsia"/>
          <w:b/>
          <w:bCs/>
          <w:color w:val="000000" w:themeColor="text1"/>
          <w:highlight w:val="none"/>
          <w:lang w:val="en-US" w:eastAsia="zh-CN"/>
          <w14:textFill>
            <w14:solidFill>
              <w14:schemeClr w14:val="tx1"/>
            </w14:solidFill>
          </w14:textFill>
        </w:rPr>
      </w:pP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HYPERLINK \l _Toc16657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8.对投标技术文件的要求</w:t>
      </w:r>
      <w:r>
        <w:rPr>
          <w:rStyle w:val="24"/>
          <w:rFonts w:hint="eastAsia"/>
          <w:b/>
          <w:bCs/>
          <w:color w:val="000000" w:themeColor="text1"/>
          <w:highlight w:val="none"/>
          <w:lang w:val="en-US" w:eastAsia="zh-CN"/>
          <w14:textFill>
            <w14:solidFill>
              <w14:schemeClr w14:val="tx1"/>
            </w14:solidFill>
          </w14:textFill>
        </w:rPr>
        <w:tab/>
      </w:r>
      <w:r>
        <w:rPr>
          <w:rStyle w:val="24"/>
          <w:rFonts w:hint="eastAsia"/>
          <w:b/>
          <w:bCs/>
          <w:color w:val="000000" w:themeColor="text1"/>
          <w:highlight w:val="none"/>
          <w:lang w:val="en-US" w:eastAsia="zh-CN"/>
          <w14:textFill>
            <w14:solidFill>
              <w14:schemeClr w14:val="tx1"/>
            </w14:solidFill>
          </w14:textFill>
        </w:rPr>
        <w:fldChar w:fldCharType="begin"/>
      </w:r>
      <w:r>
        <w:rPr>
          <w:rStyle w:val="24"/>
          <w:rFonts w:hint="eastAsia"/>
          <w:b/>
          <w:bCs/>
          <w:color w:val="000000" w:themeColor="text1"/>
          <w:highlight w:val="none"/>
          <w:lang w:val="en-US" w:eastAsia="zh-CN"/>
          <w14:textFill>
            <w14:solidFill>
              <w14:schemeClr w14:val="tx1"/>
            </w14:solidFill>
          </w14:textFill>
        </w:rPr>
        <w:instrText xml:space="preserve"> PAGEREF _Toc16657 \h </w:instrText>
      </w:r>
      <w:r>
        <w:rPr>
          <w:rStyle w:val="24"/>
          <w:rFonts w:hint="eastAsia"/>
          <w:b/>
          <w:bCs/>
          <w:color w:val="000000" w:themeColor="text1"/>
          <w:highlight w:val="none"/>
          <w:lang w:val="en-US" w:eastAsia="zh-CN"/>
          <w14:textFill>
            <w14:solidFill>
              <w14:schemeClr w14:val="tx1"/>
            </w14:solidFill>
          </w14:textFill>
        </w:rPr>
        <w:fldChar w:fldCharType="separate"/>
      </w:r>
      <w:r>
        <w:rPr>
          <w:rStyle w:val="24"/>
          <w:rFonts w:hint="eastAsia"/>
          <w:b/>
          <w:bCs/>
          <w:color w:val="000000" w:themeColor="text1"/>
          <w:highlight w:val="none"/>
          <w:lang w:val="en-US" w:eastAsia="zh-CN"/>
          <w14:textFill>
            <w14:solidFill>
              <w14:schemeClr w14:val="tx1"/>
            </w14:solidFill>
          </w14:textFill>
        </w:rPr>
        <w:t>12</w:t>
      </w:r>
      <w:r>
        <w:rPr>
          <w:rStyle w:val="24"/>
          <w:rFonts w:hint="eastAsia"/>
          <w:b/>
          <w:bCs/>
          <w:color w:val="000000" w:themeColor="text1"/>
          <w:highlight w:val="none"/>
          <w:lang w:val="en-US" w:eastAsia="zh-CN"/>
          <w14:textFill>
            <w14:solidFill>
              <w14:schemeClr w14:val="tx1"/>
            </w14:solidFill>
          </w14:textFill>
        </w:rPr>
        <w:fldChar w:fldCharType="end"/>
      </w: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4"/>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9520"/>
      <w:bookmarkStart w:id="8" w:name="_Toc5872"/>
      <w:bookmarkStart w:id="9" w:name="_Toc28984"/>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ascii="宋体" w:hAnsi="宋体" w:cs="宋体"/>
          <w:lang w:val="en-US" w:eastAsia="zh-CN"/>
        </w:rPr>
        <w:t>（基于固定式单目视觉的输电线路树障智能监测与分析项目）</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5588"/>
      <w:bookmarkStart w:id="12" w:name="_Toc2740"/>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lang w:val="en-US" w:eastAsia="zh-CN"/>
        </w:rPr>
        <w:t>本项目实施过程中所应用到的各种标准，由投标方推荐，经招标方确认后由投</w:t>
      </w:r>
      <w:r>
        <w:rPr>
          <w:rFonts w:hint="eastAsia" w:ascii="宋体" w:hAnsi="宋体" w:eastAsia="宋体" w:cs="宋体"/>
          <w:color w:val="auto"/>
          <w:lang w:val="en-US" w:eastAsia="zh-CN"/>
        </w:rPr>
        <w:t>标方提供并在项目中使用。</w:t>
      </w:r>
    </w:p>
    <w:p>
      <w:pPr>
        <w:tabs>
          <w:tab w:val="left" w:pos="851"/>
        </w:tabs>
        <w:ind w:firstLine="480"/>
        <w:rPr>
          <w:rFonts w:hint="eastAsia" w:ascii="宋体" w:hAnsi="宋体" w:eastAsia="宋体" w:cs="宋体"/>
          <w:color w:val="auto"/>
          <w:lang w:val="en-US" w:eastAsia="zh-CN"/>
        </w:rPr>
      </w:pPr>
    </w:p>
    <w:p>
      <w:pPr>
        <w:tabs>
          <w:tab w:val="left" w:pos="851"/>
        </w:tabs>
        <w:ind w:firstLine="480"/>
        <w:rPr>
          <w:rFonts w:hint="eastAsia" w:ascii="宋体" w:hAnsi="宋体" w:eastAsia="宋体" w:cs="宋体"/>
          <w:color w:val="auto"/>
          <w:lang w:val="en-US" w:eastAsia="zh-CN"/>
        </w:rPr>
      </w:pP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推荐使用但不限于以下标准：</w:t>
      </w:r>
    </w:p>
    <w:tbl>
      <w:tblPr>
        <w:tblStyle w:val="1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3"/>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04"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color w:val="auto"/>
                <w:szCs w:val="21"/>
              </w:rPr>
            </w:pPr>
            <w:r>
              <w:rPr>
                <w:rFonts w:hint="eastAsia" w:ascii="Times New Roman"/>
                <w:b/>
                <w:bCs/>
                <w:color w:val="auto"/>
                <w:szCs w:val="21"/>
              </w:rPr>
              <w:t>标准号</w:t>
            </w:r>
          </w:p>
        </w:tc>
        <w:tc>
          <w:tcPr>
            <w:tcW w:w="3395" w:type="pct"/>
            <w:noWrap w:val="0"/>
            <w:vAlign w:val="center"/>
          </w:tcPr>
          <w:p>
            <w:pPr>
              <w:pStyle w:val="38"/>
              <w:tabs>
                <w:tab w:val="left" w:pos="2160"/>
                <w:tab w:val="clear" w:pos="4201"/>
                <w:tab w:val="clear" w:pos="9298"/>
              </w:tabs>
              <w:adjustRightInd w:val="0"/>
              <w:snapToGrid w:val="0"/>
              <w:spacing w:line="360" w:lineRule="auto"/>
              <w:ind w:firstLine="0" w:firstLineChars="0"/>
              <w:jc w:val="center"/>
              <w:rPr>
                <w:rFonts w:ascii="Times New Roman"/>
                <w:b/>
                <w:bCs/>
                <w:color w:val="auto"/>
                <w:szCs w:val="21"/>
              </w:rPr>
            </w:pPr>
            <w:r>
              <w:rPr>
                <w:rFonts w:hint="eastAsia" w:ascii="Times New Roman"/>
                <w:b/>
                <w:bCs/>
                <w:color w:val="auto"/>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eastAsia="宋体"/>
                <w:color w:val="auto"/>
                <w:szCs w:val="21"/>
                <w:lang w:val="en-US" w:eastAsia="zh-CN"/>
              </w:rPr>
            </w:pPr>
            <w:r>
              <w:rPr>
                <w:rFonts w:ascii="宋体" w:hAnsi="宋体" w:eastAsia="宋体" w:cs="宋体"/>
                <w:color w:val="auto"/>
                <w:sz w:val="24"/>
                <w:szCs w:val="24"/>
              </w:rPr>
              <w:t>GB/T 35697-2017</w:t>
            </w:r>
          </w:p>
        </w:tc>
        <w:tc>
          <w:tcPr>
            <w:tcW w:w="3395"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eastAsia="宋体"/>
                <w:color w:val="auto"/>
                <w:szCs w:val="21"/>
                <w:lang w:val="en-US" w:eastAsia="zh-CN"/>
              </w:rPr>
            </w:pPr>
            <w:r>
              <w:rPr>
                <w:rFonts w:ascii="宋体" w:hAnsi="宋体" w:eastAsia="宋体" w:cs="宋体"/>
                <w:color w:val="auto"/>
                <w:sz w:val="24"/>
                <w:szCs w:val="24"/>
              </w:rPr>
              <w:t>架空输电线路在线监测装置通用技术规范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1604"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eastAsia="宋体"/>
                <w:color w:val="auto"/>
                <w:szCs w:val="21"/>
                <w:lang w:val="en-US" w:eastAsia="zh-CN"/>
              </w:rPr>
            </w:pPr>
            <w:r>
              <w:rPr>
                <w:rFonts w:ascii="宋体" w:hAnsi="宋体" w:eastAsia="宋体" w:cs="宋体"/>
                <w:color w:val="auto"/>
                <w:sz w:val="24"/>
                <w:szCs w:val="24"/>
              </w:rPr>
              <w:t>GB/T 25095-2020</w:t>
            </w:r>
          </w:p>
        </w:tc>
        <w:tc>
          <w:tcPr>
            <w:tcW w:w="3395"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eastAsia="宋体"/>
                <w:color w:val="auto"/>
                <w:szCs w:val="21"/>
                <w:lang w:val="en-US" w:eastAsia="zh-CN"/>
              </w:rPr>
            </w:pPr>
            <w:r>
              <w:rPr>
                <w:rFonts w:ascii="宋体" w:hAnsi="宋体" w:eastAsia="宋体" w:cs="宋体"/>
                <w:color w:val="auto"/>
                <w:sz w:val="24"/>
                <w:szCs w:val="24"/>
              </w:rPr>
              <w:t>架空输电线路运行状态监测系统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604"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color w:val="auto"/>
                <w:szCs w:val="21"/>
                <w:lang w:val="en-US" w:eastAsia="zh-CN"/>
              </w:rPr>
            </w:pPr>
            <w:r>
              <w:rPr>
                <w:rFonts w:ascii="宋体" w:hAnsi="宋体" w:eastAsia="宋体" w:cs="宋体"/>
                <w:color w:val="auto"/>
                <w:sz w:val="24"/>
                <w:szCs w:val="24"/>
              </w:rPr>
              <w:t>DL/T 741-2019</w:t>
            </w:r>
          </w:p>
        </w:tc>
        <w:tc>
          <w:tcPr>
            <w:tcW w:w="3395" w:type="pct"/>
            <w:noWrap w:val="0"/>
            <w:vAlign w:val="center"/>
          </w:tcPr>
          <w:p>
            <w:pPr>
              <w:tabs>
                <w:tab w:val="left" w:pos="2160"/>
              </w:tabs>
              <w:autoSpaceDE w:val="0"/>
              <w:autoSpaceDN w:val="0"/>
              <w:adjustRightInd w:val="0"/>
              <w:snapToGrid w:val="0"/>
              <w:spacing w:line="360" w:lineRule="auto"/>
              <w:ind w:firstLine="0" w:firstLineChars="0"/>
              <w:jc w:val="both"/>
              <w:rPr>
                <w:rFonts w:hint="default" w:ascii="Times New Roman"/>
                <w:color w:val="auto"/>
                <w:szCs w:val="21"/>
                <w:lang w:val="en-US" w:eastAsia="zh-CN"/>
              </w:rPr>
            </w:pPr>
            <w:r>
              <w:rPr>
                <w:rFonts w:ascii="宋体" w:hAnsi="宋体" w:eastAsia="宋体" w:cs="宋体"/>
                <w:color w:val="auto"/>
                <w:sz w:val="24"/>
                <w:szCs w:val="24"/>
              </w:rPr>
              <w:t>架空输电线路运行规程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default" w:ascii="Times New Roman" w:hAnsi="Times New Roman" w:eastAsia="宋体"/>
                <w:color w:val="auto"/>
                <w:sz w:val="21"/>
                <w:szCs w:val="21"/>
                <w:lang w:val="en-US" w:eastAsia="zh-CN"/>
              </w:rPr>
            </w:pPr>
            <w:r>
              <w:rPr>
                <w:rFonts w:ascii="宋体" w:hAnsi="宋体" w:eastAsia="宋体" w:cs="宋体"/>
                <w:color w:val="auto"/>
                <w:sz w:val="24"/>
                <w:szCs w:val="24"/>
              </w:rPr>
              <w:t>GB/T 28181-2022</w:t>
            </w:r>
          </w:p>
        </w:tc>
        <w:tc>
          <w:tcPr>
            <w:tcW w:w="3395"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default" w:ascii="Times New Roman" w:hAnsi="Times New Roman" w:eastAsia="宋体"/>
                <w:color w:val="auto"/>
                <w:sz w:val="21"/>
                <w:szCs w:val="21"/>
                <w:lang w:val="en-US" w:eastAsia="zh-CN"/>
              </w:rPr>
            </w:pPr>
            <w:r>
              <w:rPr>
                <w:rFonts w:ascii="宋体" w:hAnsi="宋体" w:eastAsia="宋体" w:cs="宋体"/>
                <w:color w:val="auto"/>
                <w:sz w:val="24"/>
                <w:szCs w:val="24"/>
              </w:rPr>
              <w:t>公共安全视频监控联网系统信息传输、交换、控制技术要求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default" w:ascii="Times New Roman" w:hAnsi="Times New Roman" w:eastAsia="宋体"/>
                <w:color w:val="auto"/>
                <w:sz w:val="21"/>
                <w:szCs w:val="21"/>
                <w:lang w:val="en-US" w:eastAsia="zh-CN"/>
              </w:rPr>
            </w:pPr>
            <w:r>
              <w:rPr>
                <w:rFonts w:ascii="宋体" w:hAnsi="宋体" w:eastAsia="宋体" w:cs="宋体"/>
                <w:color w:val="auto"/>
                <w:sz w:val="24"/>
                <w:szCs w:val="24"/>
              </w:rPr>
              <w:t>GB/T 2423</w:t>
            </w:r>
          </w:p>
        </w:tc>
        <w:tc>
          <w:tcPr>
            <w:tcW w:w="3395"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eastAsia" w:ascii="Times New Roman" w:hAnsi="Times New Roman" w:eastAsia="宋体"/>
                <w:color w:val="auto"/>
                <w:sz w:val="21"/>
                <w:szCs w:val="21"/>
              </w:rPr>
            </w:pPr>
            <w:r>
              <w:rPr>
                <w:rFonts w:ascii="宋体" w:hAnsi="宋体" w:eastAsia="宋体" w:cs="宋体"/>
                <w:color w:val="auto"/>
                <w:sz w:val="24"/>
                <w:szCs w:val="24"/>
              </w:rPr>
              <w:t>环境试验</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eastAsia" w:ascii="Times New Roman" w:hAnsi="Times New Roman" w:eastAsia="宋体"/>
                <w:color w:val="auto"/>
                <w:sz w:val="21"/>
                <w:szCs w:val="21"/>
                <w:lang w:val="en-US" w:eastAsia="zh-CN"/>
              </w:rPr>
            </w:pPr>
            <w:r>
              <w:rPr>
                <w:rFonts w:ascii="宋体" w:hAnsi="宋体" w:eastAsia="宋体" w:cs="宋体"/>
                <w:color w:val="auto"/>
                <w:sz w:val="24"/>
                <w:szCs w:val="24"/>
              </w:rPr>
              <w:t>GB/T 8567</w:t>
            </w:r>
          </w:p>
        </w:tc>
        <w:tc>
          <w:tcPr>
            <w:tcW w:w="3395"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eastAsia" w:ascii="Times New Roman" w:hAnsi="Times New Roman" w:eastAsia="宋体"/>
                <w:color w:val="auto"/>
                <w:sz w:val="21"/>
                <w:szCs w:val="21"/>
              </w:rPr>
            </w:pPr>
            <w:r>
              <w:rPr>
                <w:rFonts w:ascii="宋体" w:hAnsi="宋体" w:eastAsia="宋体" w:cs="宋体"/>
                <w:color w:val="auto"/>
                <w:sz w:val="24"/>
                <w:szCs w:val="24"/>
              </w:rPr>
              <w:t>计算机软件文档编制规范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eastAsia" w:ascii="Times New Roman" w:hAnsi="Times New Roman" w:eastAsia="宋体"/>
                <w:color w:val="auto"/>
                <w:sz w:val="21"/>
                <w:szCs w:val="21"/>
              </w:rPr>
            </w:pPr>
            <w:r>
              <w:rPr>
                <w:rFonts w:ascii="宋体" w:hAnsi="宋体" w:eastAsia="宋体" w:cs="宋体"/>
                <w:color w:val="auto"/>
                <w:sz w:val="24"/>
                <w:szCs w:val="24"/>
              </w:rPr>
              <w:t>GB/T 9385</w:t>
            </w:r>
          </w:p>
        </w:tc>
        <w:tc>
          <w:tcPr>
            <w:tcW w:w="3395"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eastAsia" w:ascii="Times New Roman" w:hAnsi="Times New Roman" w:eastAsia="宋体"/>
                <w:color w:val="auto"/>
                <w:sz w:val="21"/>
                <w:szCs w:val="21"/>
              </w:rPr>
            </w:pPr>
            <w:r>
              <w:rPr>
                <w:rFonts w:hint="eastAsia" w:ascii="Times New Roman" w:hAnsi="Times New Roman" w:eastAsia="宋体" w:cs="Times New Roman"/>
                <w:color w:val="auto"/>
                <w:sz w:val="21"/>
                <w:szCs w:val="21"/>
                <w:lang w:val="en-US" w:eastAsia="zh-CN" w:bidi="ar-SA"/>
              </w:rPr>
              <w:t>计算机软件需求规格说明规范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1604"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default" w:ascii="Times New Roman" w:hAnsi="Times New Roman" w:eastAsia="宋体"/>
                <w:color w:val="auto"/>
                <w:sz w:val="21"/>
                <w:szCs w:val="21"/>
                <w:lang w:val="en-US" w:eastAsia="zh-CN"/>
              </w:rPr>
            </w:pPr>
            <w:bookmarkStart w:id="13" w:name="_Toc25883"/>
            <w:bookmarkStart w:id="14" w:name="_Toc16474"/>
            <w:bookmarkStart w:id="15" w:name="_Toc7639"/>
            <w:r>
              <w:rPr>
                <w:rFonts w:ascii="宋体" w:hAnsi="宋体" w:eastAsia="宋体" w:cs="宋体"/>
                <w:color w:val="auto"/>
                <w:sz w:val="24"/>
                <w:szCs w:val="24"/>
              </w:rPr>
              <w:t>GB/T 9386</w:t>
            </w:r>
          </w:p>
        </w:tc>
        <w:tc>
          <w:tcPr>
            <w:tcW w:w="3395" w:type="pct"/>
            <w:noWrap w:val="0"/>
            <w:vAlign w:val="center"/>
          </w:tcPr>
          <w:p>
            <w:pPr>
              <w:tabs>
                <w:tab w:val="left" w:pos="2160"/>
              </w:tabs>
              <w:autoSpaceDE w:val="0"/>
              <w:autoSpaceDN w:val="0"/>
              <w:adjustRightInd w:val="0"/>
              <w:snapToGrid w:val="0"/>
              <w:spacing w:beforeLines="0" w:afterLines="0" w:line="360" w:lineRule="auto"/>
              <w:ind w:firstLine="0" w:firstLineChars="0"/>
              <w:jc w:val="left"/>
              <w:rPr>
                <w:rFonts w:hint="default" w:ascii="Times New Roman" w:hAnsi="Times New Roman" w:eastAsia="宋体"/>
                <w:color w:val="auto"/>
                <w:sz w:val="21"/>
                <w:szCs w:val="21"/>
                <w:lang w:val="en-US" w:eastAsia="zh-CN"/>
              </w:rPr>
            </w:pPr>
            <w:r>
              <w:rPr>
                <w:rFonts w:ascii="宋体" w:hAnsi="宋体" w:eastAsia="宋体" w:cs="宋体"/>
                <w:color w:val="auto"/>
                <w:sz w:val="24"/>
                <w:szCs w:val="24"/>
              </w:rPr>
              <w:t>计算机软件测试文档编制规范</w:t>
            </w:r>
          </w:p>
        </w:tc>
      </w:tr>
    </w:tbl>
    <w:p>
      <w:pPr>
        <w:pStyle w:val="4"/>
        <w:numPr>
          <w:ilvl w:val="255"/>
          <w:numId w:val="0"/>
        </w:numPr>
        <w:spacing w:before="312" w:after="156"/>
        <w:rPr>
          <w:rFonts w:hint="eastAsia" w:ascii="宋体" w:hAnsi="宋体" w:eastAsia="宋体" w:cs="Times New Roman"/>
          <w:lang w:val="en-US" w:eastAsia="zh-CN"/>
        </w:rPr>
      </w:pPr>
      <w:r>
        <w:rPr>
          <w:rFonts w:hint="eastAsia" w:ascii="宋体" w:hAnsi="宋体" w:eastAsia="宋体" w:cs="Times New Roman"/>
          <w:lang w:val="en-US" w:eastAsia="zh-CN"/>
        </w:rPr>
        <w:t>3.使用条件</w:t>
      </w:r>
      <w:bookmarkEnd w:id="13"/>
      <w:bookmarkEnd w:id="1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3.1正常工作条件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系统运行环境：系统应支持在招标方指定的输电线路在线监测应用环境、生产管理网络环境或经授权的专用网络环境中部署运行，满足输电线路树障图像采集、智能识别、距离测算、风险等级评估、预警信息输出及结果查询等业务连续使用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前端采集环境：固定式单目视觉图像采集设备应适用于输电杆塔、线路通道、高风险树障区段、人工巡视困难区段及关键跨越区段等现场环境，能够在固定安装条件下对导线、杆塔、树木及周边背景进行稳定图像采集，为后续树障智能识别和距离测算提供有效数据来源。</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硬件安装条件：前端监测设备应具备满足现场安装使用的固定支架、供电、防护和通信条件，安装位置应能够覆盖目标输电线路及树障监测区域。设备安装应不影响输电线路安全运行，不破坏既有杆塔结构，并满足招标方现场安全管理和施工管理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图像采集条件：系统应支持对输电线路通道场景进行定时、按需或连续图像采集，采集图像应能够清晰反映导线、树木、杆塔及通道环境等关键目标。图像质量应满足语义分割、树障轮廓提取、深度估算和安全距离测算等算法分析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算法运行条件：系统应具备输电线路与树障目标智能识别能力，能够对采集图像中的树木、杆塔、导线及背景等目标进行有效区分，并在此基础上开展单目视觉距离测算和树障风险等级评估，输出正常、注意、危险、紧急等不同等级的风险判断结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数据接入与存储条件：系统应具备图像数据、识别结果、距离测算结果、风险等级、预警记录和测试分析数据的存储与管理能力，能够按招标方确认的数据格式、接口方式或文件形式进行数据接入、结果导出和成果归档。</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终端使用环境：系统管理端或展示端应支持在招标方指定的办公终端、运维终端或专用工作站上使用，满足项目管理人员、运检人员、技术人员对图像数据、识别结果、风险预警、历史记录和统计分析结果的查看、查询和导出需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浏览器及客户端条件：如系统采用B/S架构，管理端应支持主流国产化或通用浏览器访问，界面显示清晰、功能布局合理、操作简便；如系统采用客户端或本地部署方式，应保证客户端软件在招标方指定的计算机或服务器环境中稳定运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网络通信条件：系统应在招标方确认的网络环境下运行，支持前端图像采集设备与后台分析系统之间的数据传输。对于现场网络条件受限的输电线路区段，系统应支持本地缓存、断点续传或离线数据导入等方式，保障图像数据和分析结果的完整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数据处理能力：系统应能够满足项目试验线路或典型应用场景下的图像处理、目标识别、距离测算和风险评估需求，支持对多批次现场采集图像、历史巡检图像及测试样本进行统一管理和分析，满足模型训练、算法验证、精度评估和现场实景测试要求。</w:t>
      </w:r>
    </w:p>
    <w:p>
      <w:pPr>
        <w:tabs>
          <w:tab w:val="left" w:pos="851"/>
        </w:tabs>
        <w:ind w:firstLine="480"/>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11）安全运行条件：系统应具备用户身份认证、权限管理、操作日志记录、数据备份恢复、访问控制和敏感数据保护等功能，防止未授权访问、数据丢失、误操作和信息泄露，保证系统运行过程中的数据安全和管理可追溯。</w:t>
      </w:r>
    </w:p>
    <w:p>
      <w:pPr>
        <w:tabs>
          <w:tab w:val="left" w:pos="851"/>
        </w:tabs>
        <w:ind w:firstLine="480"/>
        <w:rPr>
          <w:rFonts w:hint="eastAsia" w:ascii="宋体" w:hAnsi="宋体" w:eastAsia="宋体" w:cs="宋体"/>
          <w:color w:val="auto"/>
          <w:sz w:val="24"/>
          <w:szCs w:val="24"/>
          <w:lang w:val="en-US" w:eastAsia="zh-CN"/>
        </w:rPr>
      </w:pPr>
      <w:r>
        <w:rPr>
          <w:rFonts w:ascii="宋体" w:hAnsi="宋体" w:eastAsia="宋体" w:cs="宋体"/>
          <w:color w:val="auto"/>
          <w:sz w:val="24"/>
          <w:szCs w:val="24"/>
          <w:lang w:val="en-US" w:eastAsia="zh-CN"/>
        </w:rPr>
        <w:t>（12）系统应能在招标方规定的输电运检业务流程、现场安全管理要求、数据安全要求和项目验收要求范围内稳定运行，满足输电线路树障智能监测、自动化分析、风险预警和成果交付需要。</w:t>
      </w:r>
    </w:p>
    <w:p>
      <w:pPr>
        <w:tabs>
          <w:tab w:val="left" w:pos="851"/>
        </w:tabs>
        <w:ind w:firstLine="48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3.2特殊工作条件</w:t>
      </w:r>
    </w:p>
    <w:p>
      <w:pPr>
        <w:tabs>
          <w:tab w:val="left" w:pos="851"/>
        </w:tabs>
        <w:ind w:firstLine="480"/>
        <w:rPr>
          <w:rFonts w:ascii="宋体" w:hAnsi="宋体" w:eastAsia="宋体" w:cs="宋体"/>
          <w:color w:val="auto"/>
          <w:sz w:val="24"/>
          <w:szCs w:val="24"/>
          <w:lang w:val="en-US" w:eastAsia="zh-CN"/>
        </w:rPr>
      </w:pPr>
      <w:r>
        <w:rPr>
          <w:rFonts w:ascii="宋体" w:hAnsi="宋体" w:eastAsia="宋体" w:cs="宋体"/>
          <w:color w:val="auto"/>
          <w:sz w:val="24"/>
          <w:szCs w:val="24"/>
          <w:lang w:val="en-US" w:eastAsia="zh-CN"/>
        </w:rPr>
        <w:t>针对具体应用工况，用户可根据现场输电线路电压等级、杆塔结构、通道环境、树障分布、光照条件、天气条件、通信条件、供电条件、设备安装位置及系统接入方式等实际需求提出特殊工作条件。当项目实施环境超出正常与特殊工作条件时，由招标方与投标方协商确定。</w:t>
      </w:r>
    </w:p>
    <w:p>
      <w:pPr>
        <w:pStyle w:val="4"/>
        <w:numPr>
          <w:ilvl w:val="255"/>
          <w:numId w:val="0"/>
        </w:numPr>
        <w:spacing w:before="312" w:after="156"/>
        <w:rPr>
          <w:rFonts w:hint="default"/>
          <w:lang w:val="en-US" w:eastAsia="zh-CN"/>
        </w:rPr>
      </w:pPr>
      <w:bookmarkStart w:id="16" w:name="_Toc14218"/>
      <w:bookmarkStart w:id="17" w:name="_Toc27043"/>
      <w:r>
        <w:rPr>
          <w:rFonts w:hint="eastAsia" w:ascii="宋体" w:hAnsi="宋体" w:eastAsia="宋体" w:cs="Times New Roman"/>
          <w:color w:val="auto"/>
          <w:lang w:val="en-US" w:eastAsia="zh-CN"/>
        </w:rPr>
        <w:t>4</w:t>
      </w:r>
      <w:r>
        <w:rPr>
          <w:rFonts w:hint="eastAsia" w:cs="Times New Roman"/>
          <w:color w:val="auto"/>
          <w:lang w:val="en-US" w:eastAsia="zh-CN"/>
        </w:rPr>
        <w:t>.</w:t>
      </w:r>
      <w:r>
        <w:rPr>
          <w:rFonts w:hint="eastAsia" w:ascii="宋体" w:hAnsi="宋体" w:eastAsia="宋体" w:cs="Times New Roman"/>
          <w:color w:val="auto"/>
          <w:lang w:val="en-US" w:eastAsia="zh-CN"/>
        </w:rPr>
        <w:t>制作原则</w:t>
      </w:r>
      <w:bookmarkEnd w:id="16"/>
      <w:bookmarkEnd w:id="17"/>
    </w:p>
    <w:p>
      <w:pPr>
        <w:tabs>
          <w:tab w:val="left" w:pos="851"/>
        </w:tabs>
        <w:ind w:firstLine="480"/>
        <w:rPr>
          <w:rFonts w:hint="eastAsia"/>
          <w:lang w:val="en-US" w:eastAsia="zh-CN"/>
        </w:rPr>
      </w:pPr>
      <w:r>
        <w:rPr>
          <w:rFonts w:hint="eastAsia" w:ascii="宋体" w:hAnsi="宋体" w:eastAsia="宋体" w:cs="宋体"/>
          <w:color w:val="auto"/>
          <w:sz w:val="24"/>
          <w:szCs w:val="24"/>
          <w:lang w:val="en-US" w:eastAsia="zh-CN"/>
        </w:rPr>
        <w:t>（1）先进性原则</w:t>
      </w:r>
    </w:p>
    <w:p>
      <w:pPr>
        <w:tabs>
          <w:tab w:val="left" w:pos="851"/>
        </w:tabs>
        <w:ind w:firstLine="480"/>
        <w:rPr>
          <w:rFonts w:hint="eastAsia" w:ascii="宋体" w:hAnsi="宋体" w:eastAsia="宋体" w:cs="宋体"/>
          <w:color w:val="auto"/>
          <w:lang w:val="en-US" w:eastAsia="zh-CN"/>
        </w:rPr>
      </w:pPr>
      <w:r>
        <w:rPr>
          <w:rFonts w:ascii="宋体" w:hAnsi="宋体" w:eastAsia="宋体" w:cs="宋体"/>
          <w:color w:val="auto"/>
          <w:sz w:val="24"/>
          <w:szCs w:val="24"/>
        </w:rPr>
        <w:t>遵循南方电网公司数字电网、智能运检和输电线路在线监测相关规划与要求，结合输电线路树障监测业务现状，充分吸收人工智能、固定式单目视觉、图像语义分割、深度估算、智能预警等先进技术成果，采用技术成熟、路线先进、应用可行的系统设计方案。项目应以现场实际应用为导向，围绕输电线路树障隐患识别难、人工判断误差大、周期性巡视存在空窗期等问题，构建低成本、高精度、可推广的智能监测与分析系统，实现树障识别、距离测算、风险等级评估和预警提示的自动化处理，全面提升输电线路树障监测的智能化、精益化和实用化水平。</w:t>
      </w:r>
      <w:r>
        <w:rPr>
          <w:rFonts w:hint="eastAsia" w:ascii="宋体" w:hAnsi="宋体" w:eastAsia="宋体" w:cs="宋体"/>
          <w:color w:val="auto"/>
          <w:lang w:val="en-US" w:eastAsia="zh-CN"/>
        </w:rPr>
        <w:t>（2）安全性原则</w:t>
      </w:r>
    </w:p>
    <w:p>
      <w:pPr>
        <w:tabs>
          <w:tab w:val="left" w:pos="851"/>
        </w:tabs>
        <w:ind w:firstLine="480"/>
        <w:rPr>
          <w:rFonts w:ascii="宋体" w:hAnsi="宋体" w:eastAsia="宋体" w:cs="宋体"/>
          <w:color w:val="auto"/>
          <w:sz w:val="24"/>
          <w:szCs w:val="24"/>
        </w:rPr>
      </w:pPr>
      <w:r>
        <w:rPr>
          <w:rFonts w:ascii="宋体" w:hAnsi="宋体" w:eastAsia="宋体" w:cs="宋体"/>
          <w:color w:val="auto"/>
          <w:sz w:val="24"/>
          <w:szCs w:val="24"/>
        </w:rPr>
        <w:t>系统设计、开发、部署和运行应满足国家、行业及南方电网公司关于电力监控系统安全防护、网络安全、数据安全和信息系统安全管理的相关要求，并结合输电线路在线监测系统的业务特点，建立覆盖设备接入、数据传输、系统访问、权限控制、日志审计和数据存储等环节的安全防护机制。系统应通过用户身份认证、分级权限管理、访问控制、数据备份、操作日志记录、接口安全控制等措施，防止未授权访问、数据篡改、误操作、信息泄露和非法接入，确保图像数据、算法分析结果、风险预警信息及项目技术成果的安全可靠。</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（3）可靠性原则</w:t>
      </w:r>
    </w:p>
    <w:p>
      <w:pPr>
        <w:tabs>
          <w:tab w:val="left" w:pos="851"/>
        </w:tabs>
        <w:ind w:firstLine="480"/>
        <w:rPr>
          <w:rFonts w:ascii="宋体" w:hAnsi="宋体" w:eastAsia="宋体" w:cs="宋体"/>
          <w:color w:val="auto"/>
          <w:sz w:val="24"/>
          <w:szCs w:val="24"/>
        </w:rPr>
      </w:pPr>
      <w:r>
        <w:rPr>
          <w:rFonts w:ascii="宋体" w:hAnsi="宋体" w:eastAsia="宋体" w:cs="宋体"/>
          <w:color w:val="auto"/>
          <w:sz w:val="24"/>
          <w:szCs w:val="24"/>
        </w:rPr>
        <w:t>系统应充分考虑输电线路现场环境复杂、运行场景分散、监测任务连续性要求高等特点，具备稳定、可靠、可持续运行能力。前端图像采集设备、后台算法分析模块、数据存储模块和预警输出模块应能够协同稳定运行，保证图像采集、树障识别、距离测算和风险等级评估结果的连续性与准确性。系统设计应充分考虑异常网络、数据传输中断、设备故障、图像质量波动、光照变化和复杂背景干扰等情况，具备必要的容错、缓存、恢复和异常提示能力，确保系统在典型输电线路现场应用条件下能够长期可靠运行。</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（4）规范化原则</w:t>
      </w:r>
    </w:p>
    <w:p>
      <w:pPr>
        <w:tabs>
          <w:tab w:val="left" w:pos="851"/>
        </w:tabs>
        <w:ind w:firstLine="480"/>
        <w:rPr>
          <w:rFonts w:hint="eastAsia" w:ascii="宋体" w:hAnsi="宋体" w:eastAsia="宋体" w:cs="宋体"/>
          <w:color w:val="auto"/>
          <w:lang w:val="en-US" w:eastAsia="zh-CN"/>
        </w:rPr>
      </w:pPr>
      <w:r>
        <w:rPr>
          <w:rFonts w:ascii="宋体" w:hAnsi="宋体" w:eastAsia="宋体" w:cs="宋体"/>
          <w:color w:val="auto"/>
          <w:sz w:val="24"/>
          <w:szCs w:val="24"/>
        </w:rPr>
        <w:t>项目制作过程应遵循国家标准、行业标准、企业标准及招标方相关管理制度要求，做到系统设计规范、算法开发规范、数据标注规范、接口设计规范、测试验证规范和成果文档规范。项目应按照统一的技术路线、统一的数据格式、统一的模型评估方法和统一的验收要求开展研发工作，对需求分析、方案设计、数据采集、模型训练、系统集成、现场测试、成果交付等全过程进行规范化管理。交付成果应包括系统设计说明、技术研究报告、算法模型测试报告、用户操作手册等规范化技术文档，确保项目成果具备可复现、可维护、可验收和可推广应用的条件。</w:t>
      </w:r>
    </w:p>
    <w:p>
      <w:pPr>
        <w:pStyle w:val="4"/>
        <w:numPr>
          <w:ilvl w:val="255"/>
          <w:numId w:val="0"/>
        </w:numPr>
        <w:spacing w:before="312" w:after="156"/>
        <w:rPr>
          <w:rFonts w:hint="eastAsia" w:ascii="宋体" w:hAnsi="宋体" w:eastAsia="宋体" w:cs="Times New Roman"/>
          <w:color w:val="auto"/>
        </w:rPr>
      </w:pPr>
      <w:bookmarkStart w:id="18" w:name="_Toc22696"/>
      <w:bookmarkStart w:id="19" w:name="_Toc32566"/>
      <w:r>
        <w:rPr>
          <w:rFonts w:hint="eastAsia" w:ascii="宋体" w:hAnsi="宋体" w:eastAsia="宋体" w:cs="Times New Roman"/>
          <w:color w:val="auto"/>
          <w:lang w:val="en-US" w:eastAsia="zh-CN"/>
        </w:rPr>
        <w:t>5</w:t>
      </w:r>
      <w:r>
        <w:rPr>
          <w:rFonts w:hint="eastAsia" w:cs="Times New Roman"/>
          <w:color w:val="auto"/>
          <w:lang w:val="en-US" w:eastAsia="zh-CN"/>
        </w:rPr>
        <w:t>.</w:t>
      </w:r>
      <w:r>
        <w:rPr>
          <w:rFonts w:hint="eastAsia" w:ascii="宋体" w:hAnsi="宋体" w:eastAsia="宋体" w:cs="Times New Roman"/>
          <w:color w:val="auto"/>
        </w:rPr>
        <w:t>技术服务内容及方式</w:t>
      </w:r>
      <w:bookmarkEnd w:id="15"/>
      <w:bookmarkEnd w:id="18"/>
      <w:bookmarkEnd w:id="19"/>
    </w:p>
    <w:p>
      <w:pPr>
        <w:tabs>
          <w:tab w:val="left" w:pos="851"/>
        </w:tabs>
        <w:ind w:firstLine="480"/>
        <w:rPr>
          <w:rFonts w:hint="eastAsia" w:ascii="宋体" w:hAnsi="宋体" w:eastAsia="宋体" w:cs="宋体"/>
          <w:color w:val="auto"/>
          <w:lang w:val="en-US" w:eastAsia="zh-CN"/>
        </w:rPr>
      </w:pPr>
      <w:bookmarkStart w:id="20" w:name="_Toc369559705"/>
      <w:bookmarkStart w:id="21" w:name="_Toc369561308"/>
      <w:r>
        <w:rPr>
          <w:rFonts w:hint="eastAsia" w:ascii="宋体" w:hAnsi="宋体" w:eastAsia="宋体" w:cs="宋体"/>
          <w:color w:val="auto"/>
          <w:lang w:val="en-US" w:eastAsia="zh-CN"/>
        </w:rPr>
        <w:t>服务期限为合同生效之日起至2026年1</w:t>
      </w:r>
      <w:r>
        <w:rPr>
          <w:rFonts w:hint="eastAsia" w:ascii="宋体" w:hAnsi="宋体" w:cs="宋体"/>
          <w:color w:val="auto"/>
          <w:lang w:val="en-US" w:eastAsia="zh-CN"/>
        </w:rPr>
        <w:t>2</w:t>
      </w:r>
      <w:r>
        <w:rPr>
          <w:rFonts w:hint="eastAsia" w:ascii="宋体" w:hAnsi="宋体" w:eastAsia="宋体" w:cs="宋体"/>
          <w:color w:val="auto"/>
          <w:lang w:val="en-US" w:eastAsia="zh-CN"/>
        </w:rPr>
        <w:t>月</w:t>
      </w:r>
      <w:r>
        <w:rPr>
          <w:rFonts w:hint="eastAsia" w:ascii="宋体" w:hAnsi="宋体" w:cs="宋体"/>
          <w:color w:val="auto"/>
          <w:lang w:val="en-US" w:eastAsia="zh-CN"/>
        </w:rPr>
        <w:t>20</w:t>
      </w:r>
      <w:r>
        <w:rPr>
          <w:rFonts w:hint="eastAsia" w:ascii="宋体" w:hAnsi="宋体" w:eastAsia="宋体" w:cs="宋体"/>
          <w:color w:val="auto"/>
          <w:lang w:val="en-US" w:eastAsia="zh-CN"/>
        </w:rPr>
        <w:t>日。</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本创新项目需根据加工、制作、调试的实际情况前往现场开展勘查、安装及调试工作，具体项目地点需联系相关项目负责人。</w:t>
      </w:r>
    </w:p>
    <w:bookmarkEnd w:id="20"/>
    <w:bookmarkEnd w:id="21"/>
    <w:p>
      <w:pPr>
        <w:snapToGrid w:val="0"/>
        <w:spacing w:line="360" w:lineRule="auto"/>
        <w:ind w:firstLine="0" w:firstLineChars="0"/>
        <w:jc w:val="center"/>
        <w:rPr>
          <w:rFonts w:hint="eastAsia"/>
          <w:color w:val="auto"/>
          <w:szCs w:val="21"/>
          <w:highlight w:val="none"/>
          <w:lang w:val="en-US" w:eastAsia="zh-CN"/>
        </w:rPr>
      </w:pPr>
      <w:bookmarkStart w:id="22" w:name="_Toc12318"/>
      <w:bookmarkStart w:id="23" w:name="_Toc27075"/>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20"/>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widowControl w:val="0"/>
              <w:spacing w:line="420" w:lineRule="exact"/>
              <w:jc w:val="center"/>
              <w:textAlignment w:val="center"/>
              <w:rPr>
                <w:rFonts w:hint="default" w:ascii="Calibri" w:hAnsi="Calibri" w:eastAsia="宋体" w:cs="Times New Roman"/>
                <w:color w:val="auto"/>
                <w:kern w:val="2"/>
                <w:sz w:val="21"/>
                <w:szCs w:val="20"/>
                <w:highlight w:val="none"/>
                <w:vertAlign w:val="baseline"/>
                <w:lang w:val="en-US" w:eastAsia="zh-CN" w:bidi="ar-SA"/>
              </w:rPr>
            </w:pPr>
            <w:r>
              <w:rPr>
                <w:rFonts w:hint="eastAsia" w:ascii="Calibri" w:hAnsi="Calibri" w:eastAsia="宋体" w:cs="Times New Roman"/>
                <w:color w:val="auto"/>
                <w:kern w:val="2"/>
                <w:sz w:val="21"/>
                <w:szCs w:val="20"/>
                <w:highlight w:val="none"/>
                <w:vertAlign w:val="baseline"/>
                <w:lang w:val="en-US" w:eastAsia="zh-CN" w:bidi="ar-SA"/>
              </w:rPr>
              <w:t>序号</w:t>
            </w:r>
          </w:p>
        </w:tc>
        <w:tc>
          <w:tcPr>
            <w:tcW w:w="1338" w:type="dxa"/>
            <w:noWrap w:val="0"/>
            <w:vAlign w:val="center"/>
          </w:tcPr>
          <w:p>
            <w:pPr>
              <w:widowControl w:val="0"/>
              <w:spacing w:line="420" w:lineRule="exact"/>
              <w:jc w:val="center"/>
              <w:textAlignment w:val="center"/>
              <w:rPr>
                <w:rFonts w:hint="eastAsia" w:ascii="Calibri" w:hAnsi="Calibri" w:eastAsia="宋体" w:cs="Times New Roman"/>
                <w:color w:val="auto"/>
                <w:kern w:val="2"/>
                <w:sz w:val="21"/>
                <w:szCs w:val="20"/>
                <w:highlight w:val="none"/>
                <w:vertAlign w:val="baseline"/>
                <w:lang w:val="en-US" w:eastAsia="zh-CN" w:bidi="ar-SA"/>
              </w:rPr>
            </w:pPr>
            <w:r>
              <w:rPr>
                <w:rFonts w:hint="eastAsia" w:ascii="Calibri" w:hAnsi="Calibri" w:eastAsia="宋体" w:cs="Times New Roman"/>
                <w:color w:val="auto"/>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jc w:val="center"/>
              <w:textAlignment w:val="center"/>
              <w:rPr>
                <w:rFonts w:hint="eastAsia" w:ascii="Calibri" w:hAnsi="Calibri" w:eastAsia="宋体" w:cs="Times New Roman"/>
                <w:color w:val="auto"/>
                <w:kern w:val="2"/>
                <w:sz w:val="21"/>
                <w:szCs w:val="20"/>
                <w:highlight w:val="none"/>
                <w:vertAlign w:val="baseline"/>
                <w:lang w:val="en-US" w:eastAsia="zh-CN" w:bidi="ar-SA"/>
              </w:rPr>
            </w:pPr>
            <w:r>
              <w:rPr>
                <w:rFonts w:hint="eastAsia" w:ascii="Calibri" w:hAnsi="Calibri" w:eastAsia="宋体" w:cs="Times New Roman"/>
                <w:color w:val="auto"/>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jc w:val="center"/>
              <w:textAlignment w:val="center"/>
              <w:rPr>
                <w:rFonts w:hint="default" w:ascii="Calibri" w:hAnsi="Calibri" w:eastAsia="宋体" w:cs="Times New Roman"/>
                <w:color w:val="auto"/>
                <w:kern w:val="2"/>
                <w:sz w:val="21"/>
                <w:szCs w:val="20"/>
                <w:highlight w:val="none"/>
                <w:vertAlign w:val="baseline"/>
                <w:lang w:val="en-US" w:eastAsia="zh-CN" w:bidi="ar-SA"/>
              </w:rPr>
            </w:pPr>
            <w:r>
              <w:rPr>
                <w:rFonts w:hint="eastAsia" w:ascii="Calibri" w:hAnsi="Calibri" w:eastAsia="宋体" w:cs="Times New Roman"/>
                <w:color w:val="auto"/>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jc w:val="center"/>
              <w:textAlignment w:val="center"/>
              <w:rPr>
                <w:rFonts w:hint="default" w:ascii="Calibri" w:hAnsi="Calibri" w:eastAsia="宋体" w:cs="Times New Roman"/>
                <w:color w:val="auto"/>
                <w:kern w:val="2"/>
                <w:sz w:val="21"/>
                <w:szCs w:val="20"/>
                <w:highlight w:val="none"/>
                <w:vertAlign w:val="baseline"/>
                <w:lang w:val="en-US" w:eastAsia="zh-CN" w:bidi="ar-SA"/>
              </w:rPr>
            </w:pPr>
            <w:r>
              <w:rPr>
                <w:rFonts w:hint="eastAsia" w:ascii="Calibri" w:hAnsi="Calibri" w:eastAsia="宋体" w:cs="Times New Roman"/>
                <w:color w:val="auto"/>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tabs>
                <w:tab w:val="left" w:pos="851"/>
              </w:tabs>
              <w:ind w:firstLine="480"/>
              <w:jc w:val="both"/>
              <w:rPr>
                <w:rFonts w:hint="default" w:ascii="宋体" w:hAnsi="宋体" w:eastAsia="宋体" w:cs="宋体"/>
                <w:color w:val="auto"/>
                <w:sz w:val="24"/>
                <w:szCs w:val="24"/>
                <w:lang w:val="en-US" w:eastAsia="zh-CN"/>
              </w:rPr>
            </w:pPr>
            <w:bookmarkStart w:id="24" w:name="_Toc369561313"/>
            <w:bookmarkStart w:id="25" w:name="_Toc7886"/>
            <w:bookmarkStart w:id="26" w:name="_Toc2581"/>
            <w:bookmarkStart w:id="27" w:name="_Toc12691"/>
            <w:bookmarkStart w:id="28" w:name="_Toc369559710"/>
            <w:bookmarkStart w:id="29" w:name="_Toc14394"/>
            <w:r>
              <w:rPr>
                <w:rFonts w:hint="eastAsia" w:ascii="宋体" w:hAnsi="宋体" w:eastAsia="宋体" w:cs="宋体"/>
                <w:color w:val="auto"/>
                <w:sz w:val="24"/>
                <w:szCs w:val="24"/>
                <w:lang w:val="en-US" w:eastAsia="zh-CN"/>
              </w:rPr>
              <w:t>1</w:t>
            </w:r>
          </w:p>
        </w:tc>
        <w:tc>
          <w:tcPr>
            <w:tcW w:w="1338" w:type="dxa"/>
            <w:noWrap w:val="0"/>
            <w:vAlign w:val="center"/>
          </w:tcPr>
          <w:p>
            <w:pPr>
              <w:tabs>
                <w:tab w:val="left" w:pos="851"/>
              </w:tabs>
              <w:ind w:left="0" w:leftChars="0" w:firstLine="0" w:firstLineChars="0"/>
              <w:jc w:val="both"/>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基于固定式单目视觉的输电线路树障智能监测与分析</w:t>
            </w:r>
            <w:r>
              <w:rPr>
                <w:rFonts w:hint="eastAsia" w:ascii="宋体" w:hAnsi="宋体" w:eastAsia="宋体" w:cs="宋体"/>
                <w:color w:val="auto"/>
                <w:sz w:val="24"/>
                <w:szCs w:val="24"/>
                <w:lang w:val="en-US" w:eastAsia="zh-CN"/>
              </w:rPr>
              <w:t>项目</w:t>
            </w:r>
          </w:p>
        </w:tc>
        <w:tc>
          <w:tcPr>
            <w:tcW w:w="4348" w:type="dxa"/>
            <w:noWrap w:val="0"/>
            <w:vAlign w:val="center"/>
          </w:tcPr>
          <w:p>
            <w:pPr>
              <w:tabs>
                <w:tab w:val="left" w:pos="851"/>
              </w:tabs>
              <w:ind w:left="0" w:leftChars="0" w:firstLine="0" w:firstLineChars="0"/>
              <w:jc w:val="both"/>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根据招标方设计方案，协助完成：</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1. 固定式单目视觉树障监测总体方案设计。结合输电线路树障监测业务需求，开展系统总体架构、技术路线、数据流程、功能模块、部署方式和测试验证方案设计，明确图像采集、目标识别、距离测算、风险评估及预警输出等核心功能。</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2. 前端图像采集与数据集构建。协助开展固定式单目视觉图像采集设备选型、安装位置分析、监测视场规划和现场图像采集，形成适用于输电线路树障识别与分析的图像数据集；制定数据标注规范，对导线、树木、杆塔、背景等关键目标进行标注，为算法训练和验证提供数据基础。</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3. 输电线路与树障语义分割算法研发。基于人工智能图像识别技术，开展输电线路通道场景下树木、杆塔、导线及背景等目标的像素级识别与分割算法开发，实现树障区域精确提取，为后续距离测算和风险评估提供基础。</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4. 基于单目视觉的树障距离测算算法研发。结合相机标定参数、图像几何关系、深度估算方法和现场已知物理参数，开展树障与输电线路导线之间安全距离测算方法研究，实现由二维图像向实际空间距离的转换，并对测算结果进行误差分析和精度优化。</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5. 树障风险等级评估模型开发。依据输电线路运行安全要求和不同电压等级安全距离原则，建立树障风险等级评估模型，对树障隐患状态进行正常、注意、危险、紧急等等级划分，形成自动化预警判断逻辑，为运检人员提供直观决策依据。</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6. 系统集成与功能联调。将图像采集、语义分割、距离测算、风险等级评估、预警输出、数据存储和结果展示等模块进行集成，形成输电线路树障智能监测与分析原型系统，实现从输入图像到输出风险等级结果的全流程自动化处理。</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7. 实验室测试与现场实景验证。利用测试图像、历史巡检图像和现场采集图像对系统进行功能测试、算法精度测试、稳定性测试和鲁棒性测试，分析不同光照、背景、拍摄角度和树障形态条件下的识别效果，持续优化模型参数和系统功能。</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8. 技术成果总结与文档编制。完成项目研发过程总结、算法测试结果分析、系统使用说明和成果验收材料编制，配合招标方开展项目验收、成果演示和资料归档工作。</w:t>
            </w:r>
          </w:p>
        </w:tc>
        <w:tc>
          <w:tcPr>
            <w:tcW w:w="2048" w:type="dxa"/>
            <w:noWrap w:val="0"/>
            <w:vAlign w:val="center"/>
          </w:tcPr>
          <w:p>
            <w:pPr>
              <w:keepNext w:val="0"/>
              <w:keepLines w:val="0"/>
              <w:widowControl/>
              <w:numPr>
                <w:ilvl w:val="0"/>
                <w:numId w:val="2"/>
              </w:numPr>
              <w:suppressLineNumbers w:val="0"/>
              <w:spacing w:line="240" w:lineRule="auto"/>
              <w:ind w:firstLine="0" w:firstLineChars="0"/>
              <w:jc w:val="both"/>
              <w:textAlignment w:val="center"/>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形成固定式单目视觉输电线路树障智能监测与分析原型系统1套，具备图像采集、树障识别、距离测算、风险等级评估和预警输出等功能。</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2. 形成输电线路树障监测图像数据集及数据标注说明1套，包含典型线路通道图像、树障目标标注及数据使用说明。</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3. 形成语义分割算法模型、单目视觉距离测算算法和树障风险等级评估模型各1套。</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4. 形成系统设计说明书1份，说明系统总体架构、功能模块、数据流程、部署方式和接口设计等内容。</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5. 形成算法模型测试报告1份，包含识别精度、测距误差、风险评估准确性、误报漏报分析和优化建议等内容。</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6. 形成技术研究报告1份，系统总结项目研究思路、关键技术、实施过程、测试结果和应用前景。</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7. 形成原型系统用户操作手册1份，说明系统安装部署、功能使用、结果查看、数据管理和常见问题处理方法。</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8. 配合完成项目成果演示、验收汇报材料及相关支撑文件1套。</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.完成第三方检测（检测机构应具备CMA或CNAS认证资质）；</w:t>
            </w:r>
          </w:p>
          <w:p>
            <w:pPr>
              <w:keepNext w:val="0"/>
              <w:keepLines w:val="0"/>
              <w:widowControl/>
              <w:suppressLineNumbers w:val="0"/>
              <w:spacing w:line="240" w:lineRule="auto"/>
              <w:ind w:firstLine="0" w:firstLineChars="0"/>
              <w:jc w:val="both"/>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.在超特高压新型电气装备科技成果转化中试基地完成中试。</w:t>
            </w:r>
          </w:p>
        </w:tc>
        <w:tc>
          <w:tcPr>
            <w:tcW w:w="1309" w:type="dxa"/>
            <w:noWrap w:val="0"/>
            <w:vAlign w:val="center"/>
          </w:tcPr>
          <w:p>
            <w:pPr>
              <w:tabs>
                <w:tab w:val="left" w:pos="851"/>
              </w:tabs>
              <w:ind w:left="0" w:leftChars="0" w:firstLine="0" w:firstLineChars="0"/>
              <w:jc w:val="both"/>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招标方指定地点</w:t>
            </w:r>
          </w:p>
        </w:tc>
      </w:tr>
      <w:bookmarkEnd w:id="22"/>
      <w:bookmarkEnd w:id="23"/>
    </w:tbl>
    <w:p>
      <w:pPr>
        <w:pStyle w:val="4"/>
        <w:numPr>
          <w:ilvl w:val="255"/>
          <w:numId w:val="0"/>
        </w:numPr>
        <w:spacing w:before="312" w:after="156"/>
        <w:rPr>
          <w:rFonts w:hint="eastAsia" w:ascii="宋体" w:hAnsi="宋体" w:eastAsia="宋体" w:cs="Times New Roman"/>
          <w:color w:val="auto"/>
        </w:rPr>
      </w:pPr>
      <w:bookmarkStart w:id="30" w:name="_Toc23208"/>
      <w:r>
        <w:rPr>
          <w:rFonts w:hint="eastAsia" w:ascii="宋体" w:hAnsi="宋体" w:eastAsia="宋体" w:cs="Times New Roman"/>
          <w:color w:val="auto"/>
          <w:lang w:val="en-US" w:eastAsia="zh-CN"/>
        </w:rPr>
        <w:t>6.</w:t>
      </w:r>
      <w:r>
        <w:rPr>
          <w:rFonts w:hint="eastAsia" w:ascii="宋体" w:hAnsi="宋体" w:eastAsia="宋体" w:cs="Times New Roman"/>
          <w:color w:val="auto"/>
        </w:rPr>
        <w:t>对投标方的要求</w:t>
      </w:r>
      <w:bookmarkEnd w:id="24"/>
      <w:bookmarkEnd w:id="25"/>
      <w:bookmarkEnd w:id="26"/>
      <w:bookmarkEnd w:id="27"/>
      <w:bookmarkEnd w:id="28"/>
      <w:bookmarkEnd w:id="29"/>
      <w:bookmarkEnd w:id="30"/>
    </w:p>
    <w:p>
      <w:pPr>
        <w:tabs>
          <w:tab w:val="left" w:pos="851"/>
        </w:tabs>
        <w:ind w:firstLine="480"/>
        <w:rPr>
          <w:rFonts w:hint="eastAsia" w:ascii="宋体" w:hAnsi="宋体" w:eastAsia="宋体" w:cs="宋体"/>
          <w:color w:val="auto"/>
          <w:lang w:val="en-US" w:eastAsia="zh-CN"/>
        </w:rPr>
      </w:pPr>
      <w:bookmarkStart w:id="31" w:name="_Toc369561314"/>
      <w:bookmarkStart w:id="32" w:name="_Toc28495"/>
      <w:bookmarkStart w:id="33" w:name="_Toc16150"/>
      <w:bookmarkStart w:id="34" w:name="_Toc31887"/>
      <w:bookmarkStart w:id="35" w:name="_Toc369559711"/>
      <w:r>
        <w:rPr>
          <w:rFonts w:hint="eastAsia" w:ascii="宋体" w:hAnsi="宋体" w:eastAsia="宋体" w:cs="宋体"/>
          <w:color w:val="auto"/>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（8）投标方负责提供制作范围内所有设备的文件资料和运行维护手册；</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color w:val="auto"/>
        </w:rPr>
      </w:pPr>
      <w:bookmarkStart w:id="36" w:name="_Toc30826"/>
      <w:bookmarkStart w:id="37" w:name="_Toc2553"/>
      <w:r>
        <w:rPr>
          <w:rFonts w:hint="eastAsia" w:ascii="宋体" w:hAnsi="宋体" w:eastAsia="宋体" w:cs="Times New Roman"/>
          <w:color w:val="auto"/>
          <w:lang w:val="en-US" w:eastAsia="zh-CN"/>
        </w:rPr>
        <w:t>7</w:t>
      </w:r>
      <w:bookmarkEnd w:id="31"/>
      <w:bookmarkEnd w:id="32"/>
      <w:bookmarkEnd w:id="33"/>
      <w:bookmarkEnd w:id="34"/>
      <w:bookmarkEnd w:id="35"/>
      <w:r>
        <w:rPr>
          <w:rFonts w:hint="eastAsia" w:ascii="宋体" w:hAnsi="宋体" w:eastAsia="宋体" w:cs="Times New Roman"/>
          <w:color w:val="auto"/>
          <w:lang w:val="en-US" w:eastAsia="zh-CN"/>
        </w:rPr>
        <w:t>.</w:t>
      </w:r>
      <w:r>
        <w:rPr>
          <w:rFonts w:hint="eastAsia" w:ascii="宋体" w:hAnsi="宋体" w:eastAsia="宋体" w:cs="Times New Roman"/>
          <w:color w:val="auto"/>
        </w:rPr>
        <w:t>售后服务及其它服务要求</w:t>
      </w:r>
      <w:bookmarkEnd w:id="36"/>
      <w:bookmarkEnd w:id="37"/>
    </w:p>
    <w:p>
      <w:pPr>
        <w:tabs>
          <w:tab w:val="left" w:pos="851"/>
        </w:tabs>
        <w:ind w:firstLine="480"/>
        <w:rPr>
          <w:rFonts w:hint="eastAsia" w:ascii="宋体" w:hAnsi="宋体" w:eastAsia="宋体" w:cs="宋体"/>
          <w:color w:val="auto"/>
          <w:lang w:val="en-US" w:eastAsia="zh-CN"/>
        </w:rPr>
      </w:pPr>
      <w:bookmarkStart w:id="38" w:name="_Toc10829"/>
      <w:bookmarkStart w:id="39" w:name="_Toc28511"/>
      <w:bookmarkStart w:id="40" w:name="_Toc10389"/>
      <w:bookmarkStart w:id="41" w:name="_Toc20620"/>
      <w:bookmarkStart w:id="42" w:name="_Toc13136"/>
      <w:bookmarkStart w:id="43" w:name="_Toc29252"/>
      <w:bookmarkStart w:id="44" w:name="_Toc20198"/>
      <w:bookmarkStart w:id="45" w:name="_Toc10420"/>
      <w:bookmarkStart w:id="46" w:name="_Toc11564"/>
      <w:bookmarkStart w:id="47" w:name="_Toc30582"/>
      <w:bookmarkStart w:id="48" w:name="_Toc28372"/>
      <w:bookmarkStart w:id="49" w:name="_Toc26277"/>
      <w:bookmarkStart w:id="50" w:name="_Toc20141"/>
      <w:bookmarkStart w:id="51" w:name="_Toc26310"/>
      <w:r>
        <w:rPr>
          <w:rFonts w:hint="eastAsia" w:ascii="宋体" w:hAnsi="宋体" w:eastAsia="宋体" w:cs="宋体"/>
          <w:color w:val="auto"/>
          <w:lang w:val="en-US" w:eastAsia="zh-CN"/>
        </w:rPr>
        <w:t>7.1 售后服务</w:t>
      </w:r>
      <w:bookmarkEnd w:id="38"/>
      <w:bookmarkEnd w:id="39"/>
      <w:bookmarkEnd w:id="40"/>
      <w:bookmarkEnd w:id="41"/>
      <w:bookmarkEnd w:id="42"/>
      <w:bookmarkEnd w:id="43"/>
      <w:bookmarkEnd w:id="44"/>
      <w:bookmarkEnd w:id="45"/>
      <w:bookmarkEnd w:id="46"/>
      <w:bookmarkEnd w:id="47"/>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color w:val="auto"/>
          <w:lang w:val="en-US" w:eastAsia="zh-CN"/>
        </w:rPr>
      </w:pPr>
      <w:bookmarkStart w:id="52" w:name="_Toc3047"/>
      <w:bookmarkStart w:id="53" w:name="_Toc24565"/>
      <w:bookmarkStart w:id="54" w:name="_Toc12828"/>
      <w:bookmarkStart w:id="55" w:name="_Toc22421"/>
      <w:bookmarkStart w:id="56" w:name="_Toc29014"/>
      <w:bookmarkStart w:id="57" w:name="_Toc12748"/>
      <w:bookmarkStart w:id="58" w:name="_Toc11532"/>
      <w:bookmarkStart w:id="59" w:name="_Toc6703"/>
      <w:bookmarkStart w:id="60" w:name="_Toc9332"/>
      <w:bookmarkStart w:id="61" w:name="_Toc17466"/>
      <w:bookmarkStart w:id="62" w:name="_Toc12127"/>
      <w:bookmarkStart w:id="63" w:name="_Toc10191"/>
      <w:r>
        <w:rPr>
          <w:rFonts w:hint="eastAsia" w:ascii="宋体" w:hAnsi="宋体" w:eastAsia="宋体" w:cs="宋体"/>
          <w:color w:val="auto"/>
          <w:lang w:val="en-US" w:eastAsia="zh-CN"/>
        </w:rPr>
        <w:t>7.2 其它服务要求</w:t>
      </w:r>
      <w:bookmarkEnd w:id="52"/>
      <w:bookmarkEnd w:id="53"/>
      <w:bookmarkEnd w:id="54"/>
      <w:bookmarkEnd w:id="55"/>
      <w:bookmarkEnd w:id="56"/>
      <w:bookmarkEnd w:id="57"/>
      <w:bookmarkEnd w:id="58"/>
      <w:bookmarkEnd w:id="59"/>
      <w:bookmarkEnd w:id="60"/>
      <w:bookmarkEnd w:id="61"/>
      <w:bookmarkEnd w:id="62"/>
      <w:bookmarkEnd w:id="63"/>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8"/>
      <w:bookmarkEnd w:id="49"/>
      <w:bookmarkEnd w:id="50"/>
      <w:bookmarkEnd w:id="51"/>
      <w:bookmarkStart w:id="64" w:name="_Toc1182"/>
      <w:bookmarkStart w:id="65" w:name="_Toc16657"/>
    </w:p>
    <w:p>
      <w:pPr>
        <w:pStyle w:val="4"/>
        <w:numPr>
          <w:ilvl w:val="255"/>
          <w:numId w:val="0"/>
        </w:numPr>
        <w:spacing w:before="312" w:after="156"/>
        <w:rPr>
          <w:rFonts w:hint="eastAsia" w:ascii="宋体" w:hAnsi="宋体" w:eastAsia="宋体" w:cs="Times New Roman"/>
          <w:color w:val="auto"/>
        </w:rPr>
      </w:pPr>
      <w:r>
        <w:rPr>
          <w:rFonts w:hint="eastAsia" w:ascii="宋体" w:hAnsi="宋体" w:eastAsia="宋体" w:cs="Times New Roman"/>
          <w:color w:val="auto"/>
          <w:lang w:val="en-US" w:eastAsia="zh-CN"/>
        </w:rPr>
        <w:t>8.</w:t>
      </w:r>
      <w:r>
        <w:rPr>
          <w:rFonts w:hint="eastAsia" w:ascii="宋体" w:hAnsi="宋体" w:eastAsia="宋体" w:cs="Times New Roman"/>
          <w:color w:val="auto"/>
        </w:rPr>
        <w:t>对投标技术文件的要求</w:t>
      </w:r>
      <w:bookmarkEnd w:id="64"/>
      <w:bookmarkEnd w:id="65"/>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color w:val="auto"/>
          <w:lang w:val="en-US" w:eastAsia="zh-CN"/>
        </w:rPr>
      </w:pPr>
      <w:bookmarkStart w:id="66" w:name="_Toc11575"/>
      <w:r>
        <w:rPr>
          <w:rFonts w:hint="eastAsia" w:ascii="宋体" w:hAnsi="宋体" w:eastAsia="宋体" w:cs="宋体"/>
          <w:color w:val="auto"/>
          <w:lang w:val="en-US" w:eastAsia="zh-CN"/>
        </w:rPr>
        <w:t>8.1投标文件的响应</w:t>
      </w:r>
      <w:bookmarkEnd w:id="66"/>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7"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7"/>
      <w:r>
        <w:rPr>
          <w:rFonts w:hint="eastAsia"/>
          <w:color w:val="auto"/>
          <w:szCs w:val="21"/>
          <w:highlight w:val="none"/>
        </w:rPr>
        <w:t>技术参数和性能要求响应表</w:t>
      </w:r>
    </w:p>
    <w:tbl>
      <w:tblPr>
        <w:tblStyle w:val="20"/>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numPr>
                <w:ilvl w:val="0"/>
                <w:numId w:val="0"/>
              </w:numPr>
              <w:suppressLineNumbers w:val="0"/>
              <w:spacing w:line="240" w:lineRule="auto"/>
              <w:jc w:val="both"/>
              <w:textAlignment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p>
        </w:tc>
        <w:tc>
          <w:tcPr>
            <w:tcW w:w="1258" w:type="pct"/>
            <w:noWrap w:val="0"/>
            <w:vAlign w:val="center"/>
          </w:tcPr>
          <w:p>
            <w:pPr>
              <w:keepNext w:val="0"/>
              <w:keepLines w:val="0"/>
              <w:widowControl/>
              <w:numPr>
                <w:ilvl w:val="0"/>
                <w:numId w:val="0"/>
              </w:numPr>
              <w:suppressLineNumbers w:val="0"/>
              <w:spacing w:line="240" w:lineRule="auto"/>
              <w:jc w:val="both"/>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基于固定式单目视觉的输电线路树障智能监测与分析</w:t>
            </w:r>
            <w:r>
              <w:rPr>
                <w:rFonts w:hint="eastAsia" w:ascii="宋体" w:hAnsi="宋体" w:eastAsia="宋体" w:cs="宋体"/>
                <w:color w:val="auto"/>
                <w:sz w:val="24"/>
                <w:szCs w:val="24"/>
                <w:lang w:val="en-US" w:eastAsia="zh-CN"/>
              </w:rPr>
              <w:t>项目</w:t>
            </w:r>
          </w:p>
        </w:tc>
        <w:tc>
          <w:tcPr>
            <w:tcW w:w="2144" w:type="pct"/>
            <w:noWrap w:val="0"/>
            <w:vAlign w:val="center"/>
          </w:tcPr>
          <w:p>
            <w:pPr>
              <w:keepNext w:val="0"/>
              <w:keepLines w:val="0"/>
              <w:widowControl/>
              <w:numPr>
                <w:ilvl w:val="0"/>
                <w:numId w:val="0"/>
              </w:numPr>
              <w:suppressLineNumbers w:val="0"/>
              <w:spacing w:line="240" w:lineRule="auto"/>
              <w:jc w:val="both"/>
              <w:textAlignment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1.</w:t>
            </w:r>
            <w:r>
              <w:rPr>
                <w:rFonts w:hint="default" w:ascii="宋体" w:hAnsi="宋体" w:eastAsia="宋体" w:cs="宋体"/>
                <w:color w:val="auto"/>
                <w:sz w:val="24"/>
                <w:szCs w:val="24"/>
                <w:lang w:val="en-US" w:eastAsia="zh-CN"/>
              </w:rPr>
              <w:t>形成固定式单目视觉输电线路树障智能监测与分析原型系统1套，具备图像采集、树障识别、距离测算、风险等级评估和预警输出等功能。</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2. 形成输电线路树障监测图像数据集及数据标注说明1套，包含典型线路通道图像、树障目标标注及数据使用说明。</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3. 形成语义分割算法模型、单目视觉距离测算算法和树障风险等级评估模型各1套。</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4. 形成系统设计说明书1份，说明系统总体架构、功能模块、数据流程、部署方式和接口设计等内容。</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5. 形成算法模型测试报告1份，包含识别精度、测距误差、风险评估准确性、误报漏报分析和优化建议等内容。</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6. 形成技术研究报告1份，系统总结项目研究思路、关键技术、实施过程、测试结果和应用前景。</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7. 形成原型系统用户操作手册1份，说明系统安装部署、功能使用、结果查看、数据管理和常见问题处理方法。</w:t>
            </w:r>
            <w:r>
              <w:rPr>
                <w:rFonts w:hint="default" w:ascii="宋体" w:hAnsi="宋体" w:eastAsia="宋体" w:cs="宋体"/>
                <w:color w:val="auto"/>
                <w:sz w:val="24"/>
                <w:szCs w:val="24"/>
                <w:lang w:val="en-US" w:eastAsia="zh-CN"/>
              </w:rPr>
              <w:br w:type="textWrapping"/>
            </w:r>
            <w:r>
              <w:rPr>
                <w:rFonts w:hint="default" w:ascii="宋体" w:hAnsi="宋体" w:eastAsia="宋体" w:cs="宋体"/>
                <w:color w:val="auto"/>
                <w:sz w:val="24"/>
                <w:szCs w:val="24"/>
                <w:lang w:val="en-US" w:eastAsia="zh-CN"/>
              </w:rPr>
              <w:t>8. 配合完成项目成果演示、验收汇报材料及相关支撑文件1套。</w:t>
            </w:r>
          </w:p>
          <w:p>
            <w:pPr>
              <w:keepNext w:val="0"/>
              <w:keepLines w:val="0"/>
              <w:widowControl/>
              <w:numPr>
                <w:ilvl w:val="0"/>
                <w:numId w:val="0"/>
              </w:numPr>
              <w:suppressLineNumbers w:val="0"/>
              <w:spacing w:line="240" w:lineRule="auto"/>
              <w:jc w:val="both"/>
              <w:textAlignment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9</w:t>
            </w:r>
            <w:r>
              <w:rPr>
                <w:rFonts w:hint="eastAsia" w:ascii="宋体" w:hAnsi="宋体" w:eastAsia="宋体" w:cs="宋体"/>
                <w:color w:val="auto"/>
                <w:sz w:val="24"/>
                <w:szCs w:val="24"/>
                <w:lang w:val="en-US" w:eastAsia="zh-CN"/>
              </w:rPr>
              <w:t>.完成第三方检测（检测机构应具备CMA或CNAS认证资质）；</w:t>
            </w:r>
          </w:p>
          <w:p>
            <w:pPr>
              <w:keepNext w:val="0"/>
              <w:keepLines w:val="0"/>
              <w:widowControl/>
              <w:numPr>
                <w:ilvl w:val="0"/>
                <w:numId w:val="0"/>
              </w:numPr>
              <w:suppressLineNumbers w:val="0"/>
              <w:spacing w:line="240" w:lineRule="auto"/>
              <w:jc w:val="both"/>
              <w:textAlignment w:val="center"/>
              <w:rPr>
                <w:rFonts w:hint="eastAsia"/>
                <w:lang w:val="en-US" w:eastAsia="zh-CN"/>
              </w:rPr>
            </w:pPr>
            <w:r>
              <w:rPr>
                <w:rFonts w:hint="eastAsia" w:ascii="宋体" w:hAnsi="宋体" w:cs="宋体"/>
                <w:color w:val="auto"/>
                <w:sz w:val="24"/>
                <w:szCs w:val="24"/>
                <w:lang w:val="en-US" w:eastAsia="zh-CN"/>
              </w:rPr>
              <w:t>10</w:t>
            </w:r>
            <w:r>
              <w:rPr>
                <w:rFonts w:hint="eastAsia" w:ascii="宋体" w:hAnsi="宋体" w:eastAsia="宋体" w:cs="宋体"/>
                <w:color w:val="auto"/>
                <w:sz w:val="24"/>
                <w:szCs w:val="24"/>
                <w:lang w:val="en-US" w:eastAsia="zh-CN"/>
              </w:rPr>
              <w:t>.在超特高压新型电气装备科技成果转化中试基地完成中试。</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color w:val="auto"/>
                <w:sz w:val="24"/>
                <w:szCs w:val="24"/>
                <w:highlight w:val="none"/>
                <w:vertAlign w:val="baseline"/>
              </w:rPr>
            </w:pPr>
          </w:p>
        </w:tc>
      </w:tr>
    </w:tbl>
    <w:p>
      <w:pPr>
        <w:rPr>
          <w:rFonts w:hint="eastAsia" w:ascii="宋体" w:hAnsi="宋体" w:cs="宋体"/>
          <w:color w:val="auto"/>
          <w:sz w:val="24"/>
          <w:szCs w:val="24"/>
          <w:highlight w:val="none"/>
        </w:rPr>
      </w:pPr>
    </w:p>
    <w:p>
      <w:pPr>
        <w:tabs>
          <w:tab w:val="left" w:pos="851"/>
        </w:tabs>
        <w:ind w:firstLine="480"/>
        <w:rPr>
          <w:rFonts w:hint="eastAsia" w:ascii="宋体" w:hAnsi="宋体" w:eastAsia="宋体" w:cs="宋体"/>
          <w:color w:val="auto"/>
          <w:lang w:val="en-US" w:eastAsia="zh-CN"/>
        </w:rPr>
      </w:pPr>
      <w:bookmarkStart w:id="68" w:name="_Toc23057"/>
      <w:r>
        <w:rPr>
          <w:rFonts w:hint="eastAsia" w:ascii="宋体" w:hAnsi="宋体" w:eastAsia="宋体" w:cs="宋体"/>
          <w:color w:val="auto"/>
          <w:lang w:val="en-US" w:eastAsia="zh-CN"/>
        </w:rPr>
        <w:t>8.2投标方技术偏差表</w:t>
      </w:r>
      <w:bookmarkEnd w:id="68"/>
    </w:p>
    <w:p>
      <w:pPr>
        <w:tabs>
          <w:tab w:val="left" w:pos="851"/>
        </w:tabs>
        <w:ind w:firstLine="480"/>
        <w:rPr>
          <w:rFonts w:hint="eastAsia" w:ascii="宋体" w:hAnsi="宋体" w:eastAsia="宋体" w:cs="宋体"/>
          <w:color w:val="auto"/>
          <w:lang w:val="en-US" w:eastAsia="zh-CN"/>
        </w:rPr>
      </w:pPr>
      <w:r>
        <w:rPr>
          <w:rFonts w:hint="eastAsia" w:ascii="宋体" w:hAnsi="宋体" w:eastAsia="宋体" w:cs="宋体"/>
          <w:color w:val="auto"/>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9"/>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color w:val="auto"/>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abstractNum w:abstractNumId="1">
    <w:nsid w:val="70A0EC9F"/>
    <w:multiLevelType w:val="singleLevel"/>
    <w:tmpl w:val="70A0EC9F"/>
    <w:lvl w:ilvl="0" w:tentative="0">
      <w:start w:val="1"/>
      <w:numFmt w:val="decimal"/>
      <w:suff w:val="space"/>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1FA2"/>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501EA"/>
    <w:rsid w:val="1A6B245E"/>
    <w:rsid w:val="1A7E2606"/>
    <w:rsid w:val="1AAA4EE5"/>
    <w:rsid w:val="1AAE5A45"/>
    <w:rsid w:val="1AAF59FC"/>
    <w:rsid w:val="1AB10FB0"/>
    <w:rsid w:val="1AD5150D"/>
    <w:rsid w:val="1AEB1A05"/>
    <w:rsid w:val="1AEB5F51"/>
    <w:rsid w:val="1B205A92"/>
    <w:rsid w:val="1B31572D"/>
    <w:rsid w:val="1B494FD0"/>
    <w:rsid w:val="1B6C5B53"/>
    <w:rsid w:val="1C3310A9"/>
    <w:rsid w:val="1CBB21A6"/>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73B09"/>
    <w:rsid w:val="1F0C23CC"/>
    <w:rsid w:val="1F1545CE"/>
    <w:rsid w:val="1F2C1918"/>
    <w:rsid w:val="1F316326"/>
    <w:rsid w:val="1F5D4A06"/>
    <w:rsid w:val="1F964F4E"/>
    <w:rsid w:val="1F9A2D26"/>
    <w:rsid w:val="1F9F6536"/>
    <w:rsid w:val="1FB92045"/>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723EE"/>
    <w:rsid w:val="34ED54E4"/>
    <w:rsid w:val="3503309E"/>
    <w:rsid w:val="35435064"/>
    <w:rsid w:val="35476E77"/>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6B7AEA"/>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395A56"/>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F7FFF"/>
    <w:rsid w:val="4D1717E9"/>
    <w:rsid w:val="4D287306"/>
    <w:rsid w:val="4D3B2BA3"/>
    <w:rsid w:val="4D9B5368"/>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A81D98"/>
    <w:rsid w:val="55C8213D"/>
    <w:rsid w:val="55D97B52"/>
    <w:rsid w:val="5624334F"/>
    <w:rsid w:val="56890087"/>
    <w:rsid w:val="56941399"/>
    <w:rsid w:val="56FE35BF"/>
    <w:rsid w:val="5704401B"/>
    <w:rsid w:val="575F7ED8"/>
    <w:rsid w:val="580D12D8"/>
    <w:rsid w:val="580F0E14"/>
    <w:rsid w:val="5815521A"/>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7C77DF"/>
    <w:rsid w:val="5BAB33C9"/>
    <w:rsid w:val="5BDB7642"/>
    <w:rsid w:val="5C000D60"/>
    <w:rsid w:val="5C0564B8"/>
    <w:rsid w:val="5C1C1980"/>
    <w:rsid w:val="5C4202EB"/>
    <w:rsid w:val="5C487FF6"/>
    <w:rsid w:val="5C751D60"/>
    <w:rsid w:val="5C7B2FBB"/>
    <w:rsid w:val="5C9003EA"/>
    <w:rsid w:val="5CAF45D9"/>
    <w:rsid w:val="5CB8263D"/>
    <w:rsid w:val="5CD96150"/>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75FD3"/>
    <w:rsid w:val="627E3805"/>
    <w:rsid w:val="62805827"/>
    <w:rsid w:val="62EC6490"/>
    <w:rsid w:val="63D01E3F"/>
    <w:rsid w:val="63E43B3C"/>
    <w:rsid w:val="640E4535"/>
    <w:rsid w:val="643A375C"/>
    <w:rsid w:val="64466AD2"/>
    <w:rsid w:val="644D74F4"/>
    <w:rsid w:val="646F78AA"/>
    <w:rsid w:val="6482678D"/>
    <w:rsid w:val="64AA5237"/>
    <w:rsid w:val="65253FDA"/>
    <w:rsid w:val="65300472"/>
    <w:rsid w:val="65347A1E"/>
    <w:rsid w:val="65452F82"/>
    <w:rsid w:val="65546A82"/>
    <w:rsid w:val="6560518B"/>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C47D9D"/>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A54B55"/>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9E45BB"/>
    <w:rsid w:val="76D25BC0"/>
    <w:rsid w:val="77130569"/>
    <w:rsid w:val="77281135"/>
    <w:rsid w:val="77407237"/>
    <w:rsid w:val="7743475F"/>
    <w:rsid w:val="77503688"/>
    <w:rsid w:val="77F160D3"/>
    <w:rsid w:val="77F6629C"/>
    <w:rsid w:val="78212811"/>
    <w:rsid w:val="784D2C1B"/>
    <w:rsid w:val="78CC6C6A"/>
    <w:rsid w:val="79134850"/>
    <w:rsid w:val="791372BB"/>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116343"/>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7"/>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9"/>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30"/>
    <w:qFormat/>
    <w:uiPriority w:val="0"/>
    <w:rPr>
      <w:sz w:val="18"/>
      <w:szCs w:val="18"/>
    </w:rPr>
  </w:style>
  <w:style w:type="paragraph" w:styleId="13">
    <w:name w:val="footer"/>
    <w:basedOn w:val="1"/>
    <w:link w:val="26"/>
    <w:qFormat/>
    <w:uiPriority w:val="0"/>
    <w:pPr>
      <w:tabs>
        <w:tab w:val="center" w:pos="4153"/>
        <w:tab w:val="right" w:pos="8306"/>
      </w:tabs>
      <w:snapToGrid w:val="0"/>
    </w:pPr>
    <w:rPr>
      <w:sz w:val="18"/>
    </w:rPr>
  </w:style>
  <w:style w:type="paragraph" w:styleId="14">
    <w:name w:val="header"/>
    <w:basedOn w:val="1"/>
    <w:link w:val="28"/>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8">
    <w:name w:val="annotation subject"/>
    <w:basedOn w:val="10"/>
    <w:next w:val="10"/>
    <w:link w:val="31"/>
    <w:qFormat/>
    <w:uiPriority w:val="0"/>
    <w:rPr>
      <w:b/>
      <w:bCs/>
    </w:rPr>
  </w:style>
  <w:style w:type="table" w:styleId="20">
    <w:name w:val="Table Grid"/>
    <w:basedOn w:val="19"/>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qFormat/>
    <w:uiPriority w:val="22"/>
    <w:rPr>
      <w:b/>
    </w:rPr>
  </w:style>
  <w:style w:type="character" w:styleId="23">
    <w:name w:val="page number"/>
    <w:semiHidden/>
    <w:qFormat/>
    <w:uiPriority w:val="0"/>
  </w:style>
  <w:style w:type="character" w:styleId="24">
    <w:name w:val="Hyperlink"/>
    <w:qFormat/>
    <w:uiPriority w:val="99"/>
    <w:rPr>
      <w:color w:val="0000FF"/>
      <w:u w:val="single"/>
    </w:rPr>
  </w:style>
  <w:style w:type="character" w:styleId="25">
    <w:name w:val="annotation reference"/>
    <w:qFormat/>
    <w:uiPriority w:val="0"/>
    <w:rPr>
      <w:sz w:val="21"/>
      <w:szCs w:val="21"/>
    </w:rPr>
  </w:style>
  <w:style w:type="character" w:customStyle="1" w:styleId="26">
    <w:name w:val="页脚 字符"/>
    <w:link w:val="13"/>
    <w:qFormat/>
    <w:uiPriority w:val="0"/>
    <w:rPr>
      <w:rFonts w:ascii="Times New Roman" w:hAnsi="Times New Roman" w:eastAsia="宋体" w:cs="Times New Roman"/>
      <w:sz w:val="18"/>
      <w:szCs w:val="24"/>
    </w:rPr>
  </w:style>
  <w:style w:type="character" w:customStyle="1" w:styleId="27">
    <w:name w:val="标题 1 字符"/>
    <w:link w:val="4"/>
    <w:qFormat/>
    <w:uiPriority w:val="0"/>
    <w:rPr>
      <w:rFonts w:ascii="宋体" w:hAnsi="宋体"/>
      <w:b/>
      <w:bCs/>
      <w:kern w:val="24"/>
      <w:sz w:val="30"/>
      <w:szCs w:val="24"/>
      <w:u w:color="000000"/>
    </w:rPr>
  </w:style>
  <w:style w:type="character" w:customStyle="1" w:styleId="28">
    <w:name w:val="页眉 字符"/>
    <w:link w:val="14"/>
    <w:qFormat/>
    <w:uiPriority w:val="0"/>
    <w:rPr>
      <w:rFonts w:ascii="Times New Roman" w:hAnsi="Times New Roman" w:eastAsia="宋体" w:cs="Times New Roman"/>
      <w:sz w:val="18"/>
      <w:szCs w:val="18"/>
    </w:rPr>
  </w:style>
  <w:style w:type="character" w:customStyle="1" w:styleId="29">
    <w:name w:val="批注文字 字符"/>
    <w:link w:val="10"/>
    <w:qFormat/>
    <w:uiPriority w:val="0"/>
    <w:rPr>
      <w:rFonts w:ascii="Times New Roman" w:hAnsi="Times New Roman"/>
      <w:kern w:val="2"/>
      <w:sz w:val="21"/>
      <w:szCs w:val="24"/>
    </w:rPr>
  </w:style>
  <w:style w:type="character" w:customStyle="1" w:styleId="30">
    <w:name w:val="批注框文本 字符"/>
    <w:link w:val="12"/>
    <w:qFormat/>
    <w:uiPriority w:val="0"/>
    <w:rPr>
      <w:rFonts w:ascii="Times New Roman" w:hAnsi="Times New Roman"/>
      <w:kern w:val="2"/>
      <w:sz w:val="18"/>
      <w:szCs w:val="18"/>
    </w:rPr>
  </w:style>
  <w:style w:type="character" w:customStyle="1" w:styleId="31">
    <w:name w:val="批注主题 字符"/>
    <w:link w:val="18"/>
    <w:qFormat/>
    <w:uiPriority w:val="0"/>
    <w:rPr>
      <w:rFonts w:ascii="Times New Roman" w:hAnsi="Times New Roman"/>
      <w:b/>
      <w:bCs/>
      <w:kern w:val="2"/>
      <w:sz w:val="21"/>
      <w:szCs w:val="24"/>
    </w:rPr>
  </w:style>
  <w:style w:type="paragraph" w:customStyle="1" w:styleId="32">
    <w:name w:val="修订1"/>
    <w:qFormat/>
    <w:uiPriority w:val="0"/>
    <w:rPr>
      <w:rFonts w:ascii="Times New Roman" w:hAnsi="Times New Roman" w:eastAsia="宋体" w:cs="Times New Roman"/>
      <w:kern w:val="2"/>
      <w:sz w:val="21"/>
      <w:szCs w:val="24"/>
      <w:lang w:val="en-US" w:eastAsia="zh-CN" w:bidi="ar-SA"/>
    </w:rPr>
  </w:style>
  <w:style w:type="paragraph" w:customStyle="1" w:styleId="33">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4">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6">
    <w:name w:val="WPSOffice手动目录 1"/>
    <w:qFormat/>
    <w:uiPriority w:val="0"/>
    <w:rPr>
      <w:rFonts w:ascii="Times New Roman" w:hAnsi="Times New Roman" w:eastAsia="宋体" w:cs="Times New Roman"/>
      <w:lang w:val="en-US" w:eastAsia="zh-CN" w:bidi="ar-SA"/>
    </w:rPr>
  </w:style>
  <w:style w:type="paragraph" w:customStyle="1" w:styleId="37">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8">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9">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40">
    <w:name w:val="正文首先缩进"/>
    <w:basedOn w:val="1"/>
    <w:qFormat/>
    <w:uiPriority w:val="0"/>
    <w:pPr>
      <w:spacing w:line="360" w:lineRule="auto"/>
      <w:ind w:firstLine="420" w:firstLineChars="200"/>
    </w:pPr>
  </w:style>
  <w:style w:type="paragraph" w:customStyle="1" w:styleId="41">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12</Pages>
  <Words>5121</Words>
  <Characters>5307</Characters>
  <Lines>128</Lines>
  <Paragraphs>114</Paragraphs>
  <TotalTime>7</TotalTime>
  <ScaleCrop>false</ScaleCrop>
  <LinksUpToDate>false</LinksUpToDate>
  <CharactersWithSpaces>5348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bsj_weichenzhao</cp:lastModifiedBy>
  <cp:lastPrinted>2025-03-06T07:48:00Z</cp:lastPrinted>
  <dcterms:modified xsi:type="dcterms:W3CDTF">2026-06-30T09:00:07Z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7DADF4A31B6C448EBA999DCA5C0C29EA</vt:lpwstr>
  </property>
  <property fmtid="{D5CDD505-2E9C-101B-9397-08002B2CF9AE}" pid="4" name="KSOTemplateDocerSaveRecord">
    <vt:lpwstr>eyJoZGlkIjoiYTdjMGNhZjdiNmYwNzE2ZDQyNGIzZjIzNThhY2YxMTEiLCJ1c2VySWQiOiIzODE3OTQwNzUifQ==</vt:lpwstr>
  </property>
</Properties>
</file>