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44"/>
          <w:szCs w:val="44"/>
          <w:lang w:val="en-US" w:eastAsia="zh-CN"/>
        </w:rPr>
      </w:pPr>
      <w:r>
        <w:rPr>
          <w:rFonts w:hint="eastAsia" w:asciiTheme="minorHAnsi" w:eastAsiaTheme="minorEastAsia"/>
          <w:sz w:val="44"/>
          <w:szCs w:val="44"/>
          <w:lang w:val="en-US" w:eastAsia="zh-CN"/>
        </w:rPr>
        <w:t>超高压公司百色局零星采购项目报价文件</w:t>
      </w:r>
    </w:p>
    <w:p>
      <w:pPr>
        <w:jc w:val="center"/>
        <w:rPr>
          <w:rFonts w:hint="eastAsia"/>
          <w:sz w:val="44"/>
          <w:szCs w:val="44"/>
          <w:highlight w:val="yellow"/>
          <w:lang w:val="en-US" w:eastAsia="zh-CN"/>
        </w:rPr>
      </w:pPr>
      <w:r>
        <w:rPr>
          <w:rFonts w:hint="eastAsia"/>
          <w:sz w:val="44"/>
          <w:szCs w:val="44"/>
          <w:lang w:val="en-US" w:eastAsia="zh-CN"/>
        </w:rPr>
        <w:t>（基于固定式单目视觉的输电线路树障智能监测与分析项目）</w:t>
      </w:r>
    </w:p>
    <w:p>
      <w:pPr>
        <w:pStyle w:val="2"/>
        <w:ind w:left="0" w:leftChars="0" w:firstLine="0" w:firstLineChars="0"/>
        <w:jc w:val="center"/>
        <w:rPr>
          <w:rFonts w:hint="eastAsia"/>
          <w:lang w:val="en-US" w:eastAsia="zh-CN"/>
        </w:rPr>
      </w:pPr>
    </w:p>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一、资格</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资格要求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通用资格条件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1.具备以下条件之一：1）具有独立法人资格且为中华人民共和国境内注册的法人，持有合法有效的企业法人营业执照、组织机构代码证、税务登记证或有工商行政管理部门核发统一社会信用代码的企业法人营业执照；2）具有承担民事责任能力的事业单位或其他组织。注：分支机构投标的，须提供上级机构出具的合法、有效授权证明。</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2.没有处于被责令停业或破产状态，且未被重组或接管。</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3.不接受联合体投标。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4.单位负责人为同一人或者存在控股、管理关系的不同单位，不得参加同一标包投标或者未划分标包的同一招标项目投标。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5.不允许转包。</w:t>
            </w:r>
          </w:p>
          <w:p>
            <w:pPr>
              <w:keepNext w:val="0"/>
              <w:keepLines w:val="0"/>
              <w:widowControl/>
              <w:suppressLineNumbers w:val="0"/>
              <w:shd w:val="clear"/>
              <w:jc w:val="left"/>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6.其他不得存在的情形：南方电网公司供应链管理部门暂停或取消其投标资格，且未解除的。</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color w:val="auto"/>
                <w:kern w:val="44"/>
                <w:sz w:val="24"/>
                <w:szCs w:val="24"/>
                <w:highlight w:val="none"/>
                <w:vertAlign w:val="baseli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专用资格资质要求</w:t>
            </w:r>
          </w:p>
        </w:tc>
        <w:tc>
          <w:tcPr>
            <w:tcW w:w="4006" w:type="dxa"/>
            <w:vAlign w:val="center"/>
          </w:tcPr>
          <w:p>
            <w:pPr>
              <w:keepNext w:val="0"/>
              <w:keepLines w:val="0"/>
              <w:widowControl/>
              <w:suppressLineNumbers w:val="0"/>
              <w:shd w:val="clear"/>
              <w:jc w:val="left"/>
              <w:textAlignment w:val="center"/>
              <w:rPr>
                <w:rFonts w:hint="default" w:ascii="宋体" w:hAnsi="宋体" w:eastAsia="宋体" w:cs="宋体"/>
                <w:b/>
                <w:bCs/>
                <w:color w:val="auto"/>
                <w:kern w:val="44"/>
                <w:sz w:val="24"/>
                <w:szCs w:val="24"/>
                <w:highlight w:val="none"/>
                <w:vertAlign w:val="baseline"/>
                <w:lang w:val="en-US" w:eastAsia="zh-CN" w:bidi="ar-SA"/>
              </w:rPr>
            </w:pPr>
            <w:r>
              <w:rPr>
                <w:rFonts w:hint="eastAsia" w:ascii="宋体" w:hAnsi="宋体" w:eastAsia="宋体" w:cs="宋体"/>
                <w:b w:val="0"/>
                <w:bCs w:val="0"/>
                <w:i w:val="0"/>
                <w:iCs w:val="0"/>
                <w:color w:val="auto"/>
                <w:kern w:val="0"/>
                <w:sz w:val="24"/>
                <w:szCs w:val="24"/>
                <w:highlight w:val="none"/>
                <w:u w:val="none"/>
                <w:shd w:val="clear"/>
                <w:lang w:val="en-US" w:eastAsia="zh-CN" w:bidi="ar"/>
              </w:rPr>
              <w:t>无</w:t>
            </w:r>
          </w:p>
        </w:tc>
        <w:tc>
          <w:tcPr>
            <w:tcW w:w="2841" w:type="dxa"/>
            <w:shd w:val="clear" w:color="auto" w:fill="auto"/>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w:t>
            </w:r>
          </w:p>
        </w:tc>
      </w:tr>
    </w:tbl>
    <w:p>
      <w:pPr>
        <w:numPr>
          <w:ilvl w:val="0"/>
          <w:numId w:val="0"/>
        </w:numPr>
        <w:shd w:val="clear"/>
        <w:jc w:val="both"/>
        <w:rPr>
          <w:rFonts w:hint="default"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二、商务要求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商务要求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2.1 服务要求</w:t>
            </w:r>
          </w:p>
        </w:tc>
        <w:tc>
          <w:tcPr>
            <w:tcW w:w="4006" w:type="dxa"/>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ascii="宋体" w:hAnsi="宋体" w:eastAsia="宋体" w:cs="宋体"/>
                <w:sz w:val="24"/>
                <w:szCs w:val="24"/>
              </w:rPr>
              <w:t>本项目</w:t>
            </w:r>
            <w:r>
              <w:rPr>
                <w:rFonts w:hint="eastAsia" w:ascii="宋体" w:hAnsi="宋体" w:eastAsia="宋体" w:cs="宋体"/>
                <w:sz w:val="24"/>
                <w:szCs w:val="24"/>
                <w:lang w:val="en-US" w:eastAsia="zh-CN"/>
              </w:rPr>
              <w:t>拟整合</w:t>
            </w:r>
            <w:r>
              <w:rPr>
                <w:rFonts w:hint="default" w:ascii="宋体" w:hAnsi="宋体" w:eastAsia="宋体" w:cs="宋体"/>
                <w:sz w:val="24"/>
                <w:szCs w:val="24"/>
                <w:lang w:val="en-US" w:eastAsia="zh-CN"/>
              </w:rPr>
              <w:t>高精度语义分割、基于从阴影中恢复形状（SFS）的距离</w:t>
            </w:r>
            <w:r>
              <w:rPr>
                <w:rFonts w:hint="eastAsia" w:ascii="宋体" w:hAnsi="宋体" w:eastAsia="宋体" w:cs="宋体"/>
                <w:sz w:val="24"/>
                <w:szCs w:val="24"/>
                <w:lang w:val="en-US" w:eastAsia="zh-CN"/>
              </w:rPr>
              <w:t>测</w:t>
            </w:r>
            <w:r>
              <w:rPr>
                <w:rFonts w:hint="default" w:ascii="宋体" w:hAnsi="宋体" w:eastAsia="宋体" w:cs="宋体"/>
                <w:sz w:val="24"/>
                <w:szCs w:val="24"/>
                <w:lang w:val="en-US" w:eastAsia="zh-CN"/>
              </w:rPr>
              <w:t>算以及风险等级评估三大功能</w:t>
            </w:r>
            <w:r>
              <w:rPr>
                <w:rFonts w:ascii="宋体" w:hAnsi="宋体" w:eastAsia="宋体" w:cs="宋体"/>
                <w:sz w:val="24"/>
                <w:szCs w:val="24"/>
              </w:rPr>
              <w:t>，研发输电线路树障智能监测与分析系统。通过部署固定式图像采集设备，结合语义分割模型实现输电导线、杆塔、树木等关键目标的精准识别与提取；基于单目视觉深度估算和相机几何模型开展树障与输电线路之间的距离智能测算；依据国家或行业安全规程建立树障风险等级评估模型，实现树障隐患的自动识别、风险分级与预警分析。</w:t>
            </w:r>
            <w:r>
              <w:rPr>
                <w:rFonts w:hint="eastAsia" w:ascii="宋体" w:hAnsi="宋体" w:eastAsia="宋体" w:cs="宋体"/>
                <w:sz w:val="24"/>
                <w:szCs w:val="24"/>
                <w:lang w:val="en-US" w:eastAsia="zh-CN"/>
              </w:rPr>
              <w:t>投标方提供相关技术服务配合招标方完成</w:t>
            </w:r>
            <w:r>
              <w:rPr>
                <w:rFonts w:ascii="宋体" w:hAnsi="宋体" w:eastAsia="宋体" w:cs="宋体"/>
                <w:sz w:val="24"/>
                <w:szCs w:val="24"/>
              </w:rPr>
              <w:t>输电线路树障智能监测与分析系统</w:t>
            </w:r>
            <w:r>
              <w:rPr>
                <w:rFonts w:hint="eastAsia" w:ascii="宋体" w:hAnsi="宋体" w:eastAsia="宋体" w:cs="宋体"/>
                <w:sz w:val="24"/>
                <w:szCs w:val="24"/>
                <w:lang w:val="en-US" w:eastAsia="zh-CN"/>
              </w:rPr>
              <w:t>研发测试，完成第三方检测，并配合开展《发明专利文本》、《</w:t>
            </w:r>
            <w:r>
              <w:rPr>
                <w:rFonts w:hint="default" w:ascii="宋体" w:hAnsi="宋体" w:eastAsia="宋体" w:cs="宋体"/>
                <w:sz w:val="24"/>
                <w:szCs w:val="24"/>
                <w:lang w:val="en-US" w:eastAsia="zh-CN"/>
              </w:rPr>
              <w:t>技术研究报告</w:t>
            </w:r>
            <w:r>
              <w:rPr>
                <w:rFonts w:hint="eastAsia" w:ascii="宋体" w:hAnsi="宋体" w:eastAsia="宋体" w:cs="宋体"/>
                <w:sz w:val="24"/>
                <w:szCs w:val="24"/>
                <w:lang w:val="en-US" w:eastAsia="zh-CN"/>
              </w:rPr>
              <w:t>》、</w:t>
            </w:r>
            <w:r>
              <w:rPr>
                <w:rFonts w:hint="default" w:ascii="宋体" w:hAnsi="宋体" w:eastAsia="宋体" w:cs="宋体"/>
                <w:sz w:val="24"/>
                <w:szCs w:val="24"/>
                <w:lang w:val="en-US" w:eastAsia="zh-CN"/>
              </w:rPr>
              <w:t>《系统设计说明书》、《算法模型测试报告》以及《原型系统用户操作手册》</w:t>
            </w:r>
            <w:r>
              <w:rPr>
                <w:rFonts w:hint="eastAsia" w:ascii="宋体" w:hAnsi="宋体" w:eastAsia="宋体" w:cs="宋体"/>
                <w:sz w:val="24"/>
                <w:szCs w:val="24"/>
                <w:lang w:val="en-US" w:eastAsia="zh-CN"/>
              </w:rPr>
              <w:t>撰写。</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2.2 服务地址</w:t>
            </w:r>
          </w:p>
        </w:tc>
        <w:tc>
          <w:tcPr>
            <w:tcW w:w="4006"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不限（需到百色局所辖线路开展调试）</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2.3 服务期限要求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2026年12月20日前。</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2.4 服务人员要求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技术服务人员需为投标方公司所属劳动合同制员工或劳务派遣员工：如是投标方劳动合同制员，应提供工伤保险购买证明；如是投标方劳务派遣员工，应提供劳务派遣协议及工伤保险证明。</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2.5 发票要求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需提供符合规定税率的全额发票。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2.6 结算及支付条件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一次性支付：完成本项目全部服务工作内容，经招标方验收合格，投标方按开具全额发票，招标方收到发票后60日内，通过转账一次性支付全部费用。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2.7 服务方式要求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现场服务+远程服务</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2.8 售后服务要求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质保期1年。招标方有疑问时，投标方应安排专业技术人员积极配合，并提供专业的技术支持和意见建议。</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2.9 其他要求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报价包含完成本项目所需全部费用。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pStyle w:val="2"/>
        <w:rPr>
          <w:rFonts w:hint="eastAsia" w:cstheme="minorBidi"/>
          <w:b/>
          <w:bCs/>
          <w:color w:val="auto"/>
          <w:kern w:val="44"/>
          <w:sz w:val="30"/>
          <w:szCs w:val="30"/>
          <w:highlight w:val="none"/>
          <w:lang w:val="en-US" w:eastAsia="zh-CN" w:bidi="ar-SA"/>
        </w:rPr>
      </w:pPr>
    </w:p>
    <w:p>
      <w:pPr>
        <w:rPr>
          <w:rFonts w:hint="eastAsia"/>
          <w:lang w:val="en-US" w:eastAsia="zh-CN"/>
        </w:rPr>
      </w:pPr>
      <w:bookmarkStart w:id="4" w:name="_GoBack"/>
      <w:bookmarkEnd w:id="4"/>
    </w:p>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三、技术</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4234"/>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技术要求</w:t>
            </w:r>
          </w:p>
        </w:tc>
        <w:tc>
          <w:tcPr>
            <w:tcW w:w="423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3.1 技术服务内容及标准</w:t>
            </w:r>
          </w:p>
        </w:tc>
        <w:tc>
          <w:tcPr>
            <w:tcW w:w="4234" w:type="dxa"/>
            <w:vAlign w:val="center"/>
          </w:tcPr>
          <w:p>
            <w:pPr>
              <w:keepNext w:val="0"/>
              <w:keepLines w:val="0"/>
              <w:widowControl/>
              <w:suppressLineNumbers w:val="0"/>
              <w:shd w:val="clear"/>
              <w:jc w:val="both"/>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1）依据项目研究内容，完成</w:t>
            </w:r>
            <w:r>
              <w:rPr>
                <w:rFonts w:hint="default" w:ascii="宋体" w:hAnsi="宋体" w:eastAsia="宋体" w:cs="宋体"/>
                <w:sz w:val="24"/>
                <w:szCs w:val="24"/>
                <w:lang w:val="en-US" w:eastAsia="zh-CN"/>
              </w:rPr>
              <w:t>输电线路树障智能监测与分析系统</w:t>
            </w:r>
            <w:r>
              <w:rPr>
                <w:rFonts w:hint="eastAsia" w:ascii="宋体" w:hAnsi="宋体" w:eastAsia="宋体" w:cs="宋体"/>
                <w:sz w:val="24"/>
                <w:szCs w:val="24"/>
                <w:lang w:val="en-US" w:eastAsia="zh-CN"/>
              </w:rPr>
              <w:t>的设计与开发，</w:t>
            </w:r>
            <w:r>
              <w:rPr>
                <w:rFonts w:ascii="宋体" w:hAnsi="宋体" w:eastAsia="宋体" w:cs="宋体"/>
                <w:sz w:val="24"/>
                <w:szCs w:val="24"/>
              </w:rPr>
              <w:t>系统应具备树障目标自动提取、输电线路与树障距离智能测算、风险等级自动评估及预警分析等功能</w:t>
            </w:r>
            <w:r>
              <w:rPr>
                <w:rFonts w:hint="eastAsia" w:ascii="宋体" w:hAnsi="宋体" w:eastAsia="宋体" w:cs="宋体"/>
                <w:sz w:val="24"/>
                <w:szCs w:val="24"/>
                <w:lang w:val="en-US" w:eastAsia="zh-CN"/>
              </w:rPr>
              <w:t>，系统的</w:t>
            </w:r>
            <w:r>
              <w:rPr>
                <w:rFonts w:hint="default" w:ascii="宋体" w:hAnsi="宋体" w:eastAsia="宋体" w:cs="宋体"/>
                <w:sz w:val="24"/>
                <w:szCs w:val="24"/>
                <w:lang w:val="en-US" w:eastAsia="zh-CN"/>
              </w:rPr>
              <w:t>直接输出即为对输入图像中树障情况的风险等级评估结果。</w:t>
            </w:r>
          </w:p>
          <w:p>
            <w:pPr>
              <w:keepNext w:val="0"/>
              <w:keepLines w:val="0"/>
              <w:widowControl/>
              <w:suppressLineNumbers w:val="0"/>
              <w:shd w:val="clear"/>
              <w:jc w:val="both"/>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2）投标方根据招标方制定的项目研发方案要求开展研制工作，并有义务向招标方明确整个研制过程可能存在的风险因素（如</w:t>
            </w:r>
            <w:r>
              <w:rPr>
                <w:rFonts w:hint="default" w:ascii="宋体" w:hAnsi="宋体" w:eastAsia="宋体" w:cs="宋体"/>
                <w:sz w:val="24"/>
                <w:szCs w:val="24"/>
                <w:lang w:val="en-US" w:eastAsia="zh-CN"/>
              </w:rPr>
              <w:t>高精度语义分割</w:t>
            </w:r>
            <w:r>
              <w:rPr>
                <w:rFonts w:hint="eastAsia" w:ascii="宋体" w:hAnsi="宋体" w:eastAsia="宋体" w:cs="宋体"/>
                <w:sz w:val="24"/>
                <w:szCs w:val="24"/>
                <w:lang w:val="en-US" w:eastAsia="zh-CN"/>
              </w:rPr>
              <w:t>准确性</w:t>
            </w:r>
            <w:r>
              <w:rPr>
                <w:rFonts w:hint="default" w:ascii="宋体" w:hAnsi="宋体" w:eastAsia="宋体" w:cs="宋体"/>
                <w:sz w:val="24"/>
                <w:szCs w:val="24"/>
                <w:lang w:val="en-US" w:eastAsia="zh-CN"/>
              </w:rPr>
              <w:t>、基于从阴影中恢复形状（SFS）的距离</w:t>
            </w:r>
            <w:r>
              <w:rPr>
                <w:rFonts w:hint="eastAsia" w:ascii="宋体" w:hAnsi="宋体" w:eastAsia="宋体" w:cs="宋体"/>
                <w:sz w:val="24"/>
                <w:szCs w:val="24"/>
                <w:lang w:val="en-US" w:eastAsia="zh-CN"/>
              </w:rPr>
              <w:t>测</w:t>
            </w:r>
            <w:r>
              <w:rPr>
                <w:rFonts w:hint="default" w:ascii="宋体" w:hAnsi="宋体" w:eastAsia="宋体" w:cs="宋体"/>
                <w:sz w:val="24"/>
                <w:szCs w:val="24"/>
                <w:lang w:val="en-US" w:eastAsia="zh-CN"/>
              </w:rPr>
              <w:t>算</w:t>
            </w:r>
            <w:r>
              <w:rPr>
                <w:rFonts w:hint="eastAsia" w:ascii="宋体" w:hAnsi="宋体" w:eastAsia="宋体" w:cs="宋体"/>
                <w:sz w:val="24"/>
                <w:szCs w:val="24"/>
                <w:lang w:val="en-US" w:eastAsia="zh-CN"/>
              </w:rPr>
              <w:t>精度、</w:t>
            </w:r>
            <w:r>
              <w:rPr>
                <w:rFonts w:hint="default" w:ascii="宋体" w:hAnsi="宋体" w:eastAsia="宋体" w:cs="宋体"/>
                <w:sz w:val="24"/>
                <w:szCs w:val="24"/>
                <w:lang w:val="en-US" w:eastAsia="zh-CN"/>
              </w:rPr>
              <w:t>风险等级评估</w:t>
            </w:r>
            <w:r>
              <w:rPr>
                <w:rFonts w:hint="eastAsia" w:ascii="宋体" w:hAnsi="宋体" w:eastAsia="宋体" w:cs="宋体"/>
                <w:sz w:val="24"/>
                <w:szCs w:val="24"/>
                <w:lang w:val="en-US" w:eastAsia="zh-CN"/>
              </w:rPr>
              <w:t>可靠性等方面）和防控措施；若现场条件不满足研制要求，投标方应积极配合调整研发方案，编制新的解决方案并提供相应资源支持。</w:t>
            </w:r>
          </w:p>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sz w:val="24"/>
                <w:szCs w:val="24"/>
                <w:lang w:val="en-US" w:eastAsia="zh-CN"/>
              </w:rPr>
              <w:t>3）</w:t>
            </w:r>
            <w:r>
              <w:rPr>
                <w:rFonts w:ascii="宋体" w:hAnsi="宋体" w:eastAsia="宋体" w:cs="宋体"/>
                <w:sz w:val="24"/>
                <w:szCs w:val="24"/>
              </w:rPr>
              <w:t>构建基于安全距离的风险等级评估模型，投标方应结合单目视觉距离测算结果、输电线路电压等级</w:t>
            </w:r>
            <w:r>
              <w:rPr>
                <w:rFonts w:hint="eastAsia" w:ascii="宋体" w:hAnsi="宋体" w:eastAsia="宋体" w:cs="宋体"/>
                <w:sz w:val="24"/>
                <w:szCs w:val="24"/>
                <w:lang w:val="en-US" w:eastAsia="zh-CN"/>
              </w:rPr>
              <w:t>等</w:t>
            </w:r>
            <w:r>
              <w:rPr>
                <w:rFonts w:ascii="宋体" w:hAnsi="宋体" w:eastAsia="宋体" w:cs="宋体"/>
                <w:sz w:val="24"/>
                <w:szCs w:val="24"/>
              </w:rPr>
              <w:t>参数及电力行业相关安全距离要求，建立树障隐患风险自动判别规则和分级评估模型。模型应能够以树障与输电导线之间的测算距离为核心输入，依据不同线路运行场景和安全距离阈值，</w:t>
            </w:r>
            <w:r>
              <w:rPr>
                <w:rFonts w:hint="default" w:ascii="宋体" w:hAnsi="宋体" w:eastAsia="宋体" w:cs="宋体"/>
                <w:sz w:val="24"/>
                <w:szCs w:val="24"/>
                <w:lang w:val="en-US" w:eastAsia="zh-CN"/>
              </w:rPr>
              <w:t>对树障的危险程度进行自动划分（如：正常、注意、危险、紧急</w:t>
            </w:r>
            <w:r>
              <w:rPr>
                <w:rFonts w:hint="eastAsia" w:ascii="宋体" w:hAnsi="宋体" w:eastAsia="宋体" w:cs="宋体"/>
                <w:sz w:val="24"/>
                <w:szCs w:val="24"/>
                <w:lang w:val="en-US" w:eastAsia="zh-CN"/>
              </w:rPr>
              <w:t>等</w:t>
            </w:r>
            <w:r>
              <w:rPr>
                <w:rFonts w:hint="default" w:ascii="宋体" w:hAnsi="宋体" w:eastAsia="宋体" w:cs="宋体"/>
                <w:sz w:val="24"/>
                <w:szCs w:val="24"/>
                <w:lang w:val="en-US" w:eastAsia="zh-CN"/>
              </w:rPr>
              <w:t>）</w:t>
            </w:r>
            <w:r>
              <w:rPr>
                <w:rFonts w:ascii="宋体" w:hAnsi="宋体" w:eastAsia="宋体" w:cs="宋体"/>
                <w:sz w:val="24"/>
                <w:szCs w:val="24"/>
              </w:rPr>
              <w:t>，并形成清晰、直观的风险评估结果和预警信息，</w:t>
            </w:r>
            <w:r>
              <w:rPr>
                <w:rFonts w:hint="default" w:ascii="宋体" w:hAnsi="宋体" w:eastAsia="宋体" w:cs="宋体"/>
                <w:sz w:val="24"/>
                <w:szCs w:val="24"/>
                <w:lang w:val="en-US" w:eastAsia="zh-CN"/>
              </w:rPr>
              <w:t>为运检人员提供清晰、直观的决策支持</w:t>
            </w:r>
            <w:r>
              <w:rPr>
                <w:rFonts w:ascii="宋体" w:hAnsi="宋体" w:eastAsia="宋体" w:cs="宋体"/>
                <w:sz w:val="24"/>
                <w:szCs w:val="24"/>
              </w:rPr>
              <w:t>。</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3.2 技术服务质量要求及验收标准</w:t>
            </w:r>
          </w:p>
        </w:tc>
        <w:tc>
          <w:tcPr>
            <w:tcW w:w="4234" w:type="dxa"/>
            <w:vAlign w:val="center"/>
          </w:tcPr>
          <w:p>
            <w:pPr>
              <w:keepNext w:val="0"/>
              <w:keepLines w:val="0"/>
              <w:widowControl/>
              <w:suppressLineNumbers w:val="0"/>
              <w:shd w:val="clear"/>
              <w:jc w:val="both"/>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1）成果需由具有CNAS认证的实验室出具第三方检测报告，检测内容涵盖</w:t>
            </w:r>
            <w:r>
              <w:rPr>
                <w:rFonts w:hint="default" w:ascii="宋体" w:hAnsi="宋体" w:eastAsia="宋体" w:cs="宋体"/>
                <w:sz w:val="24"/>
                <w:szCs w:val="24"/>
                <w:lang w:val="en-US" w:eastAsia="zh-CN"/>
              </w:rPr>
              <w:t>输电线路树障智能监测与分析系统</w:t>
            </w:r>
            <w:r>
              <w:rPr>
                <w:rFonts w:hint="eastAsia" w:ascii="宋体" w:hAnsi="宋体" w:eastAsia="宋体" w:cs="宋体"/>
                <w:sz w:val="24"/>
                <w:szCs w:val="24"/>
                <w:lang w:val="en-US" w:eastAsia="zh-CN"/>
              </w:rPr>
              <w:t>对</w:t>
            </w:r>
            <w:r>
              <w:rPr>
                <w:rFonts w:hint="default" w:ascii="宋体" w:hAnsi="宋体" w:eastAsia="宋体" w:cs="宋体"/>
                <w:sz w:val="24"/>
                <w:szCs w:val="24"/>
                <w:lang w:val="en-US" w:eastAsia="zh-CN"/>
              </w:rPr>
              <w:t>高精度语义分割</w:t>
            </w:r>
            <w:r>
              <w:rPr>
                <w:rFonts w:hint="eastAsia" w:ascii="宋体" w:hAnsi="宋体" w:eastAsia="宋体" w:cs="宋体"/>
                <w:sz w:val="24"/>
                <w:szCs w:val="24"/>
                <w:lang w:val="en-US" w:eastAsia="zh-CN"/>
              </w:rPr>
              <w:t>准确性</w:t>
            </w:r>
            <w:r>
              <w:rPr>
                <w:rFonts w:hint="default" w:ascii="宋体" w:hAnsi="宋体" w:eastAsia="宋体" w:cs="宋体"/>
                <w:sz w:val="24"/>
                <w:szCs w:val="24"/>
                <w:lang w:val="en-US" w:eastAsia="zh-CN"/>
              </w:rPr>
              <w:t>、基于从阴影中恢复形状（SFS）的距离</w:t>
            </w:r>
            <w:r>
              <w:rPr>
                <w:rFonts w:hint="eastAsia" w:ascii="宋体" w:hAnsi="宋体" w:eastAsia="宋体" w:cs="宋体"/>
                <w:sz w:val="24"/>
                <w:szCs w:val="24"/>
                <w:lang w:val="en-US" w:eastAsia="zh-CN"/>
              </w:rPr>
              <w:t>测</w:t>
            </w:r>
            <w:r>
              <w:rPr>
                <w:rFonts w:hint="default" w:ascii="宋体" w:hAnsi="宋体" w:eastAsia="宋体" w:cs="宋体"/>
                <w:sz w:val="24"/>
                <w:szCs w:val="24"/>
                <w:lang w:val="en-US" w:eastAsia="zh-CN"/>
              </w:rPr>
              <w:t>算</w:t>
            </w:r>
            <w:r>
              <w:rPr>
                <w:rFonts w:hint="eastAsia" w:ascii="宋体" w:hAnsi="宋体" w:eastAsia="宋体" w:cs="宋体"/>
                <w:sz w:val="24"/>
                <w:szCs w:val="24"/>
                <w:lang w:val="en-US" w:eastAsia="zh-CN"/>
              </w:rPr>
              <w:t>精度、</w:t>
            </w:r>
            <w:r>
              <w:rPr>
                <w:rFonts w:hint="default" w:ascii="宋体" w:hAnsi="宋体" w:eastAsia="宋体" w:cs="宋体"/>
                <w:sz w:val="24"/>
                <w:szCs w:val="24"/>
                <w:lang w:val="en-US" w:eastAsia="zh-CN"/>
              </w:rPr>
              <w:t>风险等级评估</w:t>
            </w:r>
            <w:r>
              <w:rPr>
                <w:rFonts w:hint="eastAsia" w:ascii="宋体" w:hAnsi="宋体" w:eastAsia="宋体" w:cs="宋体"/>
                <w:sz w:val="24"/>
                <w:szCs w:val="24"/>
                <w:lang w:val="en-US" w:eastAsia="zh-CN"/>
              </w:rPr>
              <w:t>可靠性等，检测结果需全部符合招标方设定的技术指标要求。</w:t>
            </w:r>
          </w:p>
          <w:p>
            <w:pPr>
              <w:keepNext w:val="0"/>
              <w:keepLines w:val="0"/>
              <w:widowControl/>
              <w:suppressLineNumbers w:val="0"/>
              <w:shd w:val="clear"/>
              <w:jc w:val="both"/>
              <w:textAlignment w:val="center"/>
              <w:rPr>
                <w:rFonts w:hint="eastAsia" w:ascii="宋体" w:hAnsi="宋体" w:eastAsia="宋体" w:cs="宋体"/>
                <w:i w:val="0"/>
                <w:iCs w:val="0"/>
                <w:color w:val="0000FF"/>
                <w:kern w:val="0"/>
                <w:sz w:val="24"/>
                <w:szCs w:val="24"/>
                <w:highlight w:val="none"/>
                <w:u w:val="none"/>
                <w:lang w:val="en-US" w:eastAsia="zh-CN" w:bidi="ar"/>
              </w:rPr>
            </w:pPr>
            <w:r>
              <w:rPr>
                <w:rFonts w:hint="eastAsia" w:ascii="宋体" w:hAnsi="宋体" w:eastAsia="宋体" w:cs="宋体"/>
                <w:sz w:val="24"/>
                <w:szCs w:val="24"/>
                <w:lang w:val="en-US" w:eastAsia="zh-CN"/>
              </w:rPr>
              <w:t>2）在现场验收环节，需对</w:t>
            </w:r>
            <w:r>
              <w:rPr>
                <w:rFonts w:hint="default" w:ascii="宋体" w:hAnsi="宋体" w:eastAsia="宋体" w:cs="宋体"/>
                <w:sz w:val="24"/>
                <w:szCs w:val="24"/>
                <w:lang w:val="en-US" w:eastAsia="zh-CN"/>
              </w:rPr>
              <w:t>树障智能监测与分析系统</w:t>
            </w:r>
            <w:r>
              <w:rPr>
                <w:rFonts w:hint="eastAsia" w:ascii="宋体" w:hAnsi="宋体" w:eastAsia="宋体" w:cs="宋体"/>
                <w:sz w:val="24"/>
                <w:szCs w:val="24"/>
                <w:lang w:val="en-US" w:eastAsia="zh-CN"/>
              </w:rPr>
              <w:t>进行实地测试，模拟输电走廊不同工况下，确保其能够实时、准确地感知</w:t>
            </w:r>
            <w:r>
              <w:rPr>
                <w:rFonts w:hint="default" w:ascii="宋体" w:hAnsi="宋体" w:eastAsia="宋体" w:cs="宋体"/>
                <w:sz w:val="24"/>
                <w:szCs w:val="24"/>
                <w:lang w:val="en-US" w:eastAsia="zh-CN"/>
              </w:rPr>
              <w:t>树木与导线之间的距离</w:t>
            </w:r>
            <w:r>
              <w:rPr>
                <w:rFonts w:hint="eastAsia" w:ascii="宋体" w:hAnsi="宋体" w:eastAsia="宋体" w:cs="宋体"/>
                <w:sz w:val="24"/>
                <w:szCs w:val="24"/>
                <w:lang w:val="en-US" w:eastAsia="zh-CN"/>
              </w:rPr>
              <w:t>，</w:t>
            </w:r>
            <w:r>
              <w:rPr>
                <w:rFonts w:hint="default" w:ascii="宋体" w:hAnsi="宋体" w:eastAsia="宋体" w:cs="宋体"/>
                <w:sz w:val="24"/>
                <w:szCs w:val="24"/>
                <w:lang w:val="en-US" w:eastAsia="zh-CN"/>
              </w:rPr>
              <w:t>自动划分（如：正常、注意、危险、紧急</w:t>
            </w:r>
            <w:r>
              <w:rPr>
                <w:rFonts w:hint="eastAsia" w:ascii="宋体" w:hAnsi="宋体" w:eastAsia="宋体" w:cs="宋体"/>
                <w:sz w:val="24"/>
                <w:szCs w:val="24"/>
                <w:lang w:val="en-US" w:eastAsia="zh-CN"/>
              </w:rPr>
              <w:t>等</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等</w:t>
            </w:r>
            <w:r>
              <w:rPr>
                <w:rFonts w:hint="default" w:ascii="宋体" w:hAnsi="宋体" w:eastAsia="宋体" w:cs="宋体"/>
                <w:sz w:val="24"/>
                <w:szCs w:val="24"/>
                <w:lang w:val="en-US" w:eastAsia="zh-CN"/>
              </w:rPr>
              <w:t>相应的预警</w:t>
            </w:r>
            <w:r>
              <w:rPr>
                <w:rFonts w:hint="eastAsia" w:ascii="宋体" w:hAnsi="宋体" w:eastAsia="宋体" w:cs="宋体"/>
                <w:sz w:val="24"/>
                <w:szCs w:val="24"/>
                <w:lang w:val="en-US" w:eastAsia="zh-CN"/>
              </w:rPr>
              <w:t>信息</w:t>
            </w:r>
            <w:r>
              <w:rPr>
                <w:rFonts w:hint="default" w:ascii="宋体" w:hAnsi="宋体" w:eastAsia="宋体" w:cs="宋体"/>
                <w:sz w:val="24"/>
                <w:szCs w:val="24"/>
                <w:lang w:val="en-US" w:eastAsia="zh-CN"/>
              </w:rPr>
              <w:t>，为运检人员提供清晰、直观的决策支持</w:t>
            </w:r>
            <w:r>
              <w:rPr>
                <w:rFonts w:hint="eastAsia" w:ascii="宋体" w:hAnsi="宋体" w:eastAsia="宋体" w:cs="宋体"/>
                <w:sz w:val="24"/>
                <w:szCs w:val="24"/>
                <w:lang w:val="en-US" w:eastAsia="zh-CN"/>
              </w:rPr>
              <w:t>，且在使用过程中操作简便、运行稳定，不出现数据丢失、误报漏报等现象。</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bookmarkStart w:id="0" w:name="OLE_LINK1"/>
            <w:r>
              <w:rPr>
                <w:rFonts w:hint="eastAsia" w:ascii="宋体" w:hAnsi="宋体" w:eastAsia="宋体" w:cs="宋体"/>
                <w:b w:val="0"/>
                <w:bCs w:val="0"/>
                <w:i w:val="0"/>
                <w:iCs w:val="0"/>
                <w:color w:val="auto"/>
                <w:kern w:val="0"/>
                <w:sz w:val="24"/>
                <w:szCs w:val="24"/>
                <w:highlight w:val="none"/>
                <w:u w:val="none"/>
                <w:lang w:val="en-US" w:eastAsia="zh-CN" w:bidi="ar"/>
              </w:rPr>
              <w:t>3.3 其他技术要求</w:t>
            </w:r>
            <w:bookmarkEnd w:id="0"/>
          </w:p>
        </w:tc>
        <w:tc>
          <w:tcPr>
            <w:tcW w:w="4234" w:type="dxa"/>
            <w:vAlign w:val="center"/>
          </w:tcPr>
          <w:p>
            <w:pPr>
              <w:keepNext w:val="0"/>
              <w:keepLines w:val="0"/>
              <w:widowControl/>
              <w:suppressLineNumbers w:val="0"/>
              <w:shd w:val="clear"/>
              <w:jc w:val="both"/>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1)投标方应安排专业技术人员与招标方指定的《发明专利文本》、《</w:t>
            </w:r>
            <w:r>
              <w:rPr>
                <w:rFonts w:hint="default" w:ascii="宋体" w:hAnsi="宋体" w:eastAsia="宋体" w:cs="宋体"/>
                <w:sz w:val="24"/>
                <w:szCs w:val="24"/>
                <w:lang w:val="en-US" w:eastAsia="zh-CN"/>
              </w:rPr>
              <w:t>技术研究报告</w:t>
            </w:r>
            <w:r>
              <w:rPr>
                <w:rFonts w:hint="eastAsia" w:ascii="宋体" w:hAnsi="宋体" w:eastAsia="宋体" w:cs="宋体"/>
                <w:sz w:val="24"/>
                <w:szCs w:val="24"/>
                <w:lang w:val="en-US" w:eastAsia="zh-CN"/>
              </w:rPr>
              <w:t>》、</w:t>
            </w:r>
            <w:r>
              <w:rPr>
                <w:rFonts w:hint="default" w:ascii="宋体" w:hAnsi="宋体" w:eastAsia="宋体" w:cs="宋体"/>
                <w:sz w:val="24"/>
                <w:szCs w:val="24"/>
                <w:lang w:val="en-US" w:eastAsia="zh-CN"/>
              </w:rPr>
              <w:t>《系统设计说明书》、《算法模型测试报告》以及《原型系统用户操作手册》</w:t>
            </w:r>
            <w:r>
              <w:rPr>
                <w:rFonts w:hint="eastAsia" w:ascii="宋体" w:hAnsi="宋体" w:eastAsia="宋体" w:cs="宋体"/>
                <w:sz w:val="24"/>
                <w:szCs w:val="24"/>
                <w:lang w:val="en-US" w:eastAsia="zh-CN"/>
              </w:rPr>
              <w:t>撰写团队成员进行紧密配合，定期交流项目研究进展和关键技术成果，为相关成果材料撰写提供必要的技术支持和数据资料，并积极配合完成修改、校对等工作。</w:t>
            </w:r>
          </w:p>
          <w:p>
            <w:pPr>
              <w:keepNext w:val="0"/>
              <w:keepLines w:val="0"/>
              <w:widowControl/>
              <w:suppressLineNumbers w:val="0"/>
              <w:shd w:val="clear"/>
              <w:jc w:val="both"/>
              <w:textAlignment w:val="center"/>
              <w:rPr>
                <w:rFonts w:hint="eastAsia"/>
                <w:color w:val="0000FF"/>
                <w:lang w:val="en-US" w:eastAsia="zh-CN"/>
              </w:rPr>
            </w:pPr>
            <w:r>
              <w:rPr>
                <w:rFonts w:hint="eastAsia" w:ascii="宋体" w:hAnsi="宋体" w:eastAsia="宋体" w:cs="宋体"/>
                <w:sz w:val="24"/>
                <w:szCs w:val="24"/>
                <w:lang w:val="en-US" w:eastAsia="zh-CN"/>
              </w:rPr>
              <w:t>2）投标方在项目实施过程中，应定期向招标方汇报项目进展情况，及时沟通解决遇到的技术问题，确保项目按照预定计划顺利推进，如遇不可抗力因素影响项目进度，应及时通知招标方并协商调整项目计划。</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四、服务内容及数量</w:t>
      </w:r>
    </w:p>
    <w:tbl>
      <w:tblPr>
        <w:tblStyle w:val="7"/>
        <w:tblW w:w="8534"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4317"/>
        <w:gridCol w:w="1767"/>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3"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工程/服务内容</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单位</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color w:val="auto"/>
                <w:sz w:val="24"/>
                <w:szCs w:val="24"/>
                <w:lang w:val="en-US" w:eastAsia="zh-CN"/>
              </w:rPr>
              <w:t>形成固定式单目视觉输电线路树障智能监测与分析原型系统</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color w:val="auto"/>
                <w:sz w:val="24"/>
                <w:szCs w:val="24"/>
                <w:lang w:val="en-US" w:eastAsia="zh-CN"/>
              </w:rPr>
              <w:t>形成输电线路树障监测图像数据集及数据标注说明</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形成语义分割算法模型、单目视觉距离测算算法和树障风险等级评估模型</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配合开展</w:t>
            </w:r>
            <w:r>
              <w:rPr>
                <w:rFonts w:hint="default" w:ascii="宋体" w:hAnsi="宋体" w:eastAsia="宋体" w:cs="宋体"/>
                <w:i w:val="0"/>
                <w:iCs w:val="0"/>
                <w:color w:val="auto"/>
                <w:kern w:val="0"/>
                <w:sz w:val="24"/>
                <w:szCs w:val="24"/>
                <w:highlight w:val="none"/>
                <w:u w:val="none"/>
                <w:lang w:val="en-US" w:eastAsia="zh-CN" w:bidi="ar"/>
              </w:rPr>
              <w:t>技术研究报告</w:t>
            </w:r>
            <w:r>
              <w:rPr>
                <w:rFonts w:hint="eastAsia" w:ascii="宋体" w:hAnsi="宋体" w:eastAsia="宋体" w:cs="宋体"/>
                <w:i w:val="0"/>
                <w:iCs w:val="0"/>
                <w:color w:val="auto"/>
                <w:kern w:val="0"/>
                <w:sz w:val="24"/>
                <w:szCs w:val="24"/>
                <w:highlight w:val="none"/>
                <w:u w:val="none"/>
                <w:lang w:val="en-US" w:eastAsia="zh-CN" w:bidi="ar"/>
              </w:rPr>
              <w:t>撰写</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bookmarkStart w:id="1" w:name="_Toc350159239"/>
            <w:bookmarkStart w:id="2" w:name="_Toc432171539"/>
            <w:bookmarkStart w:id="3" w:name="_Toc351322324"/>
            <w:r>
              <w:rPr>
                <w:rFonts w:hint="eastAsia" w:ascii="宋体" w:hAnsi="宋体" w:eastAsia="宋体" w:cs="宋体"/>
                <w:b w:val="0"/>
                <w:bCs w:val="0"/>
                <w:i w:val="0"/>
                <w:iCs w:val="0"/>
                <w:color w:val="auto"/>
                <w:kern w:val="0"/>
                <w:sz w:val="24"/>
                <w:szCs w:val="24"/>
                <w:highlight w:val="none"/>
                <w:u w:val="none"/>
                <w:lang w:val="en-US" w:eastAsia="zh-CN" w:bidi="ar"/>
              </w:rPr>
              <w:t>5</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配合开展发明专利文本撰写</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6</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配合开展</w:t>
            </w:r>
            <w:r>
              <w:rPr>
                <w:rFonts w:hint="default" w:ascii="宋体" w:hAnsi="宋体" w:eastAsia="宋体" w:cs="宋体"/>
                <w:i w:val="0"/>
                <w:iCs w:val="0"/>
                <w:color w:val="auto"/>
                <w:kern w:val="0"/>
                <w:sz w:val="24"/>
                <w:szCs w:val="24"/>
                <w:highlight w:val="none"/>
                <w:u w:val="none"/>
                <w:lang w:val="en-US" w:eastAsia="zh-CN" w:bidi="ar"/>
              </w:rPr>
              <w:t>《系统设计说明书》、《算法模型测试报告》以及《原型系统用户操作手册》</w:t>
            </w:r>
            <w:r>
              <w:rPr>
                <w:rFonts w:hint="eastAsia" w:ascii="宋体" w:hAnsi="宋体" w:eastAsia="宋体" w:cs="宋体"/>
                <w:i w:val="0"/>
                <w:iCs w:val="0"/>
                <w:color w:val="auto"/>
                <w:kern w:val="0"/>
                <w:sz w:val="24"/>
                <w:szCs w:val="24"/>
                <w:highlight w:val="none"/>
                <w:u w:val="none"/>
                <w:lang w:val="en-US" w:eastAsia="zh-CN" w:bidi="ar"/>
              </w:rPr>
              <w:t>撰写</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7</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color w:val="auto"/>
                <w:sz w:val="24"/>
                <w:szCs w:val="24"/>
                <w:lang w:val="en-US" w:eastAsia="zh-CN"/>
              </w:rPr>
              <w:t>形成原型系统用户操作手册</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color w:val="auto"/>
                <w:sz w:val="24"/>
                <w:szCs w:val="24"/>
                <w:lang w:val="en-US" w:eastAsia="zh-CN"/>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8</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配合完成项目成果演示、验收汇报材料及相关支撑文件</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套</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9</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完成第三方检测（检测机构应具备CMA或CNAS认证资质）</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10</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在超特高压新型电气装备科技成果转化中试基地完成中试</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五、需提交的证明文件（需加盖单位印章）</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4890"/>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890"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证明文件名称</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商务</w:t>
            </w:r>
            <w:r>
              <w:rPr>
                <w:rFonts w:hint="default" w:ascii="宋体" w:hAnsi="宋体" w:eastAsia="宋体" w:cs="宋体"/>
                <w:i w:val="0"/>
                <w:iCs w:val="0"/>
                <w:color w:val="auto"/>
                <w:kern w:val="0"/>
                <w:sz w:val="24"/>
                <w:szCs w:val="24"/>
                <w:highlight w:val="none"/>
                <w:u w:val="none"/>
                <w:lang w:val="en-US" w:eastAsia="zh-CN" w:bidi="ar"/>
              </w:rPr>
              <w:t>资质</w:t>
            </w:r>
            <w:r>
              <w:rPr>
                <w:rFonts w:hint="eastAsia" w:ascii="宋体" w:hAnsi="宋体" w:eastAsia="宋体" w:cs="宋体"/>
                <w:i w:val="0"/>
                <w:iCs w:val="0"/>
                <w:color w:val="auto"/>
                <w:kern w:val="0"/>
                <w:sz w:val="24"/>
                <w:szCs w:val="24"/>
                <w:highlight w:val="none"/>
                <w:u w:val="none"/>
                <w:lang w:val="en-US" w:eastAsia="zh-CN" w:bidi="ar"/>
              </w:rPr>
              <w:t>文件（营业执照、资质与信用、商务响应度、相关资质证书等）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i w:val="0"/>
                <w:iCs w:val="0"/>
                <w:color w:val="auto"/>
                <w:kern w:val="0"/>
                <w:sz w:val="24"/>
                <w:szCs w:val="24"/>
                <w:highlight w:val="none"/>
                <w:u w:val="none"/>
                <w:lang w:val="en-US" w:eastAsia="zh-CN" w:bidi="ar"/>
              </w:rPr>
              <w:t>（同类项目业绩、</w:t>
            </w:r>
            <w:r>
              <w:rPr>
                <w:rFonts w:hint="default"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项目团队配置</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服务承诺与保障</w:t>
            </w:r>
            <w:r>
              <w:rPr>
                <w:rFonts w:hint="eastAsia" w:ascii="宋体" w:hAnsi="宋体" w:eastAsia="宋体" w:cs="宋体"/>
                <w:i w:val="0"/>
                <w:iCs w:val="0"/>
                <w:color w:val="auto"/>
                <w:kern w:val="0"/>
                <w:sz w:val="24"/>
                <w:szCs w:val="24"/>
                <w:highlight w:val="none"/>
                <w:u w:val="none"/>
                <w:lang w:val="en-US" w:eastAsia="zh-CN" w:bidi="ar"/>
              </w:rPr>
              <w:t>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投标商务、技术偏差表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其他证明文件（如有）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六、报价表</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（一）报总价</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1、总价报价表</w:t>
      </w:r>
    </w:p>
    <w:p>
      <w:pPr>
        <w:rPr>
          <w:rFonts w:hint="eastAsia"/>
          <w:lang w:val="en-US" w:eastAsia="zh-CN"/>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517"/>
        <w:gridCol w:w="5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超高压输电公司百色局2026年职工创新项目（</w:t>
            </w:r>
            <w:r>
              <w:rPr>
                <w:rFonts w:hint="default" w:ascii="宋体" w:hAnsi="宋体" w:eastAsia="宋体" w:cs="宋体"/>
                <w:b w:val="0"/>
                <w:bCs w:val="0"/>
                <w:i w:val="0"/>
                <w:iCs w:val="0"/>
                <w:color w:val="auto"/>
                <w:kern w:val="0"/>
                <w:sz w:val="24"/>
                <w:szCs w:val="24"/>
                <w:highlight w:val="none"/>
                <w:u w:val="none"/>
                <w:lang w:val="en-US" w:eastAsia="zh-CN" w:bidi="ar"/>
              </w:rPr>
              <w:t>基于固定式单目视觉的输电线路树障智能监测与分析</w:t>
            </w:r>
            <w:r>
              <w:rPr>
                <w:rFonts w:hint="eastAsia" w:ascii="宋体" w:hAnsi="宋体" w:eastAsia="宋体" w:cs="宋体"/>
                <w:b w:val="0"/>
                <w:bCs w:val="0"/>
                <w:i w:val="0"/>
                <w:iCs w:val="0"/>
                <w:color w:val="auto"/>
                <w:kern w:val="0"/>
                <w:sz w:val="24"/>
                <w:szCs w:val="24"/>
                <w:highlight w:val="none"/>
                <w:u w:val="none"/>
                <w:lang w:val="en-US" w:eastAsia="zh-CN" w:bidi="ar"/>
              </w:rPr>
              <w:t>）相关技术服务零星采购）项目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报价项目</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投标总报价</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大写：           元</w:t>
            </w:r>
          </w:p>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小写：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发票类型</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增值税专用发票</w:t>
            </w:r>
          </w:p>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发票税率</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总价报价说明：投标人为实施本项目所发生的一切费用均已包含在总价中。</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2、分项报价表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544"/>
        <w:gridCol w:w="1544"/>
        <w:gridCol w:w="1545"/>
        <w:gridCol w:w="1590"/>
        <w:gridCol w:w="1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超高压输电公司百色局2026年职工创新项目（</w:t>
            </w:r>
            <w:r>
              <w:rPr>
                <w:rFonts w:hint="default" w:ascii="宋体" w:hAnsi="宋体" w:eastAsia="宋体" w:cs="宋体"/>
                <w:b w:val="0"/>
                <w:bCs w:val="0"/>
                <w:i w:val="0"/>
                <w:iCs w:val="0"/>
                <w:color w:val="auto"/>
                <w:kern w:val="0"/>
                <w:sz w:val="24"/>
                <w:szCs w:val="24"/>
                <w:highlight w:val="none"/>
                <w:u w:val="none"/>
                <w:lang w:val="en-US" w:eastAsia="zh-CN" w:bidi="ar"/>
              </w:rPr>
              <w:t>基于固定式单目视觉的输电线路树障智能监测与分析</w:t>
            </w:r>
            <w:r>
              <w:rPr>
                <w:rFonts w:hint="eastAsia" w:ascii="宋体" w:hAnsi="宋体" w:eastAsia="宋体" w:cs="宋体"/>
                <w:b w:val="0"/>
                <w:bCs w:val="0"/>
                <w:i w:val="0"/>
                <w:iCs w:val="0"/>
                <w:color w:val="auto"/>
                <w:kern w:val="0"/>
                <w:sz w:val="24"/>
                <w:szCs w:val="24"/>
                <w:highlight w:val="none"/>
                <w:u w:val="none"/>
                <w:lang w:val="en-US" w:eastAsia="zh-CN" w:bidi="ar"/>
              </w:rPr>
              <w:t>）相关技术服务零星采购）项目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54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分项名称</w:t>
            </w:r>
          </w:p>
        </w:tc>
        <w:tc>
          <w:tcPr>
            <w:tcW w:w="1544"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数量/工作量</w:t>
            </w:r>
          </w:p>
        </w:tc>
        <w:tc>
          <w:tcPr>
            <w:tcW w:w="154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单价</w:t>
            </w:r>
          </w:p>
        </w:tc>
        <w:tc>
          <w:tcPr>
            <w:tcW w:w="1590" w:type="dxa"/>
            <w:vAlign w:val="center"/>
          </w:tcPr>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小计</w:t>
            </w:r>
          </w:p>
        </w:tc>
        <w:tc>
          <w:tcPr>
            <w:tcW w:w="1591" w:type="dxa"/>
            <w:vAlign w:val="center"/>
          </w:tcPr>
          <w:p>
            <w:pPr>
              <w:pStyle w:val="2"/>
              <w:shd w:val="clear"/>
              <w:ind w:left="0" w:leftChars="0" w:firstLine="0" w:firstLineChars="0"/>
              <w:jc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544" w:type="dxa"/>
            <w:vAlign w:val="center"/>
          </w:tcPr>
          <w:p>
            <w:pPr>
              <w:keepNext w:val="0"/>
              <w:keepLines w:val="0"/>
              <w:widowControl/>
              <w:suppressLineNumbers w:val="0"/>
              <w:shd w:val="clear"/>
              <w:jc w:val="both"/>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color w:val="auto"/>
                <w:sz w:val="24"/>
                <w:szCs w:val="24"/>
                <w:lang w:val="en-US" w:eastAsia="zh-CN"/>
              </w:rPr>
              <w:t>形成固定式单目视觉输电线路树障智能监测与分析原型系统</w:t>
            </w:r>
          </w:p>
        </w:tc>
        <w:tc>
          <w:tcPr>
            <w:tcW w:w="1544"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1套</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1544" w:type="dxa"/>
            <w:vAlign w:val="center"/>
          </w:tcPr>
          <w:p>
            <w:pPr>
              <w:keepNext w:val="0"/>
              <w:keepLines w:val="0"/>
              <w:widowControl/>
              <w:suppressLineNumbers w:val="0"/>
              <w:shd w:val="clear"/>
              <w:jc w:val="both"/>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color w:val="auto"/>
                <w:sz w:val="24"/>
                <w:szCs w:val="24"/>
                <w:lang w:val="en-US" w:eastAsia="zh-CN"/>
              </w:rPr>
              <w:t>形成输电线路树障监测图像数据集及数据标注说明</w:t>
            </w:r>
          </w:p>
        </w:tc>
        <w:tc>
          <w:tcPr>
            <w:tcW w:w="1544"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1套</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1544" w:type="dxa"/>
            <w:vAlign w:val="center"/>
          </w:tcPr>
          <w:p>
            <w:pPr>
              <w:keepNext w:val="0"/>
              <w:keepLines w:val="0"/>
              <w:widowControl/>
              <w:suppressLineNumbers w:val="0"/>
              <w:shd w:val="clear"/>
              <w:jc w:val="both"/>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color w:val="auto"/>
                <w:sz w:val="24"/>
                <w:szCs w:val="24"/>
                <w:lang w:val="en-US" w:eastAsia="zh-CN"/>
              </w:rPr>
              <w:t>形成语义分割算法模型、单目视觉距离测算算法和树障风险等级评估模型</w:t>
            </w:r>
          </w:p>
        </w:tc>
        <w:tc>
          <w:tcPr>
            <w:tcW w:w="1544"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3套</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1544"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配合开展</w:t>
            </w:r>
            <w:r>
              <w:rPr>
                <w:rFonts w:hint="default" w:ascii="宋体" w:hAnsi="宋体" w:eastAsia="宋体" w:cs="宋体"/>
                <w:i w:val="0"/>
                <w:iCs w:val="0"/>
                <w:color w:val="auto"/>
                <w:kern w:val="0"/>
                <w:sz w:val="24"/>
                <w:szCs w:val="24"/>
                <w:highlight w:val="none"/>
                <w:u w:val="none"/>
                <w:lang w:val="en-US" w:eastAsia="zh-CN" w:bidi="ar"/>
              </w:rPr>
              <w:t>技术研究报告</w:t>
            </w:r>
            <w:r>
              <w:rPr>
                <w:rFonts w:hint="eastAsia" w:ascii="宋体" w:hAnsi="宋体" w:eastAsia="宋体" w:cs="宋体"/>
                <w:i w:val="0"/>
                <w:iCs w:val="0"/>
                <w:color w:val="auto"/>
                <w:kern w:val="0"/>
                <w:sz w:val="24"/>
                <w:szCs w:val="24"/>
                <w:highlight w:val="none"/>
                <w:u w:val="none"/>
                <w:lang w:val="en-US" w:eastAsia="zh-CN" w:bidi="ar"/>
              </w:rPr>
              <w:t>撰写</w:t>
            </w:r>
          </w:p>
        </w:tc>
        <w:tc>
          <w:tcPr>
            <w:tcW w:w="1544" w:type="dxa"/>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w:t>
            </w:r>
          </w:p>
        </w:tc>
        <w:tc>
          <w:tcPr>
            <w:tcW w:w="1544"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配合开展发明专利文本撰写</w:t>
            </w:r>
          </w:p>
        </w:tc>
        <w:tc>
          <w:tcPr>
            <w:tcW w:w="1544" w:type="dxa"/>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6</w:t>
            </w:r>
          </w:p>
        </w:tc>
        <w:tc>
          <w:tcPr>
            <w:tcW w:w="1544"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配合开展</w:t>
            </w:r>
            <w:r>
              <w:rPr>
                <w:rFonts w:hint="default" w:ascii="宋体" w:hAnsi="宋体" w:eastAsia="宋体" w:cs="宋体"/>
                <w:i w:val="0"/>
                <w:iCs w:val="0"/>
                <w:color w:val="auto"/>
                <w:kern w:val="0"/>
                <w:sz w:val="24"/>
                <w:szCs w:val="24"/>
                <w:highlight w:val="none"/>
                <w:u w:val="none"/>
                <w:lang w:val="en-US" w:eastAsia="zh-CN" w:bidi="ar"/>
              </w:rPr>
              <w:t>《系统设计说明书》、《算法模型测试报告》以及《原型系统用户操作手册》</w:t>
            </w:r>
            <w:r>
              <w:rPr>
                <w:rFonts w:hint="eastAsia" w:ascii="宋体" w:hAnsi="宋体" w:eastAsia="宋体" w:cs="宋体"/>
                <w:i w:val="0"/>
                <w:iCs w:val="0"/>
                <w:color w:val="auto"/>
                <w:kern w:val="0"/>
                <w:sz w:val="24"/>
                <w:szCs w:val="24"/>
                <w:highlight w:val="none"/>
                <w:u w:val="none"/>
                <w:lang w:val="en-US" w:eastAsia="zh-CN" w:bidi="ar"/>
              </w:rPr>
              <w:t>撰写</w:t>
            </w:r>
          </w:p>
        </w:tc>
        <w:tc>
          <w:tcPr>
            <w:tcW w:w="1544" w:type="dxa"/>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7</w:t>
            </w:r>
          </w:p>
        </w:tc>
        <w:tc>
          <w:tcPr>
            <w:tcW w:w="1544"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color w:val="auto"/>
                <w:sz w:val="24"/>
                <w:szCs w:val="24"/>
                <w:lang w:val="en-US" w:eastAsia="zh-CN"/>
              </w:rPr>
              <w:t>形成原型系统用户操作手册</w:t>
            </w:r>
          </w:p>
        </w:tc>
        <w:tc>
          <w:tcPr>
            <w:tcW w:w="1544" w:type="dxa"/>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8</w:t>
            </w:r>
          </w:p>
        </w:tc>
        <w:tc>
          <w:tcPr>
            <w:tcW w:w="1544"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color w:val="auto"/>
                <w:sz w:val="24"/>
                <w:szCs w:val="24"/>
                <w:lang w:val="en-US" w:eastAsia="zh-CN"/>
              </w:rPr>
              <w:t>配合完成项目成果演示、验收汇报材料及相关支撑文件</w:t>
            </w:r>
          </w:p>
        </w:tc>
        <w:tc>
          <w:tcPr>
            <w:tcW w:w="1544" w:type="dxa"/>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1套</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9</w:t>
            </w:r>
          </w:p>
        </w:tc>
        <w:tc>
          <w:tcPr>
            <w:tcW w:w="1544"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完成第三方检测（检测机构应具备CMA或CNAS认证资质）</w:t>
            </w:r>
          </w:p>
        </w:tc>
        <w:tc>
          <w:tcPr>
            <w:tcW w:w="1544" w:type="dxa"/>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10</w:t>
            </w:r>
          </w:p>
        </w:tc>
        <w:tc>
          <w:tcPr>
            <w:tcW w:w="1544" w:type="dxa"/>
            <w:vAlign w:val="center"/>
          </w:tcPr>
          <w:p>
            <w:pPr>
              <w:keepNext w:val="0"/>
              <w:keepLines w:val="0"/>
              <w:widowControl/>
              <w:suppressLineNumbers w:val="0"/>
              <w:shd w:val="clear"/>
              <w:jc w:val="both"/>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在超特高压新型电气装备科技成果转化中试基地完成中试</w:t>
            </w:r>
          </w:p>
        </w:tc>
        <w:tc>
          <w:tcPr>
            <w:tcW w:w="1544" w:type="dxa"/>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6" w:type="dxa"/>
            <w:gridSpan w:val="3"/>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合  计</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分项报价说明：按具体交付物/工作内容分列。</w:t>
            </w:r>
          </w:p>
        </w:tc>
      </w:tr>
    </w:tbl>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p>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投标单位（公章）：</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联系人及联系方式：</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报价日期：</w:t>
      </w:r>
    </w:p>
    <w:bookmarkEnd w:id="1"/>
    <w:bookmarkEnd w:id="2"/>
    <w:bookmarkEnd w:id="3"/>
    <w:p>
      <w:pPr>
        <w:numPr>
          <w:ilvl w:val="0"/>
          <w:numId w:val="0"/>
        </w:numPr>
        <w:shd w:val="clear"/>
        <w:jc w:val="center"/>
        <w:rPr>
          <w:rFonts w:hint="eastAsia" w:ascii="宋体" w:hAnsi="宋体"/>
          <w:color w:val="auto"/>
          <w:sz w:val="24"/>
          <w:szCs w:val="24"/>
          <w:highlight w:val="none"/>
          <w:u w:val="none"/>
          <w:lang w:val="en-US" w:eastAsia="zh-CN"/>
        </w:rPr>
      </w:pPr>
    </w:p>
    <w:p>
      <w:pPr>
        <w:pStyle w:val="2"/>
        <w:rPr>
          <w:rFonts w:hint="eastAsia" w:ascii="宋体" w:hAnsi="宋体"/>
          <w:color w:val="auto"/>
          <w:sz w:val="24"/>
          <w:szCs w:val="24"/>
          <w:highlight w:val="none"/>
          <w:u w:val="none"/>
          <w:lang w:val="en-US" w:eastAsia="zh-CN"/>
        </w:rPr>
      </w:pPr>
    </w:p>
    <w:p>
      <w:pPr>
        <w:rPr>
          <w:rFonts w:hint="eastAsia" w:ascii="宋体" w:hAnsi="宋体"/>
          <w:color w:val="auto"/>
          <w:sz w:val="24"/>
          <w:szCs w:val="24"/>
          <w:highlight w:val="none"/>
          <w:u w:val="none"/>
          <w:lang w:val="en-US" w:eastAsia="zh-CN"/>
        </w:rPr>
      </w:pPr>
    </w:p>
    <w:p>
      <w:pPr>
        <w:pStyle w:val="2"/>
        <w:rPr>
          <w:rFonts w:hint="eastAsia"/>
          <w:lang w:val="en-US" w:eastAsia="zh-CN"/>
        </w:rPr>
      </w:pPr>
    </w:p>
    <w:p>
      <w:pPr>
        <w:numPr>
          <w:ilvl w:val="0"/>
          <w:numId w:val="0"/>
        </w:numPr>
        <w:shd w:val="clear"/>
        <w:jc w:val="left"/>
        <w:rPr>
          <w:rFonts w:hint="eastAsia" w:ascii="宋体" w:hAnsi="宋体"/>
          <w:b/>
          <w:bCs/>
          <w:color w:val="auto"/>
          <w:sz w:val="28"/>
          <w:szCs w:val="28"/>
          <w:highlight w:val="none"/>
          <w:u w:val="none"/>
          <w:lang w:val="en-US" w:eastAsia="zh-CN"/>
        </w:rPr>
      </w:pPr>
    </w:p>
    <w:p>
      <w:pPr>
        <w:numPr>
          <w:ilvl w:val="0"/>
          <w:numId w:val="0"/>
        </w:numPr>
        <w:shd w:val="clear"/>
        <w:jc w:val="left"/>
        <w:rPr>
          <w:rFonts w:hint="eastAsia" w:cstheme="minorBidi"/>
          <w:b/>
          <w:bCs/>
          <w:color w:val="auto"/>
          <w:kern w:val="44"/>
          <w:sz w:val="28"/>
          <w:szCs w:val="28"/>
          <w:highlight w:val="none"/>
          <w:lang w:val="en-US" w:eastAsia="zh-CN" w:bidi="ar-SA"/>
        </w:rPr>
      </w:pPr>
      <w:r>
        <w:rPr>
          <w:rFonts w:hint="eastAsia" w:ascii="宋体" w:hAnsi="宋体"/>
          <w:b/>
          <w:bCs/>
          <w:color w:val="auto"/>
          <w:sz w:val="28"/>
          <w:szCs w:val="28"/>
          <w:highlight w:val="none"/>
          <w:u w:val="none"/>
          <w:lang w:val="en-US" w:eastAsia="zh-CN"/>
        </w:rPr>
        <w:t>附件：</w:t>
      </w:r>
      <w:r>
        <w:rPr>
          <w:rFonts w:hint="eastAsia" w:cstheme="minorBidi"/>
          <w:b/>
          <w:bCs/>
          <w:color w:val="auto"/>
          <w:kern w:val="44"/>
          <w:sz w:val="28"/>
          <w:szCs w:val="28"/>
          <w:highlight w:val="none"/>
          <w:lang w:val="en-US" w:eastAsia="zh-CN" w:bidi="ar-SA"/>
        </w:rPr>
        <w:t>需提交的证明文件等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1.商务</w:t>
      </w:r>
      <w:r>
        <w:rPr>
          <w:rFonts w:hint="default"/>
          <w:color w:val="auto"/>
          <w:highlight w:val="none"/>
          <w:lang w:val="en-US" w:eastAsia="zh-CN"/>
        </w:rPr>
        <w:t>资质</w:t>
      </w:r>
      <w:r>
        <w:rPr>
          <w:rFonts w:hint="eastAsia"/>
          <w:color w:val="auto"/>
          <w:highlight w:val="none"/>
          <w:lang w:val="en-US" w:eastAsia="zh-CN"/>
        </w:rPr>
        <w:t>文件：营业执照、资质与信用、商务响应度、相关资质证书等；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2.技术服务方案</w:t>
      </w:r>
      <w:r>
        <w:rPr>
          <w:rFonts w:hint="default"/>
          <w:color w:val="auto"/>
          <w:highlight w:val="none"/>
          <w:lang w:val="en-US" w:eastAsia="zh-CN"/>
        </w:rPr>
        <w:t>：</w:t>
      </w:r>
      <w:r>
        <w:rPr>
          <w:rFonts w:hint="eastAsia"/>
          <w:color w:val="auto"/>
          <w:highlight w:val="none"/>
          <w:lang w:val="en-US" w:eastAsia="zh-CN"/>
        </w:rPr>
        <w:t>同类项目业绩、</w:t>
      </w:r>
      <w:r>
        <w:rPr>
          <w:rFonts w:hint="default"/>
          <w:color w:val="auto"/>
          <w:highlight w:val="none"/>
          <w:lang w:val="en-US" w:eastAsia="zh-CN"/>
        </w:rPr>
        <w:t>技术服务方案</w:t>
      </w:r>
      <w:r>
        <w:rPr>
          <w:rFonts w:hint="eastAsia"/>
          <w:color w:val="auto"/>
          <w:highlight w:val="none"/>
          <w:lang w:val="en-US" w:eastAsia="zh-CN"/>
        </w:rPr>
        <w:t>、</w:t>
      </w:r>
      <w:r>
        <w:rPr>
          <w:rFonts w:hint="default"/>
          <w:color w:val="auto"/>
          <w:highlight w:val="none"/>
          <w:lang w:val="en-US" w:eastAsia="zh-CN"/>
        </w:rPr>
        <w:t>项目团队配置</w:t>
      </w:r>
      <w:r>
        <w:rPr>
          <w:rFonts w:hint="eastAsia"/>
          <w:color w:val="auto"/>
          <w:highlight w:val="none"/>
          <w:lang w:val="en-US" w:eastAsia="zh-CN"/>
        </w:rPr>
        <w:t>、</w:t>
      </w:r>
      <w:r>
        <w:rPr>
          <w:rFonts w:hint="default"/>
          <w:color w:val="auto"/>
          <w:highlight w:val="none"/>
          <w:lang w:val="en-US" w:eastAsia="zh-CN"/>
        </w:rPr>
        <w:t>服务承诺与保障</w:t>
      </w:r>
      <w:r>
        <w:rPr>
          <w:rFonts w:hint="eastAsia"/>
          <w:color w:val="auto"/>
          <w:highlight w:val="none"/>
          <w:lang w:val="en-US" w:eastAsia="zh-CN"/>
        </w:rPr>
        <w:t>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3.投标商务、技术偏差表</w:t>
      </w:r>
    </w:p>
    <w:p>
      <w:pPr>
        <w:pStyle w:val="2"/>
        <w:numPr>
          <w:ilvl w:val="0"/>
          <w:numId w:val="0"/>
        </w:numPr>
        <w:shd w:val="clear"/>
        <w:ind w:firstLine="640" w:firstLineChars="200"/>
        <w:rPr>
          <w:rFonts w:hint="default"/>
          <w:color w:val="auto"/>
          <w:highlight w:val="none"/>
          <w:lang w:val="en-US" w:eastAsia="zh-CN"/>
        </w:rPr>
      </w:pPr>
      <w:r>
        <w:rPr>
          <w:rFonts w:hint="eastAsia"/>
          <w:color w:val="auto"/>
          <w:highlight w:val="none"/>
          <w:lang w:val="en-US" w:eastAsia="zh-CN"/>
        </w:rPr>
        <w:t>4.</w:t>
      </w:r>
      <w:r>
        <w:rPr>
          <w:rFonts w:hint="default"/>
          <w:color w:val="auto"/>
          <w:highlight w:val="none"/>
          <w:lang w:val="en-US" w:eastAsia="zh-CN"/>
        </w:rPr>
        <w:t>其他证明文件（如有）</w:t>
      </w:r>
    </w:p>
    <w:p>
      <w:pPr>
        <w:rPr>
          <w:rFonts w:hint="default" w:ascii="仿宋_GB2312" w:hAnsi="仿宋_GB2312" w:eastAsia="仿宋_GB2312" w:cs="Arial"/>
          <w:color w:val="auto"/>
          <w:kern w:val="2"/>
          <w:sz w:val="32"/>
          <w:szCs w:val="20"/>
          <w:highlight w:val="none"/>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BA7044"/>
    <w:rsid w:val="00E16DCB"/>
    <w:rsid w:val="011200AF"/>
    <w:rsid w:val="013A08CE"/>
    <w:rsid w:val="01501235"/>
    <w:rsid w:val="016940D8"/>
    <w:rsid w:val="01820F90"/>
    <w:rsid w:val="01AA77A2"/>
    <w:rsid w:val="01F21044"/>
    <w:rsid w:val="01F4352D"/>
    <w:rsid w:val="02060639"/>
    <w:rsid w:val="022B7242"/>
    <w:rsid w:val="02352299"/>
    <w:rsid w:val="02393A60"/>
    <w:rsid w:val="02397997"/>
    <w:rsid w:val="02881A4F"/>
    <w:rsid w:val="02E842EC"/>
    <w:rsid w:val="0331503A"/>
    <w:rsid w:val="034B1EE2"/>
    <w:rsid w:val="03811C00"/>
    <w:rsid w:val="03831BA1"/>
    <w:rsid w:val="03AC6308"/>
    <w:rsid w:val="03B72AE1"/>
    <w:rsid w:val="04087C5B"/>
    <w:rsid w:val="040F3B52"/>
    <w:rsid w:val="04135126"/>
    <w:rsid w:val="044E557D"/>
    <w:rsid w:val="0450488A"/>
    <w:rsid w:val="04827C67"/>
    <w:rsid w:val="04B70EB3"/>
    <w:rsid w:val="054669C7"/>
    <w:rsid w:val="05796A56"/>
    <w:rsid w:val="058468CE"/>
    <w:rsid w:val="059F10A0"/>
    <w:rsid w:val="05AC58E3"/>
    <w:rsid w:val="05B758E7"/>
    <w:rsid w:val="060A120F"/>
    <w:rsid w:val="061311DF"/>
    <w:rsid w:val="061458DF"/>
    <w:rsid w:val="061958D7"/>
    <w:rsid w:val="061E030F"/>
    <w:rsid w:val="062864C3"/>
    <w:rsid w:val="06836CF3"/>
    <w:rsid w:val="06970A6E"/>
    <w:rsid w:val="06A12946"/>
    <w:rsid w:val="06A35579"/>
    <w:rsid w:val="074269CD"/>
    <w:rsid w:val="074626D7"/>
    <w:rsid w:val="07955F47"/>
    <w:rsid w:val="079620C0"/>
    <w:rsid w:val="07C45F7A"/>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903E57"/>
    <w:rsid w:val="09D81D95"/>
    <w:rsid w:val="0A344583"/>
    <w:rsid w:val="0A80450F"/>
    <w:rsid w:val="0A9108F9"/>
    <w:rsid w:val="0A932FE1"/>
    <w:rsid w:val="0AE3063C"/>
    <w:rsid w:val="0B375585"/>
    <w:rsid w:val="0B4C5830"/>
    <w:rsid w:val="0B4F1AF7"/>
    <w:rsid w:val="0B6354B0"/>
    <w:rsid w:val="0B880F02"/>
    <w:rsid w:val="0BAE1E93"/>
    <w:rsid w:val="0BEB6D47"/>
    <w:rsid w:val="0C0F7C1C"/>
    <w:rsid w:val="0C682663"/>
    <w:rsid w:val="0C774B21"/>
    <w:rsid w:val="0C8846F0"/>
    <w:rsid w:val="0CB37B6B"/>
    <w:rsid w:val="0D2A60AB"/>
    <w:rsid w:val="0D307151"/>
    <w:rsid w:val="0D3B2462"/>
    <w:rsid w:val="0DB6219C"/>
    <w:rsid w:val="0DC13D8A"/>
    <w:rsid w:val="0DF07BDA"/>
    <w:rsid w:val="0DFD2816"/>
    <w:rsid w:val="0E027A4D"/>
    <w:rsid w:val="0E71136B"/>
    <w:rsid w:val="0E8B2745"/>
    <w:rsid w:val="0E9B4DDB"/>
    <w:rsid w:val="0EA565F4"/>
    <w:rsid w:val="0ECE09DE"/>
    <w:rsid w:val="0F066991"/>
    <w:rsid w:val="0F334549"/>
    <w:rsid w:val="0F3801C8"/>
    <w:rsid w:val="0F7200FC"/>
    <w:rsid w:val="0F9E41A6"/>
    <w:rsid w:val="0FE713A1"/>
    <w:rsid w:val="0FEF5E29"/>
    <w:rsid w:val="0FF33B0A"/>
    <w:rsid w:val="1031515E"/>
    <w:rsid w:val="10690B09"/>
    <w:rsid w:val="10AE742B"/>
    <w:rsid w:val="10C114BF"/>
    <w:rsid w:val="10E64CA7"/>
    <w:rsid w:val="10E84774"/>
    <w:rsid w:val="10EC11DB"/>
    <w:rsid w:val="112E24A5"/>
    <w:rsid w:val="11C56820"/>
    <w:rsid w:val="12100284"/>
    <w:rsid w:val="122F23AB"/>
    <w:rsid w:val="128C2CAA"/>
    <w:rsid w:val="12AA1604"/>
    <w:rsid w:val="12C15A54"/>
    <w:rsid w:val="12E87D24"/>
    <w:rsid w:val="13122EB9"/>
    <w:rsid w:val="131B7BE0"/>
    <w:rsid w:val="132C4F88"/>
    <w:rsid w:val="13AC3248"/>
    <w:rsid w:val="13C85393"/>
    <w:rsid w:val="13D17E3E"/>
    <w:rsid w:val="13E63CB1"/>
    <w:rsid w:val="142D3966"/>
    <w:rsid w:val="14744206"/>
    <w:rsid w:val="148B23EC"/>
    <w:rsid w:val="14BC3E8F"/>
    <w:rsid w:val="14DD3E78"/>
    <w:rsid w:val="14FD0E5F"/>
    <w:rsid w:val="14FD757A"/>
    <w:rsid w:val="15141EA9"/>
    <w:rsid w:val="152D3042"/>
    <w:rsid w:val="156C231A"/>
    <w:rsid w:val="158865BE"/>
    <w:rsid w:val="1595095C"/>
    <w:rsid w:val="15DE13D5"/>
    <w:rsid w:val="15E66A30"/>
    <w:rsid w:val="15F4465A"/>
    <w:rsid w:val="16035D89"/>
    <w:rsid w:val="16580359"/>
    <w:rsid w:val="16A07C09"/>
    <w:rsid w:val="16B572F7"/>
    <w:rsid w:val="16CC0B72"/>
    <w:rsid w:val="172A0D45"/>
    <w:rsid w:val="176F5489"/>
    <w:rsid w:val="178347AB"/>
    <w:rsid w:val="179E22DC"/>
    <w:rsid w:val="17E355C2"/>
    <w:rsid w:val="17F222DD"/>
    <w:rsid w:val="17F941EB"/>
    <w:rsid w:val="17FA2E63"/>
    <w:rsid w:val="18193EFB"/>
    <w:rsid w:val="18290DB1"/>
    <w:rsid w:val="185138C0"/>
    <w:rsid w:val="189F058B"/>
    <w:rsid w:val="18C44514"/>
    <w:rsid w:val="18D97540"/>
    <w:rsid w:val="19297752"/>
    <w:rsid w:val="196F285C"/>
    <w:rsid w:val="19761FB7"/>
    <w:rsid w:val="198829AE"/>
    <w:rsid w:val="19CD3FB4"/>
    <w:rsid w:val="19F14852"/>
    <w:rsid w:val="1A061791"/>
    <w:rsid w:val="1A2A76BA"/>
    <w:rsid w:val="1A816311"/>
    <w:rsid w:val="1B044F07"/>
    <w:rsid w:val="1B525F06"/>
    <w:rsid w:val="1BA15AB1"/>
    <w:rsid w:val="1BB737D3"/>
    <w:rsid w:val="1BB75756"/>
    <w:rsid w:val="1BF06759"/>
    <w:rsid w:val="1BF11ABE"/>
    <w:rsid w:val="1C022149"/>
    <w:rsid w:val="1C2C11D0"/>
    <w:rsid w:val="1C320214"/>
    <w:rsid w:val="1C3922C0"/>
    <w:rsid w:val="1C5826E0"/>
    <w:rsid w:val="1C8B469A"/>
    <w:rsid w:val="1C9B16FD"/>
    <w:rsid w:val="1D3F2357"/>
    <w:rsid w:val="1D4C0E01"/>
    <w:rsid w:val="1D731EC0"/>
    <w:rsid w:val="1D8A6578"/>
    <w:rsid w:val="1DB31EE7"/>
    <w:rsid w:val="1DC8164A"/>
    <w:rsid w:val="1DD80D20"/>
    <w:rsid w:val="1DE2229C"/>
    <w:rsid w:val="1E3B5ED1"/>
    <w:rsid w:val="1E7D4B74"/>
    <w:rsid w:val="1E897166"/>
    <w:rsid w:val="1ECE1E51"/>
    <w:rsid w:val="1EE6018D"/>
    <w:rsid w:val="1F2A1AFB"/>
    <w:rsid w:val="1F37102C"/>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3385E"/>
    <w:rsid w:val="210C673F"/>
    <w:rsid w:val="210E0C48"/>
    <w:rsid w:val="216418EA"/>
    <w:rsid w:val="217E5682"/>
    <w:rsid w:val="218364C3"/>
    <w:rsid w:val="219531EF"/>
    <w:rsid w:val="21FE0AA0"/>
    <w:rsid w:val="220471D4"/>
    <w:rsid w:val="22390F2A"/>
    <w:rsid w:val="2239721F"/>
    <w:rsid w:val="2253248B"/>
    <w:rsid w:val="22937521"/>
    <w:rsid w:val="22C538FF"/>
    <w:rsid w:val="23117658"/>
    <w:rsid w:val="2326189B"/>
    <w:rsid w:val="23263F5B"/>
    <w:rsid w:val="23426EE9"/>
    <w:rsid w:val="2347482F"/>
    <w:rsid w:val="23480721"/>
    <w:rsid w:val="23832A6A"/>
    <w:rsid w:val="239C519E"/>
    <w:rsid w:val="23AC6110"/>
    <w:rsid w:val="23B3680B"/>
    <w:rsid w:val="24453519"/>
    <w:rsid w:val="246F2824"/>
    <w:rsid w:val="24806DED"/>
    <w:rsid w:val="249E1E21"/>
    <w:rsid w:val="24CF2183"/>
    <w:rsid w:val="24D6375F"/>
    <w:rsid w:val="254B65D3"/>
    <w:rsid w:val="25A20BE8"/>
    <w:rsid w:val="25DC36E6"/>
    <w:rsid w:val="25E539B7"/>
    <w:rsid w:val="25FE72E1"/>
    <w:rsid w:val="2601741E"/>
    <w:rsid w:val="261D692F"/>
    <w:rsid w:val="2642785F"/>
    <w:rsid w:val="26732D8A"/>
    <w:rsid w:val="26B73565"/>
    <w:rsid w:val="26C747DD"/>
    <w:rsid w:val="272A58F3"/>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B5185"/>
    <w:rsid w:val="29332905"/>
    <w:rsid w:val="296411FB"/>
    <w:rsid w:val="29821E18"/>
    <w:rsid w:val="298B4C70"/>
    <w:rsid w:val="299E29AB"/>
    <w:rsid w:val="29AE2551"/>
    <w:rsid w:val="29B13B84"/>
    <w:rsid w:val="29CE5217"/>
    <w:rsid w:val="2A0566A1"/>
    <w:rsid w:val="2A3A52B1"/>
    <w:rsid w:val="2A822113"/>
    <w:rsid w:val="2A94661D"/>
    <w:rsid w:val="2AAE3082"/>
    <w:rsid w:val="2ADB2F81"/>
    <w:rsid w:val="2B0218D1"/>
    <w:rsid w:val="2B6551B7"/>
    <w:rsid w:val="2B805D5D"/>
    <w:rsid w:val="2BB70572"/>
    <w:rsid w:val="2BCE7E22"/>
    <w:rsid w:val="2C096ED3"/>
    <w:rsid w:val="2C225486"/>
    <w:rsid w:val="2C702EE7"/>
    <w:rsid w:val="2C7F4106"/>
    <w:rsid w:val="2C943472"/>
    <w:rsid w:val="2CE14D5C"/>
    <w:rsid w:val="2D1D4246"/>
    <w:rsid w:val="2D3F144E"/>
    <w:rsid w:val="2DA57572"/>
    <w:rsid w:val="2DAB7387"/>
    <w:rsid w:val="2E317F75"/>
    <w:rsid w:val="2E434F68"/>
    <w:rsid w:val="2E725AC4"/>
    <w:rsid w:val="2EAB14E3"/>
    <w:rsid w:val="2F1828EE"/>
    <w:rsid w:val="2F4239BC"/>
    <w:rsid w:val="2F4D79F2"/>
    <w:rsid w:val="2F722747"/>
    <w:rsid w:val="2F991EEF"/>
    <w:rsid w:val="2FA36714"/>
    <w:rsid w:val="2FAD1162"/>
    <w:rsid w:val="2FC87DCD"/>
    <w:rsid w:val="2FEB6C42"/>
    <w:rsid w:val="2FF07082"/>
    <w:rsid w:val="300A0067"/>
    <w:rsid w:val="30332135"/>
    <w:rsid w:val="30361AAA"/>
    <w:rsid w:val="30565E76"/>
    <w:rsid w:val="30D31F6A"/>
    <w:rsid w:val="31093D82"/>
    <w:rsid w:val="31101DA9"/>
    <w:rsid w:val="313A078D"/>
    <w:rsid w:val="31484FEE"/>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725B52"/>
    <w:rsid w:val="3378065A"/>
    <w:rsid w:val="33A73BE5"/>
    <w:rsid w:val="33B96A2E"/>
    <w:rsid w:val="33DA7217"/>
    <w:rsid w:val="34134285"/>
    <w:rsid w:val="346F74D1"/>
    <w:rsid w:val="34816FDA"/>
    <w:rsid w:val="34B90705"/>
    <w:rsid w:val="34C944EE"/>
    <w:rsid w:val="34C97625"/>
    <w:rsid w:val="34CE1084"/>
    <w:rsid w:val="35152B4C"/>
    <w:rsid w:val="35190544"/>
    <w:rsid w:val="355A4482"/>
    <w:rsid w:val="35671DF5"/>
    <w:rsid w:val="3569739E"/>
    <w:rsid w:val="35724EE4"/>
    <w:rsid w:val="359A6D64"/>
    <w:rsid w:val="35D660DF"/>
    <w:rsid w:val="36015C68"/>
    <w:rsid w:val="36310E3C"/>
    <w:rsid w:val="363B32F2"/>
    <w:rsid w:val="366E78EC"/>
    <w:rsid w:val="36A20DE3"/>
    <w:rsid w:val="36FA07A7"/>
    <w:rsid w:val="37345162"/>
    <w:rsid w:val="373A311A"/>
    <w:rsid w:val="37825868"/>
    <w:rsid w:val="37BC5B3A"/>
    <w:rsid w:val="37F9409F"/>
    <w:rsid w:val="38081B17"/>
    <w:rsid w:val="386E0F56"/>
    <w:rsid w:val="387B3B6E"/>
    <w:rsid w:val="38C23C8A"/>
    <w:rsid w:val="38C57032"/>
    <w:rsid w:val="38D20FDC"/>
    <w:rsid w:val="38E6372F"/>
    <w:rsid w:val="39032E08"/>
    <w:rsid w:val="39082777"/>
    <w:rsid w:val="39092830"/>
    <w:rsid w:val="390B799A"/>
    <w:rsid w:val="392216F6"/>
    <w:rsid w:val="392A281D"/>
    <w:rsid w:val="39BC5175"/>
    <w:rsid w:val="39D939B5"/>
    <w:rsid w:val="3A304178"/>
    <w:rsid w:val="3A3F02FA"/>
    <w:rsid w:val="3A670B14"/>
    <w:rsid w:val="3AD66154"/>
    <w:rsid w:val="3AF6384B"/>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CB4C57"/>
    <w:rsid w:val="3CEE590A"/>
    <w:rsid w:val="3CF46139"/>
    <w:rsid w:val="3D08378C"/>
    <w:rsid w:val="3D0B3FDE"/>
    <w:rsid w:val="3D616A4A"/>
    <w:rsid w:val="3D757831"/>
    <w:rsid w:val="3DB15B3B"/>
    <w:rsid w:val="3DDD403D"/>
    <w:rsid w:val="3E72797C"/>
    <w:rsid w:val="3EA84F1C"/>
    <w:rsid w:val="3ED046F7"/>
    <w:rsid w:val="3ED25531"/>
    <w:rsid w:val="3ED3031F"/>
    <w:rsid w:val="3EE12B70"/>
    <w:rsid w:val="3EED747C"/>
    <w:rsid w:val="3EEE1387"/>
    <w:rsid w:val="3EFB783C"/>
    <w:rsid w:val="3F0E7BE1"/>
    <w:rsid w:val="3F1A5778"/>
    <w:rsid w:val="3F4F22C9"/>
    <w:rsid w:val="3F533FD6"/>
    <w:rsid w:val="3F7B2F87"/>
    <w:rsid w:val="3F7F6B99"/>
    <w:rsid w:val="3FAC0C39"/>
    <w:rsid w:val="3FC377CC"/>
    <w:rsid w:val="3FC54B59"/>
    <w:rsid w:val="3FD025A8"/>
    <w:rsid w:val="3FD76836"/>
    <w:rsid w:val="401A4E1E"/>
    <w:rsid w:val="4085325F"/>
    <w:rsid w:val="40AC1636"/>
    <w:rsid w:val="40FA288E"/>
    <w:rsid w:val="412F09B5"/>
    <w:rsid w:val="412F4FFD"/>
    <w:rsid w:val="41385BD0"/>
    <w:rsid w:val="414A69FE"/>
    <w:rsid w:val="41843CE9"/>
    <w:rsid w:val="41937963"/>
    <w:rsid w:val="41E325EE"/>
    <w:rsid w:val="4204222F"/>
    <w:rsid w:val="420A0C4E"/>
    <w:rsid w:val="42403984"/>
    <w:rsid w:val="426F4ABD"/>
    <w:rsid w:val="4299523A"/>
    <w:rsid w:val="42B238D5"/>
    <w:rsid w:val="43234FA2"/>
    <w:rsid w:val="432C7DFD"/>
    <w:rsid w:val="43316976"/>
    <w:rsid w:val="433E7DCE"/>
    <w:rsid w:val="43622EE9"/>
    <w:rsid w:val="438B36CB"/>
    <w:rsid w:val="43D62C69"/>
    <w:rsid w:val="43D765EE"/>
    <w:rsid w:val="43F16F8E"/>
    <w:rsid w:val="441201E9"/>
    <w:rsid w:val="4414466D"/>
    <w:rsid w:val="441B6C38"/>
    <w:rsid w:val="445B5549"/>
    <w:rsid w:val="449F733A"/>
    <w:rsid w:val="44BC470B"/>
    <w:rsid w:val="44C574B6"/>
    <w:rsid w:val="44E62F40"/>
    <w:rsid w:val="4530313C"/>
    <w:rsid w:val="45347267"/>
    <w:rsid w:val="45530E68"/>
    <w:rsid w:val="4568397B"/>
    <w:rsid w:val="456F215D"/>
    <w:rsid w:val="457B2E8B"/>
    <w:rsid w:val="4582233F"/>
    <w:rsid w:val="45F17FE1"/>
    <w:rsid w:val="461A485B"/>
    <w:rsid w:val="46394FFE"/>
    <w:rsid w:val="46591A7A"/>
    <w:rsid w:val="468E5202"/>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90A6717"/>
    <w:rsid w:val="49116F99"/>
    <w:rsid w:val="49367C73"/>
    <w:rsid w:val="49475ADB"/>
    <w:rsid w:val="497641FB"/>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7D4971"/>
    <w:rsid w:val="4B826675"/>
    <w:rsid w:val="4BEC3E0D"/>
    <w:rsid w:val="4BF807E1"/>
    <w:rsid w:val="4C251CDA"/>
    <w:rsid w:val="4C2C7B7A"/>
    <w:rsid w:val="4C323AA7"/>
    <w:rsid w:val="4C3B61D6"/>
    <w:rsid w:val="4C766778"/>
    <w:rsid w:val="4C7D7706"/>
    <w:rsid w:val="4CB23F8C"/>
    <w:rsid w:val="4CD94DBF"/>
    <w:rsid w:val="4CF60DEA"/>
    <w:rsid w:val="4D044C05"/>
    <w:rsid w:val="4D8A7289"/>
    <w:rsid w:val="4D9608B3"/>
    <w:rsid w:val="4DB0441E"/>
    <w:rsid w:val="4DB709F4"/>
    <w:rsid w:val="4DC05441"/>
    <w:rsid w:val="4DDE0CC1"/>
    <w:rsid w:val="4DE41885"/>
    <w:rsid w:val="4E3A6050"/>
    <w:rsid w:val="4E592EF2"/>
    <w:rsid w:val="4E5E1A12"/>
    <w:rsid w:val="4E606CDA"/>
    <w:rsid w:val="4E87356F"/>
    <w:rsid w:val="4E8B22EB"/>
    <w:rsid w:val="4F0172D3"/>
    <w:rsid w:val="4F20710F"/>
    <w:rsid w:val="4F4E3E05"/>
    <w:rsid w:val="4F913918"/>
    <w:rsid w:val="4FD8420E"/>
    <w:rsid w:val="4FE8616E"/>
    <w:rsid w:val="4FEE09FE"/>
    <w:rsid w:val="501C7A34"/>
    <w:rsid w:val="503C1750"/>
    <w:rsid w:val="5053496D"/>
    <w:rsid w:val="5087011D"/>
    <w:rsid w:val="508E49E6"/>
    <w:rsid w:val="509515D3"/>
    <w:rsid w:val="50B91323"/>
    <w:rsid w:val="50C73EFD"/>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73264D"/>
    <w:rsid w:val="538D0373"/>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FD1930"/>
    <w:rsid w:val="56903FAE"/>
    <w:rsid w:val="56953DF1"/>
    <w:rsid w:val="56AA5BAF"/>
    <w:rsid w:val="56C3071F"/>
    <w:rsid w:val="56FF22FB"/>
    <w:rsid w:val="570B22D5"/>
    <w:rsid w:val="570D54AE"/>
    <w:rsid w:val="574915F0"/>
    <w:rsid w:val="576C7199"/>
    <w:rsid w:val="57A91C76"/>
    <w:rsid w:val="57AA529B"/>
    <w:rsid w:val="58020D87"/>
    <w:rsid w:val="58294434"/>
    <w:rsid w:val="582E7A3E"/>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D3893"/>
    <w:rsid w:val="59C71E73"/>
    <w:rsid w:val="59D749C6"/>
    <w:rsid w:val="59D97E0E"/>
    <w:rsid w:val="59DB40B6"/>
    <w:rsid w:val="5A56676F"/>
    <w:rsid w:val="5A986B28"/>
    <w:rsid w:val="5AD46652"/>
    <w:rsid w:val="5AF40DEB"/>
    <w:rsid w:val="5B0815CE"/>
    <w:rsid w:val="5B0A0148"/>
    <w:rsid w:val="5B0C6F99"/>
    <w:rsid w:val="5B1A72CE"/>
    <w:rsid w:val="5B3642CA"/>
    <w:rsid w:val="5BA86F9B"/>
    <w:rsid w:val="5BC54BFD"/>
    <w:rsid w:val="5BEE2798"/>
    <w:rsid w:val="5C0D48BF"/>
    <w:rsid w:val="5C163FA3"/>
    <w:rsid w:val="5C1A328D"/>
    <w:rsid w:val="5C28147F"/>
    <w:rsid w:val="5C53010A"/>
    <w:rsid w:val="5C576DE7"/>
    <w:rsid w:val="5C5A25DE"/>
    <w:rsid w:val="5C671D13"/>
    <w:rsid w:val="5C88072E"/>
    <w:rsid w:val="5CA270F8"/>
    <w:rsid w:val="5CBF6828"/>
    <w:rsid w:val="5CCE2517"/>
    <w:rsid w:val="5D003CCC"/>
    <w:rsid w:val="5D1B3176"/>
    <w:rsid w:val="5D2F679D"/>
    <w:rsid w:val="5D3C3C86"/>
    <w:rsid w:val="5D466002"/>
    <w:rsid w:val="5D5C2DBD"/>
    <w:rsid w:val="5D705F18"/>
    <w:rsid w:val="5D7A216B"/>
    <w:rsid w:val="5D84726F"/>
    <w:rsid w:val="5D8D5040"/>
    <w:rsid w:val="5DB12C6D"/>
    <w:rsid w:val="5DF86089"/>
    <w:rsid w:val="5E570355"/>
    <w:rsid w:val="5E654A3F"/>
    <w:rsid w:val="5E68070E"/>
    <w:rsid w:val="5E6A305B"/>
    <w:rsid w:val="5E701944"/>
    <w:rsid w:val="5E833B80"/>
    <w:rsid w:val="5EBA09EF"/>
    <w:rsid w:val="5F0955F5"/>
    <w:rsid w:val="5F1774BE"/>
    <w:rsid w:val="5F72450F"/>
    <w:rsid w:val="5FA63305"/>
    <w:rsid w:val="5FA67933"/>
    <w:rsid w:val="5FB16FE0"/>
    <w:rsid w:val="5FD06B1B"/>
    <w:rsid w:val="5FDD12ED"/>
    <w:rsid w:val="60166456"/>
    <w:rsid w:val="60214819"/>
    <w:rsid w:val="603440C9"/>
    <w:rsid w:val="604E1ADC"/>
    <w:rsid w:val="60590083"/>
    <w:rsid w:val="607A6D4F"/>
    <w:rsid w:val="608F7837"/>
    <w:rsid w:val="60E22A31"/>
    <w:rsid w:val="60F63A5C"/>
    <w:rsid w:val="60F6530A"/>
    <w:rsid w:val="610143EF"/>
    <w:rsid w:val="61615891"/>
    <w:rsid w:val="618A53C3"/>
    <w:rsid w:val="61E360F6"/>
    <w:rsid w:val="62137AD9"/>
    <w:rsid w:val="62260CC7"/>
    <w:rsid w:val="62A551E6"/>
    <w:rsid w:val="62E16AB1"/>
    <w:rsid w:val="63C441CF"/>
    <w:rsid w:val="63CB2D0B"/>
    <w:rsid w:val="63FB66E5"/>
    <w:rsid w:val="63FE5FFF"/>
    <w:rsid w:val="64186D6F"/>
    <w:rsid w:val="644756E6"/>
    <w:rsid w:val="646F1B1A"/>
    <w:rsid w:val="64A35E6B"/>
    <w:rsid w:val="64DE1782"/>
    <w:rsid w:val="64EC1EDD"/>
    <w:rsid w:val="6573187F"/>
    <w:rsid w:val="660B7EAB"/>
    <w:rsid w:val="6622217F"/>
    <w:rsid w:val="663E3141"/>
    <w:rsid w:val="665D0A81"/>
    <w:rsid w:val="667F1C61"/>
    <w:rsid w:val="66971C08"/>
    <w:rsid w:val="66995B09"/>
    <w:rsid w:val="66A348B3"/>
    <w:rsid w:val="66BF75D6"/>
    <w:rsid w:val="66C85B35"/>
    <w:rsid w:val="66DC563F"/>
    <w:rsid w:val="66E43029"/>
    <w:rsid w:val="66EB5925"/>
    <w:rsid w:val="66EC040E"/>
    <w:rsid w:val="67080B3C"/>
    <w:rsid w:val="671E7493"/>
    <w:rsid w:val="67305EDA"/>
    <w:rsid w:val="67457487"/>
    <w:rsid w:val="67B21455"/>
    <w:rsid w:val="67EA458C"/>
    <w:rsid w:val="6824240E"/>
    <w:rsid w:val="6846106D"/>
    <w:rsid w:val="68627966"/>
    <w:rsid w:val="68810A06"/>
    <w:rsid w:val="688C65C0"/>
    <w:rsid w:val="68AE1D98"/>
    <w:rsid w:val="68BC539A"/>
    <w:rsid w:val="68CA3EF1"/>
    <w:rsid w:val="693938FE"/>
    <w:rsid w:val="693C7828"/>
    <w:rsid w:val="69466F3B"/>
    <w:rsid w:val="698452BC"/>
    <w:rsid w:val="69A61B16"/>
    <w:rsid w:val="69C4214F"/>
    <w:rsid w:val="69F4652A"/>
    <w:rsid w:val="69F721E8"/>
    <w:rsid w:val="6A275063"/>
    <w:rsid w:val="6A462967"/>
    <w:rsid w:val="6A511BEE"/>
    <w:rsid w:val="6A7F671B"/>
    <w:rsid w:val="6A80752C"/>
    <w:rsid w:val="6AA3550E"/>
    <w:rsid w:val="6AFF7D85"/>
    <w:rsid w:val="6B110B94"/>
    <w:rsid w:val="6B1235AB"/>
    <w:rsid w:val="6B136E8C"/>
    <w:rsid w:val="6B2B6686"/>
    <w:rsid w:val="6B2C7DD1"/>
    <w:rsid w:val="6B77670B"/>
    <w:rsid w:val="6BDE7D3B"/>
    <w:rsid w:val="6BF5227B"/>
    <w:rsid w:val="6C0001A5"/>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EB756A"/>
    <w:rsid w:val="6E3D3A64"/>
    <w:rsid w:val="6E532497"/>
    <w:rsid w:val="6E7B7723"/>
    <w:rsid w:val="6E7D4622"/>
    <w:rsid w:val="6E9E421E"/>
    <w:rsid w:val="6EA31FFC"/>
    <w:rsid w:val="6EE67D23"/>
    <w:rsid w:val="6EEB573C"/>
    <w:rsid w:val="6EF7385A"/>
    <w:rsid w:val="6F2B1AF5"/>
    <w:rsid w:val="6F5826D7"/>
    <w:rsid w:val="6F792228"/>
    <w:rsid w:val="6FD35BC1"/>
    <w:rsid w:val="6FDC50BE"/>
    <w:rsid w:val="70016D36"/>
    <w:rsid w:val="70037035"/>
    <w:rsid w:val="70420083"/>
    <w:rsid w:val="70A63964"/>
    <w:rsid w:val="70AB7034"/>
    <w:rsid w:val="70B04223"/>
    <w:rsid w:val="70E36DDC"/>
    <w:rsid w:val="71444B25"/>
    <w:rsid w:val="7159417E"/>
    <w:rsid w:val="71B9443B"/>
    <w:rsid w:val="71CB4F53"/>
    <w:rsid w:val="71E75595"/>
    <w:rsid w:val="7216505B"/>
    <w:rsid w:val="72183902"/>
    <w:rsid w:val="7224565F"/>
    <w:rsid w:val="72576835"/>
    <w:rsid w:val="7271615B"/>
    <w:rsid w:val="72B562B6"/>
    <w:rsid w:val="72C86DB1"/>
    <w:rsid w:val="72E757D8"/>
    <w:rsid w:val="72ED2C38"/>
    <w:rsid w:val="72F012F7"/>
    <w:rsid w:val="73157C8E"/>
    <w:rsid w:val="734857FD"/>
    <w:rsid w:val="734F33E9"/>
    <w:rsid w:val="73995063"/>
    <w:rsid w:val="73EA5CCC"/>
    <w:rsid w:val="73EC65FB"/>
    <w:rsid w:val="74377C6E"/>
    <w:rsid w:val="743C79D8"/>
    <w:rsid w:val="7470465D"/>
    <w:rsid w:val="747D1949"/>
    <w:rsid w:val="74986C2C"/>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7163716"/>
    <w:rsid w:val="77192618"/>
    <w:rsid w:val="77497347"/>
    <w:rsid w:val="775C3009"/>
    <w:rsid w:val="775C6866"/>
    <w:rsid w:val="776F63DA"/>
    <w:rsid w:val="77793B9E"/>
    <w:rsid w:val="77AF0743"/>
    <w:rsid w:val="77AF42F0"/>
    <w:rsid w:val="77F45ACF"/>
    <w:rsid w:val="780B7EDB"/>
    <w:rsid w:val="783F63E3"/>
    <w:rsid w:val="784F6427"/>
    <w:rsid w:val="78720FB5"/>
    <w:rsid w:val="789C15C7"/>
    <w:rsid w:val="78BB48A3"/>
    <w:rsid w:val="78F5504B"/>
    <w:rsid w:val="78FE2189"/>
    <w:rsid w:val="79141699"/>
    <w:rsid w:val="79185435"/>
    <w:rsid w:val="796D4195"/>
    <w:rsid w:val="79716D03"/>
    <w:rsid w:val="798F3492"/>
    <w:rsid w:val="79953E2A"/>
    <w:rsid w:val="79971C36"/>
    <w:rsid w:val="79CA63ED"/>
    <w:rsid w:val="79FA0418"/>
    <w:rsid w:val="79FD50CA"/>
    <w:rsid w:val="7A2B5634"/>
    <w:rsid w:val="7A4A6FE5"/>
    <w:rsid w:val="7A5A52FD"/>
    <w:rsid w:val="7A683935"/>
    <w:rsid w:val="7ACE4BD1"/>
    <w:rsid w:val="7B46422A"/>
    <w:rsid w:val="7BAD5E10"/>
    <w:rsid w:val="7BF75127"/>
    <w:rsid w:val="7C041C0D"/>
    <w:rsid w:val="7C0D30F3"/>
    <w:rsid w:val="7C161814"/>
    <w:rsid w:val="7C2F22A8"/>
    <w:rsid w:val="7C3E42F9"/>
    <w:rsid w:val="7CBB4A68"/>
    <w:rsid w:val="7CE36824"/>
    <w:rsid w:val="7D00040B"/>
    <w:rsid w:val="7D15441B"/>
    <w:rsid w:val="7D274188"/>
    <w:rsid w:val="7D3615C3"/>
    <w:rsid w:val="7D627ECC"/>
    <w:rsid w:val="7D660184"/>
    <w:rsid w:val="7D803F37"/>
    <w:rsid w:val="7D8E1AFA"/>
    <w:rsid w:val="7D9635FC"/>
    <w:rsid w:val="7DBC3E68"/>
    <w:rsid w:val="7E7B2E05"/>
    <w:rsid w:val="7EA44361"/>
    <w:rsid w:val="7EC420A2"/>
    <w:rsid w:val="7EC54808"/>
    <w:rsid w:val="7F031696"/>
    <w:rsid w:val="7F045826"/>
    <w:rsid w:val="7F1067B0"/>
    <w:rsid w:val="7F156E60"/>
    <w:rsid w:val="7F2F16BD"/>
    <w:rsid w:val="7F6840C9"/>
    <w:rsid w:val="7F7C1C99"/>
    <w:rsid w:val="7FBF1C69"/>
    <w:rsid w:val="7FC0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ind w:firstLine="880" w:firstLineChars="200"/>
    </w:pPr>
    <w:rPr>
      <w:rFonts w:ascii="仿宋_GB2312" w:hAnsi="仿宋_GB2312" w:eastAsia="仿宋_GB2312" w:cs="Arial"/>
      <w:sz w:val="32"/>
      <w:szCs w:val="20"/>
    </w:rPr>
  </w:style>
  <w:style w:type="paragraph" w:styleId="4">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5">
    <w:name w:val="Plain Text"/>
    <w:basedOn w:val="1"/>
    <w:qFormat/>
    <w:uiPriority w:val="0"/>
    <w:rPr>
      <w:rFonts w:ascii="宋体" w:hAnsi="Courier New"/>
      <w:szCs w:val="20"/>
    </w:rPr>
  </w:style>
  <w:style w:type="paragraph" w:styleId="6">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1981</Words>
  <Characters>2021</Characters>
  <Lines>0</Lines>
  <Paragraphs>0</Paragraphs>
  <TotalTime>9</TotalTime>
  <ScaleCrop>false</ScaleCrop>
  <LinksUpToDate>false</LinksUpToDate>
  <CharactersWithSpaces>2033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bsj_tanzili</dc:creator>
  <cp:lastModifiedBy>bsj_weichenzhao</cp:lastModifiedBy>
  <dcterms:modified xsi:type="dcterms:W3CDTF">2026-06-30T08:58:48Z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DA4CC446A356405DAD3962EA999BBC17</vt:lpwstr>
  </property>
  <property fmtid="{D5CDD505-2E9C-101B-9397-08002B2CF9AE}" pid="4" name="KSOTemplateDocerSaveRecord">
    <vt:lpwstr>eyJoZGlkIjoiYTdjMGNhZjdiNmYwNzE2ZDQyNGIzZjIzNThhY2YxMTEiLCJ1c2VySWQiOiIzODE3OTQwNzUifQ==</vt:lpwstr>
  </property>
</Properties>
</file>