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7577976"/>
      <w:bookmarkStart w:id="1" w:name="_Toc309593257"/>
      <w:bookmarkStart w:id="2" w:name="_Toc309805581"/>
      <w:bookmarkStart w:id="3" w:name="_Toc309593186"/>
    </w:p>
    <w:p>
      <w:pPr>
        <w:tabs>
          <w:tab w:val="left" w:pos="0"/>
        </w:tabs>
        <w:ind w:firstLine="1044"/>
        <w:jc w:val="center"/>
        <w:rPr>
          <w:rFonts w:ascii="仿宋_GB2312"/>
          <w:sz w:val="44"/>
        </w:rPr>
      </w:pPr>
    </w:p>
    <w:p>
      <w:pPr>
        <w:tabs>
          <w:tab w:val="left" w:pos="0"/>
        </w:tabs>
        <w:spacing w:line="240" w:lineRule="auto"/>
        <w:ind w:left="0" w:leftChars="0" w:firstLine="0" w:firstLineChars="0"/>
        <w:jc w:val="both"/>
        <w:rPr>
          <w:rFonts w:hint="eastAsia" w:ascii="宋体" w:hAnsi="宋体"/>
          <w:b/>
          <w:sz w:val="48"/>
          <w:szCs w:val="48"/>
        </w:rPr>
      </w:pPr>
    </w:p>
    <w:p>
      <w:pPr>
        <w:keepNext w:val="0"/>
        <w:keepLines w:val="0"/>
        <w:widowControl/>
        <w:suppressLineNumbers w:val="0"/>
        <w:jc w:val="left"/>
        <w:rPr>
          <w:rFonts w:ascii="Calibri" w:hAnsi="Calibri" w:eastAsia="黑体"/>
          <w:b/>
          <w:sz w:val="52"/>
        </w:rPr>
      </w:pPr>
      <w:r>
        <w:rPr>
          <w:rFonts w:hint="eastAsia" w:ascii="Calibri" w:hAnsi="Calibri" w:eastAsia="黑体"/>
          <w:b/>
          <w:sz w:val="52"/>
          <w:lang w:val="en-US" w:eastAsia="zh-CN"/>
        </w:rPr>
        <w:t>南网超高压公司百色局2026年职创项目（室内轨道机器人无线控制二次设备液晶屏点亮技术研究与应用）技术规范书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6"/>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19998"/>
      <w:bookmarkStart w:id="6" w:name="_Toc21867571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_Toc16474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_Toc27043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_Toc22696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_Toc23208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_Toc30826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_Toc16657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9520"/>
      <w:bookmarkStart w:id="8" w:name="_Toc5872"/>
      <w:bookmarkStart w:id="9" w:name="_Toc28984"/>
      <w:r>
        <w:rPr>
          <w:rFonts w:hint="eastAsia" w:ascii="宋体" w:hAnsi="宋体" w:eastAsia="宋体" w:cs="Times New Roman"/>
        </w:rPr>
        <w:t>1.</w:t>
      </w:r>
      <w:r>
        <w:rPr>
          <w:rFonts w:ascii="宋体" w:hAnsi="宋体" w:eastAsia="宋体" w:cs="Times New Roman"/>
        </w:rPr>
        <w:t>总则</w:t>
      </w:r>
      <w:bookmarkEnd w:id="7"/>
      <w:bookmarkEnd w:id="8"/>
      <w:bookmarkEnd w:id="9"/>
    </w:p>
    <w:p>
      <w:pPr>
        <w:keepNext w:val="0"/>
        <w:keepLines w:val="0"/>
        <w:widowControl/>
        <w:suppressLineNumbers w:val="0"/>
        <w:jc w:val="left"/>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ascii="宋体" w:hAnsi="宋体" w:cs="宋体"/>
          <w:lang w:val="en-US" w:eastAsia="zh-CN"/>
        </w:rPr>
        <w:t>（</w:t>
      </w:r>
      <w:r>
        <w:rPr>
          <w:rFonts w:hint="eastAsia" w:ascii="宋体" w:hAnsi="宋体" w:eastAsia="宋体" w:cs="宋体"/>
          <w:lang w:val="en-US" w:eastAsia="zh-CN"/>
        </w:rPr>
        <w:t>室内轨道机器人无线控制二次设备液晶屏点亮技术研究与应用</w:t>
      </w:r>
      <w:r>
        <w:rPr>
          <w:rFonts w:hint="eastAsia" w:ascii="宋体" w:hAnsi="宋体" w:cs="宋体"/>
          <w:lang w:val="en-US" w:eastAsia="zh-CN"/>
        </w:rPr>
        <w:t>）</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2740"/>
      <w:bookmarkStart w:id="12" w:name="_Toc5588"/>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3"/>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rPr>
              <w:t>GB 2423.10</w:t>
            </w:r>
            <w:r>
              <w:rPr>
                <w:rFonts w:hint="eastAsia" w:ascii="Times New Roman"/>
                <w:szCs w:val="21"/>
              </w:rPr>
              <w:tab/>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电工电子产品基本环境试验规程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GB 4798.4</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default" w:ascii="Times New Roman" w:eastAsia="宋体"/>
                <w:szCs w:val="21"/>
                <w:lang w:val="en-US" w:eastAsia="zh-CN"/>
              </w:rPr>
              <w:t>电工电子产品应用环境条件无气候防护场所使用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GB/T6995</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电线电缆识别标志方法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bookmarkStart w:id="13" w:name="_Toc16474"/>
            <w:bookmarkStart w:id="14" w:name="_Toc25883"/>
            <w:bookmarkStart w:id="15" w:name="_Toc7639"/>
            <w:r>
              <w:rPr>
                <w:rFonts w:hint="eastAsia" w:ascii="Times New Roman" w:hAnsi="Times New Roman" w:eastAsia="宋体" w:cs="Times New Roman"/>
                <w:kern w:val="0"/>
                <w:sz w:val="21"/>
                <w:szCs w:val="21"/>
                <w:lang w:val="en-US" w:eastAsia="zh-CN" w:bidi="ar-SA"/>
              </w:rPr>
              <w:t>GB 50217</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电力工程电缆设计规范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13926</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工业过程测量和控制装置的电磁兼容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17626.2</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静电放电抗扰度试验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17626.3</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射频电磁场辐射抗扰度试验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17626.4</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电快速瞬变脉冲群抗扰度试验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17626.5</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浪涌（冲击）抗扰度试验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17626.6</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射频场感应的传导骚扰抗扰度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GB/T 17626.8</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工频磁场的抗扰度试验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IEEE 802.3</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10BASE-T 以太网接口标准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GB191</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包装贮运标志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GB4793-1984</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电子测量仪器安全要求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DL/T621-1997</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交流电气装置的接地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DL/T5222-2005</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导体和电器选择设计技术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 xml:space="preserve">GB2887-89 </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计算机场地技术条件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 xml:space="preserve">GB/T8566-95 </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信息技术软件生存期过程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DL/T 283.2-2012</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电力视频监控系统及接口第2部分：测试方法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Q/CSG 1205056.2-2022</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南方电网电力安全工作规程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Q/CSG 1206007-2017</w:t>
            </w:r>
          </w:p>
        </w:tc>
        <w:tc>
          <w:tcPr>
            <w:tcW w:w="3395" w:type="pct"/>
            <w:noWrap w:val="0"/>
            <w:vAlign w:val="center"/>
          </w:tcPr>
          <w:p>
            <w:pPr>
              <w:adjustRightInd w:val="0"/>
              <w:snapToGrid w:val="0"/>
              <w:spacing w:beforeLines="0" w:afterLines="0" w:line="360" w:lineRule="auto"/>
              <w:ind w:left="0" w:leftChars="0" w:firstLine="0" w:firstLineChars="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电力设备检修试验规程</w:t>
            </w:r>
          </w:p>
        </w:tc>
      </w:tr>
    </w:tbl>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（1）海拔高度：4000m及以下任何海拔高度均可正常使用（北京54坐标系）；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（2）最高环境温度：+55ºC；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（3）最低环境温度：-20ºC；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（4）年平均气温：20ºC；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（5）覆冰厚度：0～30mm；</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（6）最大设计风速：20m/s；</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（7）环境相对湿度：80%。</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针对具体应用工况，用户根据实际需求提出特殊工作条件。当超出正常与特殊工作条件时，由用户与供应商协商确定。</w:t>
      </w:r>
    </w:p>
    <w:p>
      <w:pPr>
        <w:pStyle w:val="4"/>
        <w:numPr>
          <w:ilvl w:val="255"/>
          <w:numId w:val="0"/>
        </w:numPr>
        <w:spacing w:before="312" w:after="156"/>
        <w:rPr>
          <w:rFonts w:hint="eastAsia" w:ascii="宋体" w:hAnsi="宋体" w:eastAsia="宋体" w:cs="Times New Roman"/>
        </w:rPr>
      </w:pPr>
      <w:bookmarkStart w:id="16" w:name="_Toc27043"/>
      <w:bookmarkStart w:id="17" w:name="_Toc14218"/>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4"/>
        <w:numPr>
          <w:ilvl w:val="255"/>
          <w:numId w:val="0"/>
        </w:numPr>
        <w:spacing w:before="312" w:after="156"/>
        <w:rPr>
          <w:rFonts w:hint="eastAsia" w:ascii="宋体" w:hAnsi="宋体" w:eastAsia="宋体" w:cs="Times New Roman"/>
        </w:rPr>
      </w:pPr>
      <w:bookmarkStart w:id="18" w:name="_Toc22696"/>
      <w:bookmarkStart w:id="19" w:name="_Toc3256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59705"/>
      <w:bookmarkStart w:id="21" w:name="_Toc369561308"/>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r>
        <w:rPr>
          <w:rFonts w:hint="eastAsia" w:ascii="宋体" w:hAnsi="宋体" w:cs="宋体"/>
          <w:lang w:val="en-US" w:eastAsia="zh-CN"/>
        </w:rPr>
        <w:t>前</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本创新项目需根据加工、制作、调试的实际情况前往现场开展勘查、安装及调试工作，具体项目地点需联系相关项目负责人。</w:t>
      </w:r>
    </w:p>
    <w:bookmarkEnd w:id="20"/>
    <w:bookmarkEnd w:id="21"/>
    <w:p>
      <w:pPr>
        <w:snapToGrid w:val="0"/>
        <w:spacing w:line="360" w:lineRule="auto"/>
        <w:ind w:firstLine="0" w:firstLineChars="0"/>
        <w:jc w:val="center"/>
        <w:rPr>
          <w:rFonts w:hint="eastAsia"/>
          <w:color w:val="auto"/>
          <w:szCs w:val="21"/>
          <w:highlight w:val="none"/>
          <w:lang w:val="en-US" w:eastAsia="zh-CN"/>
        </w:rPr>
      </w:pPr>
      <w:bookmarkStart w:id="22" w:name="_Toc27075"/>
      <w:bookmarkStart w:id="23" w:name="_Toc12318"/>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33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bookmarkStart w:id="24" w:name="_Toc12691"/>
            <w:bookmarkStart w:id="25" w:name="_Toc14394"/>
            <w:bookmarkStart w:id="26" w:name="_Toc7886"/>
            <w:bookmarkStart w:id="27" w:name="_Toc369559710"/>
            <w:bookmarkStart w:id="28" w:name="_Toc2581"/>
            <w:bookmarkStart w:id="29" w:name="_Toc369561313"/>
            <w:r>
              <w:rPr>
                <w:rFonts w:hint="eastAsia" w:ascii="宋体" w:hAnsi="宋体" w:cs="宋体"/>
                <w:i w:val="0"/>
                <w:iCs w:val="0"/>
                <w:color w:val="000000"/>
                <w:kern w:val="0"/>
                <w:sz w:val="20"/>
                <w:szCs w:val="20"/>
                <w:highlight w:val="none"/>
                <w:u w:val="none"/>
                <w:lang w:val="en-US" w:eastAsia="zh-CN" w:bidi="ar"/>
              </w:rPr>
              <w:t>1</w:t>
            </w:r>
          </w:p>
        </w:tc>
        <w:tc>
          <w:tcPr>
            <w:tcW w:w="133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室内轨道机器人无线控制二次设备液晶屏点亮技术研究与应用</w:t>
            </w:r>
          </w:p>
        </w:tc>
        <w:tc>
          <w:tcPr>
            <w:tcW w:w="43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根据招标方设计方案，协助完成：</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1.二次设备屏幕触碰技术研究。调研站内二次设备屏幕种类、点亮方式、触摸力度、行程等参数，研发力度可调的触碰技术。</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2.触手材料与机械结构研制。针对调研结果进行触手材料研究、触手机械结构和电气控制方法研究。</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3.装置与机器人交互技术。沟通协调站内现有机器人厂家，研究软件接口、电气接口，并增加巡视点位，形成二次设备屏幕操作装置与机器人的交互方案。配合完成巡视点位上送全域物联网平台。</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4.屏幕操作装置研发。开发二次屏幕装置机械结构、电气控制系统和软件接口，形成完整可用装置。</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5.试点应用。在1个试点站进行试点应用，验证装置功能与可靠性。</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.完成成果的第三方检测（检测机构应具备CMA或CNAS认证资质），并配合开展发明专利申请文本编制。</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7.在超特高压新型电气装备科技成果转化中试基地完成中试。</w:t>
            </w:r>
          </w:p>
        </w:tc>
        <w:tc>
          <w:tcPr>
            <w:tcW w:w="20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1.二次设备屏幕操作点亮装置2套；</w:t>
            </w:r>
          </w:p>
          <w:p>
            <w:pPr>
              <w:keepNext w:val="0"/>
              <w:keepLines w:val="0"/>
              <w:widowControl/>
              <w:suppressLineNumbers w:val="0"/>
              <w:spacing w:line="240" w:lineRule="auto"/>
              <w:ind w:firstLine="0" w:firstLineChars="0"/>
              <w:jc w:val="both"/>
              <w:textAlignment w:val="center"/>
              <w:rPr>
                <w:rFonts w:hint="eastAsia"/>
                <w:lang w:val="en-US" w:eastAsia="zh-CN"/>
              </w:rPr>
            </w:pPr>
            <w:r>
              <w:rPr>
                <w:rFonts w:hint="eastAsia" w:ascii="宋体" w:hAnsi="宋体" w:cs="宋体"/>
                <w:i w:val="0"/>
                <w:iCs w:val="0"/>
                <w:color w:val="000000"/>
                <w:kern w:val="0"/>
                <w:sz w:val="20"/>
                <w:szCs w:val="20"/>
                <w:highlight w:val="none"/>
                <w:u w:val="none"/>
                <w:lang w:val="en-US" w:eastAsia="zh-CN" w:bidi="ar"/>
              </w:rPr>
              <w:t>2.系统联调、巡视点位上送、系统测试验收、培训及试运行支持1项；</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.配合开</w:t>
            </w:r>
            <w:bookmarkStart w:id="69" w:name="_GoBack"/>
            <w:bookmarkEnd w:id="69"/>
            <w:r>
              <w:rPr>
                <w:rFonts w:hint="eastAsia" w:ascii="宋体" w:hAnsi="宋体" w:eastAsia="宋体" w:cs="宋体"/>
                <w:i w:val="0"/>
                <w:iCs w:val="0"/>
                <w:color w:val="000000"/>
                <w:kern w:val="0"/>
                <w:sz w:val="20"/>
                <w:szCs w:val="20"/>
                <w:highlight w:val="none"/>
                <w:u w:val="none"/>
                <w:lang w:val="en-US" w:eastAsia="zh-CN" w:bidi="ar"/>
              </w:rPr>
              <w:t>展发明专利申请文本编制1</w:t>
            </w:r>
            <w:r>
              <w:rPr>
                <w:rFonts w:hint="eastAsia" w:ascii="宋体" w:hAnsi="宋体" w:cs="宋体"/>
                <w:i w:val="0"/>
                <w:iCs w:val="0"/>
                <w:color w:val="000000"/>
                <w:kern w:val="0"/>
                <w:sz w:val="20"/>
                <w:szCs w:val="20"/>
                <w:highlight w:val="none"/>
                <w:u w:val="none"/>
                <w:lang w:val="en-US" w:eastAsia="zh-CN" w:bidi="ar"/>
              </w:rPr>
              <w:t>项；</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cs="宋体"/>
                <w:i w:val="0"/>
                <w:iCs w:val="0"/>
                <w:color w:val="000000"/>
                <w:kern w:val="0"/>
                <w:sz w:val="20"/>
                <w:szCs w:val="20"/>
                <w:highlight w:val="none"/>
                <w:u w:val="none"/>
                <w:lang w:val="en-US" w:eastAsia="zh-CN" w:bidi="ar"/>
              </w:rPr>
              <w:t>完成第三方检测（检测机构应具备CMA或CNAS认证资质）1项；</w:t>
            </w:r>
          </w:p>
          <w:p>
            <w:pPr>
              <w:keepNext w:val="0"/>
              <w:keepLines w:val="0"/>
              <w:widowControl/>
              <w:suppressLineNumbers w:val="0"/>
              <w:spacing w:line="240" w:lineRule="auto"/>
              <w:ind w:firstLine="0" w:firstLineChars="0"/>
              <w:jc w:val="both"/>
              <w:textAlignment w:val="center"/>
              <w:rPr>
                <w:rFonts w:hint="default"/>
                <w:lang w:val="en-US" w:eastAsia="zh-CN"/>
              </w:rPr>
            </w:pPr>
            <w:r>
              <w:rPr>
                <w:rFonts w:hint="eastAsia" w:ascii="宋体" w:hAnsi="宋体" w:cs="宋体"/>
                <w:i w:val="0"/>
                <w:iCs w:val="0"/>
                <w:color w:val="000000"/>
                <w:kern w:val="0"/>
                <w:sz w:val="20"/>
                <w:szCs w:val="20"/>
                <w:highlight w:val="none"/>
                <w:u w:val="none"/>
                <w:lang w:val="en-US" w:eastAsia="zh-CN" w:bidi="ar"/>
              </w:rPr>
              <w:t>5.在超特高压新型电气装备科技成果转化中试基地完成中试1项。</w:t>
            </w:r>
          </w:p>
        </w:tc>
        <w:tc>
          <w:tcPr>
            <w:tcW w:w="1309" w:type="dxa"/>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招标方指定地点</w:t>
            </w:r>
          </w:p>
        </w:tc>
      </w:tr>
      <w:bookmarkEnd w:id="22"/>
      <w:bookmarkEnd w:id="23"/>
    </w:tbl>
    <w:p>
      <w:pPr>
        <w:pStyle w:val="4"/>
        <w:numPr>
          <w:ilvl w:val="255"/>
          <w:numId w:val="0"/>
        </w:numPr>
        <w:spacing w:before="312" w:after="156"/>
        <w:rPr>
          <w:rFonts w:hint="eastAsia" w:ascii="宋体" w:hAnsi="宋体" w:eastAsia="宋体" w:cs="Times New Roman"/>
        </w:rPr>
      </w:pPr>
      <w:bookmarkStart w:id="30"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28495"/>
      <w:bookmarkStart w:id="32" w:name="_Toc369559711"/>
      <w:bookmarkStart w:id="33" w:name="_Toc31887"/>
      <w:bookmarkStart w:id="34" w:name="_Toc369561314"/>
      <w:bookmarkStart w:id="35" w:name="_Toc16150"/>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4"/>
        <w:numPr>
          <w:ilvl w:val="255"/>
          <w:numId w:val="0"/>
        </w:numPr>
        <w:spacing w:before="312" w:after="156"/>
        <w:rPr>
          <w:rFonts w:hint="eastAsia" w:ascii="宋体" w:hAnsi="宋体" w:eastAsia="宋体" w:cs="Times New Roman"/>
        </w:rPr>
      </w:pPr>
      <w:bookmarkStart w:id="36" w:name="_Toc2553"/>
      <w:bookmarkStart w:id="37" w:name="_Toc30826"/>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20198"/>
      <w:bookmarkStart w:id="39" w:name="_Toc28511"/>
      <w:bookmarkStart w:id="40" w:name="_Toc11564"/>
      <w:bookmarkStart w:id="41" w:name="_Toc30582"/>
      <w:bookmarkStart w:id="42" w:name="_Toc13136"/>
      <w:bookmarkStart w:id="43" w:name="_Toc10389"/>
      <w:bookmarkStart w:id="44" w:name="_Toc10829"/>
      <w:bookmarkStart w:id="45" w:name="_Toc20620"/>
      <w:bookmarkStart w:id="46" w:name="_Toc10420"/>
      <w:bookmarkStart w:id="47" w:name="_Toc29252"/>
      <w:bookmarkStart w:id="48" w:name="_Toc26310"/>
      <w:bookmarkStart w:id="49" w:name="_Toc20141"/>
      <w:bookmarkStart w:id="50" w:name="_Toc26277"/>
      <w:bookmarkStart w:id="51" w:name="_Toc28372"/>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12748"/>
      <w:bookmarkStart w:id="53" w:name="_Toc6703"/>
      <w:bookmarkStart w:id="54" w:name="_Toc22421"/>
      <w:bookmarkStart w:id="55" w:name="_Toc12828"/>
      <w:bookmarkStart w:id="56" w:name="_Toc24565"/>
      <w:bookmarkStart w:id="57" w:name="_Toc29014"/>
      <w:bookmarkStart w:id="58" w:name="_Toc3047"/>
      <w:bookmarkStart w:id="59" w:name="_Toc9332"/>
      <w:bookmarkStart w:id="60" w:name="_Toc17466"/>
      <w:bookmarkStart w:id="61" w:name="_Toc12127"/>
      <w:bookmarkStart w:id="62" w:name="_Toc11532"/>
      <w:bookmarkStart w:id="63" w:name="_Toc10191"/>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6657"/>
      <w:bookmarkStart w:id="65" w:name="_Toc1182"/>
    </w:p>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258"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室内轨道机器人无线控制二次设备液晶屏点亮技术研究与应用</w:t>
            </w:r>
          </w:p>
        </w:tc>
        <w:tc>
          <w:tcPr>
            <w:tcW w:w="2144"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1.二次设备屏幕操作点亮装置2套；</w:t>
            </w:r>
          </w:p>
          <w:p>
            <w:pPr>
              <w:keepNext w:val="0"/>
              <w:keepLines w:val="0"/>
              <w:widowControl/>
              <w:suppressLineNumbers w:val="0"/>
              <w:spacing w:line="240" w:lineRule="auto"/>
              <w:ind w:firstLine="0" w:firstLineChars="0"/>
              <w:jc w:val="both"/>
              <w:textAlignment w:val="center"/>
              <w:rPr>
                <w:rFonts w:hint="eastAsia"/>
                <w:lang w:val="en-US" w:eastAsia="zh-CN"/>
              </w:rPr>
            </w:pPr>
            <w:r>
              <w:rPr>
                <w:rFonts w:hint="eastAsia" w:ascii="宋体" w:hAnsi="宋体" w:cs="宋体"/>
                <w:i w:val="0"/>
                <w:iCs w:val="0"/>
                <w:color w:val="000000"/>
                <w:kern w:val="0"/>
                <w:sz w:val="20"/>
                <w:szCs w:val="20"/>
                <w:highlight w:val="none"/>
                <w:u w:val="none"/>
                <w:lang w:val="en-US" w:eastAsia="zh-CN" w:bidi="ar"/>
              </w:rPr>
              <w:t>2.系统联调、巡视点位上送、系统测试验收、培训及试运行支持1项；</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.配合开展发明专利申请文本编制1</w:t>
            </w:r>
            <w:r>
              <w:rPr>
                <w:rFonts w:hint="eastAsia" w:ascii="宋体" w:hAnsi="宋体" w:cs="宋体"/>
                <w:i w:val="0"/>
                <w:iCs w:val="0"/>
                <w:color w:val="000000"/>
                <w:kern w:val="0"/>
                <w:sz w:val="20"/>
                <w:szCs w:val="20"/>
                <w:highlight w:val="none"/>
                <w:u w:val="none"/>
                <w:lang w:val="en-US" w:eastAsia="zh-CN" w:bidi="ar"/>
              </w:rPr>
              <w:t>项；</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cs="宋体"/>
                <w:i w:val="0"/>
                <w:iCs w:val="0"/>
                <w:color w:val="000000"/>
                <w:kern w:val="0"/>
                <w:sz w:val="20"/>
                <w:szCs w:val="20"/>
                <w:highlight w:val="none"/>
                <w:u w:val="none"/>
                <w:lang w:val="en-US" w:eastAsia="zh-CN" w:bidi="ar"/>
              </w:rPr>
              <w:t>完成第三方检测（检测机构应具备CMA或CNAS认证资质）1项；</w:t>
            </w:r>
          </w:p>
          <w:p>
            <w:pPr>
              <w:keepNext w:val="0"/>
              <w:keepLines w:val="0"/>
              <w:widowControl/>
              <w:suppressLineNumbers w:val="0"/>
              <w:spacing w:line="240" w:lineRule="auto"/>
              <w:ind w:firstLine="0" w:firstLineChars="0"/>
              <w:jc w:val="both"/>
              <w:textAlignment w:val="center"/>
              <w:rPr>
                <w:rFonts w:hint="default"/>
                <w:lang w:val="en-US" w:eastAsia="zh-CN"/>
              </w:rPr>
            </w:pPr>
            <w:r>
              <w:rPr>
                <w:rFonts w:hint="eastAsia" w:ascii="宋体" w:hAnsi="宋体" w:cs="宋体"/>
                <w:i w:val="0"/>
                <w:iCs w:val="0"/>
                <w:color w:val="000000"/>
                <w:kern w:val="0"/>
                <w:sz w:val="20"/>
                <w:szCs w:val="20"/>
                <w:highlight w:val="none"/>
                <w:u w:val="none"/>
                <w:lang w:val="en-US" w:eastAsia="zh-CN" w:bidi="ar"/>
              </w:rPr>
              <w:t>5.在超特高压新型电气装备科技成果转化中试基地完成中试1项。</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sz w:val="24"/>
                <w:szCs w:val="24"/>
                <w:highlight w:val="none"/>
                <w:vertAlign w:val="baseline"/>
              </w:rPr>
            </w:pPr>
          </w:p>
        </w:tc>
      </w:tr>
    </w:tbl>
    <w:p>
      <w:pPr>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pPr>
    <w:r>
      <w:fldChar w:fldCharType="begin"/>
    </w:r>
    <w:r>
      <w:instrText xml:space="preserve"> PAGE   \* MERGEFORMAT </w:instrText>
    </w:r>
    <w:r>
      <w:fldChar w:fldCharType="separate"/>
    </w:r>
    <w:r>
      <w:t>7</w:t>
    </w:r>
    <w:r>
      <w:fldChar w:fldCharType="end"/>
    </w:r>
  </w:p>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2D239E"/>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1FF9CA89"/>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950168"/>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66612E"/>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D141B77"/>
    <w:rsid w:val="3D697A4C"/>
    <w:rsid w:val="3DA637B6"/>
    <w:rsid w:val="3DC70DA6"/>
    <w:rsid w:val="3E4203B8"/>
    <w:rsid w:val="3E433531"/>
    <w:rsid w:val="3E524F05"/>
    <w:rsid w:val="3E8310FD"/>
    <w:rsid w:val="3E883172"/>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7D46CC"/>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7F6709"/>
    <w:rsid w:val="5FB33FD2"/>
    <w:rsid w:val="5FBE1B5B"/>
    <w:rsid w:val="600D4872"/>
    <w:rsid w:val="602F47E9"/>
    <w:rsid w:val="604B0B39"/>
    <w:rsid w:val="607C288E"/>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A11F4C"/>
    <w:rsid w:val="65B221E6"/>
    <w:rsid w:val="65D55834"/>
    <w:rsid w:val="65DA79A0"/>
    <w:rsid w:val="65DB0E2C"/>
    <w:rsid w:val="6632293D"/>
    <w:rsid w:val="664A365E"/>
    <w:rsid w:val="669D4225"/>
    <w:rsid w:val="66D47E98"/>
    <w:rsid w:val="66FB3104"/>
    <w:rsid w:val="672158C0"/>
    <w:rsid w:val="6727190D"/>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A8219"/>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684978"/>
    <w:rsid w:val="737D0B03"/>
    <w:rsid w:val="73BB0416"/>
    <w:rsid w:val="73CDE5EA"/>
    <w:rsid w:val="73D31E97"/>
    <w:rsid w:val="73E133AB"/>
    <w:rsid w:val="73E612C3"/>
    <w:rsid w:val="74674908"/>
    <w:rsid w:val="747D4685"/>
    <w:rsid w:val="74AF4CFD"/>
    <w:rsid w:val="74B370A1"/>
    <w:rsid w:val="7550560B"/>
    <w:rsid w:val="756845CD"/>
    <w:rsid w:val="757906F5"/>
    <w:rsid w:val="758E216C"/>
    <w:rsid w:val="762F1A8F"/>
    <w:rsid w:val="763A78B0"/>
    <w:rsid w:val="763C2FCD"/>
    <w:rsid w:val="7646191B"/>
    <w:rsid w:val="769E45BB"/>
    <w:rsid w:val="76D25BC0"/>
    <w:rsid w:val="76F83549"/>
    <w:rsid w:val="77130569"/>
    <w:rsid w:val="77281135"/>
    <w:rsid w:val="77407237"/>
    <w:rsid w:val="7743475F"/>
    <w:rsid w:val="77503688"/>
    <w:rsid w:val="77DFBFC9"/>
    <w:rsid w:val="77F160D3"/>
    <w:rsid w:val="77F6629C"/>
    <w:rsid w:val="78212811"/>
    <w:rsid w:val="784D2C1B"/>
    <w:rsid w:val="78CC6C6A"/>
    <w:rsid w:val="79134850"/>
    <w:rsid w:val="791372BB"/>
    <w:rsid w:val="79604922"/>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CE82E94"/>
    <w:rsid w:val="7D7A0E23"/>
    <w:rsid w:val="7DDE371C"/>
    <w:rsid w:val="7E1FD542"/>
    <w:rsid w:val="7E245210"/>
    <w:rsid w:val="7E345FE1"/>
    <w:rsid w:val="7E3B3A15"/>
    <w:rsid w:val="7E621509"/>
    <w:rsid w:val="7E7B38B3"/>
    <w:rsid w:val="7E9868C2"/>
    <w:rsid w:val="7F2A14D1"/>
    <w:rsid w:val="7F4852A7"/>
    <w:rsid w:val="7F614579"/>
    <w:rsid w:val="7F972282"/>
    <w:rsid w:val="7F9D1EA4"/>
    <w:rsid w:val="7FC505D0"/>
    <w:rsid w:val="DD87EFA9"/>
    <w:rsid w:val="FEE3F1A0"/>
    <w:rsid w:val="FEFE7D5D"/>
    <w:rsid w:val="FFF34D9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8"/>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29"/>
    <w:qFormat/>
    <w:uiPriority w:val="0"/>
    <w:rPr>
      <w:sz w:val="18"/>
      <w:szCs w:val="18"/>
    </w:rPr>
  </w:style>
  <w:style w:type="paragraph" w:styleId="13">
    <w:name w:val="footer"/>
    <w:basedOn w:val="1"/>
    <w:link w:val="25"/>
    <w:qFormat/>
    <w:uiPriority w:val="0"/>
    <w:pPr>
      <w:tabs>
        <w:tab w:val="center" w:pos="4153"/>
        <w:tab w:val="right" w:pos="8306"/>
      </w:tabs>
      <w:snapToGrid w:val="0"/>
    </w:pPr>
    <w:rPr>
      <w:sz w:val="18"/>
    </w:rPr>
  </w:style>
  <w:style w:type="paragraph" w:styleId="14">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annotation subject"/>
    <w:basedOn w:val="10"/>
    <w:next w:val="10"/>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3"/>
    <w:qFormat/>
    <w:uiPriority w:val="0"/>
    <w:rPr>
      <w:rFonts w:ascii="Times New Roman" w:hAnsi="Times New Roman" w:eastAsia="宋体" w:cs="Times New Roman"/>
      <w:sz w:val="18"/>
      <w:szCs w:val="24"/>
    </w:rPr>
  </w:style>
  <w:style w:type="character" w:customStyle="1" w:styleId="26">
    <w:name w:val="标题 1 字符"/>
    <w:link w:val="4"/>
    <w:qFormat/>
    <w:uiPriority w:val="0"/>
    <w:rPr>
      <w:rFonts w:ascii="宋体" w:hAnsi="宋体"/>
      <w:b/>
      <w:bCs/>
      <w:kern w:val="24"/>
      <w:sz w:val="30"/>
      <w:szCs w:val="24"/>
      <w:u w:color="000000"/>
    </w:rPr>
  </w:style>
  <w:style w:type="character" w:customStyle="1" w:styleId="27">
    <w:name w:val="页眉 字符"/>
    <w:link w:val="14"/>
    <w:qFormat/>
    <w:uiPriority w:val="0"/>
    <w:rPr>
      <w:rFonts w:ascii="Times New Roman" w:hAnsi="Times New Roman" w:eastAsia="宋体" w:cs="Times New Roman"/>
      <w:sz w:val="18"/>
      <w:szCs w:val="18"/>
    </w:rPr>
  </w:style>
  <w:style w:type="character" w:customStyle="1" w:styleId="28">
    <w:name w:val="批注文字 字符"/>
    <w:link w:val="10"/>
    <w:qFormat/>
    <w:uiPriority w:val="0"/>
    <w:rPr>
      <w:rFonts w:ascii="Times New Roman" w:hAnsi="Times New Roman"/>
      <w:kern w:val="2"/>
      <w:sz w:val="21"/>
      <w:szCs w:val="24"/>
    </w:rPr>
  </w:style>
  <w:style w:type="character" w:customStyle="1" w:styleId="29">
    <w:name w:val="批注框文本 字符"/>
    <w:link w:val="12"/>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9835</Words>
  <Characters>10821</Characters>
  <Lines>128</Lines>
  <Paragraphs>114</Paragraphs>
  <TotalTime>1</TotalTime>
  <ScaleCrop>false</ScaleCrop>
  <LinksUpToDate>false</LinksUpToDate>
  <CharactersWithSpaces>10963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2025-03-20T00:10:00Z</dcterms:created>
  <dc:creator>Chen Xiangyu</dc:creator>
  <cp:lastModifiedBy>bsj_wuyingjun</cp:lastModifiedBy>
  <cp:lastPrinted>2025-03-06T15:48:00Z</cp:lastPrinted>
  <dcterms:modified xsi:type="dcterms:W3CDTF">2026-06-25T02:02:27Z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E22542D1DF3F4D59BFCFEDD6C8F46B96</vt:lpwstr>
  </property>
  <property fmtid="{D5CDD505-2E9C-101B-9397-08002B2CF9AE}" pid="4" name="KSOTemplateDocerSaveRecord">
    <vt:lpwstr>eyJoZGlkIjoiZjVhNGJiMWVmZTg4ZjFhYWZhYWFiMzBkODkwYWRkZmUiLCJ1c2VySWQiOiIyNjMwNzY1ODMifQ==</vt:lpwstr>
  </property>
</Properties>
</file>