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44"/>
          <w:szCs w:val="44"/>
          <w:highlight w:val="none"/>
          <w:lang w:val="en-US" w:eastAsia="zh-CN"/>
        </w:rPr>
      </w:pPr>
      <w:r>
        <w:rPr>
          <w:rFonts w:hint="eastAsia"/>
          <w:color w:val="auto"/>
          <w:sz w:val="44"/>
          <w:szCs w:val="44"/>
          <w:highlight w:val="none"/>
          <w:lang w:val="en-US" w:eastAsia="zh-CN"/>
        </w:rPr>
        <w:t>超高压公司百色局零星采购项目报价文件</w:t>
      </w:r>
    </w:p>
    <w:p>
      <w:pPr>
        <w:shd w:val="clear"/>
        <w:jc w:val="center"/>
        <w:rPr>
          <w:rFonts w:hint="eastAsia"/>
          <w:color w:val="auto"/>
          <w:sz w:val="28"/>
          <w:szCs w:val="28"/>
          <w:highlight w:val="none"/>
          <w:lang w:val="en-US" w:eastAsia="zh-CN"/>
        </w:rPr>
      </w:pPr>
      <w:r>
        <w:rPr>
          <w:rFonts w:hint="eastAsia"/>
          <w:color w:val="auto"/>
          <w:sz w:val="28"/>
          <w:szCs w:val="28"/>
          <w:highlight w:val="none"/>
          <w:lang w:val="en-US" w:eastAsia="zh-CN"/>
        </w:rPr>
        <w:t>【南网超高压公司百色局2026年职工创新项目（室内轨道机器人无线控制二次设备液晶屏点亮技术研究与应用）相关技术服务零星采购）】</w:t>
      </w: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3.不接受联合体投标。</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5.不允许转包。</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6.其他不得存在的情形：南方电网公司供应链管理部门暂停或取消其投标资格，且未解除的。</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专用资格资质要求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投标人具有机器人研发、安装或调试等相关业绩，并提供相关证明文件。</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shd w:val="clear"/>
                <w:lang w:val="en-US" w:eastAsia="zh-CN" w:bidi="ar"/>
              </w:rPr>
              <w:t>投标方必填</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目前90%以上二次设备液晶屏在正常情况下均处于熄屏状态，随着变电站无人化的推进，变电站将处于无人值守状态，当二次设备出现报警时，由于二次设备液晶屏处于熄屏状态，将导致监控人员无法通过室内轨道机器人对二次设备液晶屏报警信息进行查看，影响监控人员对设备状态的判断。</w:t>
            </w:r>
          </w:p>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针对上述问题，亟需一种装置，可以和巡检机器人进行交互，当机器人到达时，自动通过触碰方式点亮屏幕，辅助机器人实现二次设备全巡检。</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广西百色市右江区迎龙路69号南网超高压百色局本部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3.1 技术服务内容及标准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根据招标方设计方案，协助完成：</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1.二次设备屏幕触碰技术研究。调研站内二次设备屏幕种类、点亮方式、触摸力度、行程等参数，研发力度可调的触碰技术。</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2.触手材料与机械结构研制。针对调研结果进行触手材料研究、触手机械结构和电气控制方法研究。</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3.装置与机器人交互技术。沟通协调站内现有机器人厂家，研究软件接口、电气接口，形成二次设备屏幕操作装置与机器人的交互方案。</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4.屏幕操作装置研发。开发二次屏幕装置机械结构、电气控制系统和软件接口，形成完整可用装置。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系统功能应满足招标方确认的需求和技术服务规范要求，能够与变电站室内轨道机器人配合，无线控制点亮屏柜，并增加室内轨道机器人巡视点位，实现机器人完成二次设备屏幕显示信息巡视。配合完成巡视点位上送全域物联网平台。</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2）二次设备屏幕操作点亮装置2套，点亮装置运行稳定。</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3）系统应通过招标方组织的功能测试、现场试运行和验收评审，提交测试报告、验收资料、用户手册、运维手册等文件。</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4）系统应满足账号权限、岗位权限、审批留痕、操作日志、数据备份恢复、敏感数据权限控制和脱敏展示等安全要求，不得造成数据泄露。</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3.3 其他技术要求</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1）投标方应配合招标方编制专利文件1篇。</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2）投标方在项目实施过程中，应定期向招标方汇报项目进展，及时沟通并解决需求确认、接口权限、历史数据导入、网络策略、终端适配和试运行过程中遇到的问题。</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3）项目实施过程中形成的技术资料、系统成果及相关知识产权归招标方所有。未经招标方书面同意，投标方不得向第三方披露、使用或转让相关技术资料和成果。</w:t>
            </w:r>
          </w:p>
          <w:p>
            <w:pPr>
              <w:keepNext w:val="0"/>
              <w:keepLines w:val="0"/>
              <w:widowControl/>
              <w:suppressLineNumbers w:val="0"/>
              <w:shd w:val="clear"/>
              <w:jc w:val="left"/>
              <w:textAlignment w:val="center"/>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4）投标方应对参与项目人员开展安全教育、保密教育和信息系统安全培训，严格遵守招标方各项规章制度、网络安全、数据安全和食堂现场管理要求。</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二次设备屏幕操作点亮装置。</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系统联调、巡视点位上送、系统测试验收、培训及试运行支持。</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0" w:name="_Toc351322324"/>
            <w:bookmarkStart w:id="1" w:name="_Toc432171539"/>
            <w:bookmarkStart w:id="2" w:name="_Toc350159239"/>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配合开展发明专利申请文本编制。</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34"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tabs>
                <w:tab w:val="left" w:pos="1660"/>
              </w:tabs>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备注：具体参见南网超高压公司百色局2026年职创项目（室内轨道机器人无线控制二次设备液晶屏点亮技术研究与应用）技术规范书。</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w:t>
            </w:r>
            <w:r>
              <w:rPr>
                <w:rFonts w:hint="default" w:ascii="宋体" w:hAnsi="宋体" w:eastAsia="宋体" w:cs="宋体"/>
                <w:i w:val="0"/>
                <w:iCs w:val="0"/>
                <w:color w:val="auto"/>
                <w:kern w:val="0"/>
                <w:sz w:val="24"/>
                <w:szCs w:val="24"/>
                <w:highlight w:val="none"/>
                <w:u w:val="none"/>
                <w:lang w:val="en-US" w:eastAsia="zh-CN" w:bidi="ar"/>
              </w:rPr>
              <w:t>资质</w:t>
            </w:r>
            <w:r>
              <w:rPr>
                <w:rFonts w:hint="eastAsia" w:ascii="宋体" w:hAnsi="宋体" w:eastAsia="宋体" w:cs="宋体"/>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（同类项目业绩、</w:t>
            </w: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项目团队配置</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服务承诺与保障</w:t>
            </w:r>
            <w:r>
              <w:rPr>
                <w:rFonts w:hint="eastAsia" w:ascii="宋体" w:hAnsi="宋体" w:eastAsia="宋体" w:cs="宋体"/>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南网超高压公司百色局2026年职工创新项目（室内轨道机器人无线控制二次设备液晶屏点亮技术研究与应用）相关技术服务零星采购）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701"/>
        <w:gridCol w:w="1387"/>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南网超高压公司百色局2026年职工创新项目（室内轨道机器人无线控制二次设备液晶屏点亮技术研究与应用）相关技术服务零星采购）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387"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二次设备屏幕操作点亮装置。</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2套</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系统联调、巡视点位上送、系统测试验收、培训及试运行支持。</w:t>
            </w:r>
          </w:p>
        </w:tc>
        <w:tc>
          <w:tcPr>
            <w:tcW w:w="1387"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配合开展发明专利申请文本编制。</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完成第三方检测（检测机构应具备CMA或CNAS认证资质）。</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在超特高压新型电气装备科技成果转化中试基地完成中试。</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bookmarkEnd w:id="0"/>
    <w:bookmarkEnd w:id="1"/>
    <w:bookmarkEnd w:id="2"/>
    <w:p>
      <w:pPr>
        <w:rPr>
          <w:rFonts w:hint="eastAsia" w:ascii="宋体" w:hAnsi="宋体"/>
          <w:b/>
          <w:bCs/>
          <w:color w:val="auto"/>
          <w:sz w:val="28"/>
          <w:szCs w:val="28"/>
          <w:highlight w:val="none"/>
          <w:u w:val="none"/>
          <w:lang w:val="en-US" w:eastAsia="zh-CN"/>
        </w:rPr>
      </w:pPr>
      <w:r>
        <w:rPr>
          <w:rFonts w:hint="eastAsia" w:ascii="宋体" w:hAnsi="宋体"/>
          <w:b/>
          <w:bCs/>
          <w:color w:val="auto"/>
          <w:sz w:val="28"/>
          <w:szCs w:val="28"/>
          <w:highlight w:val="none"/>
          <w:u w:val="none"/>
          <w:lang w:val="en-US" w:eastAsia="zh-CN"/>
        </w:rPr>
        <w:br w:type="page"/>
      </w:r>
    </w:p>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numPr>
          <w:ilvl w:val="0"/>
          <w:numId w:val="0"/>
        </w:numPr>
        <w:shd w:val="clear"/>
        <w:ind w:firstLine="643" w:firstLineChars="200"/>
        <w:rPr>
          <w:rFonts w:hint="eastAsia"/>
          <w:color w:val="auto"/>
          <w:highlight w:val="none"/>
          <w:lang w:val="en-US" w:eastAsia="zh-CN"/>
        </w:rPr>
      </w:pPr>
      <w:r>
        <w:rPr>
          <w:rFonts w:hint="eastAsia"/>
          <w:b/>
          <w:bCs/>
          <w:color w:val="auto"/>
          <w:highlight w:val="none"/>
          <w:lang w:val="en-US" w:eastAsia="zh-CN"/>
        </w:rPr>
        <w:t>1.</w:t>
      </w:r>
      <w:r>
        <w:rPr>
          <w:rFonts w:hint="eastAsia"/>
          <w:color w:val="auto"/>
          <w:highlight w:val="none"/>
          <w:lang w:val="en-US" w:eastAsia="zh-CN"/>
        </w:rPr>
        <w:t>商务资质文件：营业执照、资质与信用、商务响应度、相关资质证书等；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2.技术服务方案：同类项目业绩、技术服务方案、项目团队配置、服务承诺与保障等；</w:t>
      </w:r>
    </w:p>
    <w:p>
      <w:pPr>
        <w:pStyle w:val="2"/>
        <w:numPr>
          <w:ilvl w:val="0"/>
          <w:numId w:val="0"/>
        </w:numPr>
        <w:shd w:val="clear"/>
        <w:ind w:firstLine="640" w:firstLineChars="200"/>
        <w:rPr>
          <w:rFonts w:hint="default"/>
          <w:color w:val="auto"/>
          <w:highlight w:val="none"/>
          <w:lang w:val="en-US" w:eastAsia="zh-CN"/>
        </w:rPr>
      </w:pPr>
      <w:r>
        <w:rPr>
          <w:rFonts w:hint="eastAsia"/>
          <w:color w:val="auto"/>
          <w:highlight w:val="none"/>
          <w:lang w:val="en-US" w:eastAsia="zh-CN"/>
        </w:rPr>
        <w:t>3.</w:t>
      </w:r>
      <w:r>
        <w:rPr>
          <w:rFonts w:hint="default"/>
          <w:color w:val="auto"/>
          <w:highlight w:val="none"/>
          <w:lang w:val="en-US" w:eastAsia="zh-CN"/>
        </w:rPr>
        <w:t>投标商务、技术偏差表；</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其他证明文件（如有）</w:t>
      </w:r>
      <w:r>
        <w:rPr>
          <w:rFonts w:hint="eastAsia"/>
          <w:color w:val="auto"/>
          <w:highlight w:val="none"/>
          <w:lang w:val="en-US" w:eastAsia="zh-CN"/>
        </w:rPr>
        <w:t>。</w:t>
      </w:r>
    </w:p>
    <w:p>
      <w:pPr>
        <w:pStyle w:val="2"/>
        <w:shd w:val="clear"/>
        <w:rPr>
          <w:rFonts w:hint="default" w:cstheme="minorBidi"/>
          <w:b/>
          <w:bCs/>
          <w:color w:val="auto"/>
          <w:kern w:val="44"/>
          <w:sz w:val="28"/>
          <w:szCs w:val="28"/>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2864C3"/>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872EF9"/>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027A4D"/>
    <w:rsid w:val="0E71136B"/>
    <w:rsid w:val="0E8B2745"/>
    <w:rsid w:val="0E9B4DDB"/>
    <w:rsid w:val="0EA565F4"/>
    <w:rsid w:val="0ECE09DE"/>
    <w:rsid w:val="0F066991"/>
    <w:rsid w:val="0F334549"/>
    <w:rsid w:val="0F3801C8"/>
    <w:rsid w:val="0F7200FC"/>
    <w:rsid w:val="0F9E41A6"/>
    <w:rsid w:val="0FE713A1"/>
    <w:rsid w:val="0FEF5E29"/>
    <w:rsid w:val="0FF33B0A"/>
    <w:rsid w:val="1031515E"/>
    <w:rsid w:val="1045135D"/>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7F464D"/>
    <w:rsid w:val="13855EF2"/>
    <w:rsid w:val="13AC3248"/>
    <w:rsid w:val="13C85393"/>
    <w:rsid w:val="13D17E3E"/>
    <w:rsid w:val="13E63CB1"/>
    <w:rsid w:val="140E7F4F"/>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75B13"/>
    <w:rsid w:val="18290DB1"/>
    <w:rsid w:val="185138C0"/>
    <w:rsid w:val="189F058B"/>
    <w:rsid w:val="18D97540"/>
    <w:rsid w:val="19297752"/>
    <w:rsid w:val="196F285C"/>
    <w:rsid w:val="19761FB7"/>
    <w:rsid w:val="198829AE"/>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EE6018D"/>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263F5B"/>
    <w:rsid w:val="2347482F"/>
    <w:rsid w:val="23480721"/>
    <w:rsid w:val="23803B7C"/>
    <w:rsid w:val="23832A6A"/>
    <w:rsid w:val="239C519E"/>
    <w:rsid w:val="23AC6110"/>
    <w:rsid w:val="23B3680B"/>
    <w:rsid w:val="24453519"/>
    <w:rsid w:val="24806DED"/>
    <w:rsid w:val="249E1E21"/>
    <w:rsid w:val="24B204C6"/>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40B79"/>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84FEE"/>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63CF5"/>
    <w:rsid w:val="33B96A2E"/>
    <w:rsid w:val="33DA7217"/>
    <w:rsid w:val="34134285"/>
    <w:rsid w:val="346F74D1"/>
    <w:rsid w:val="34816FDA"/>
    <w:rsid w:val="34B90705"/>
    <w:rsid w:val="34C944EE"/>
    <w:rsid w:val="34C97625"/>
    <w:rsid w:val="34CE1084"/>
    <w:rsid w:val="35152B4C"/>
    <w:rsid w:val="35190544"/>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7FE86BC"/>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24993"/>
    <w:rsid w:val="3B5447A9"/>
    <w:rsid w:val="3B56235E"/>
    <w:rsid w:val="3B567E7E"/>
    <w:rsid w:val="3B85201F"/>
    <w:rsid w:val="3BAD52C5"/>
    <w:rsid w:val="3BBA118B"/>
    <w:rsid w:val="3BC37212"/>
    <w:rsid w:val="3C1C1216"/>
    <w:rsid w:val="3C530137"/>
    <w:rsid w:val="3C531B18"/>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4F0514"/>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B51A39"/>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0D64EF1"/>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8D0373"/>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46096"/>
    <w:rsid w:val="55987B87"/>
    <w:rsid w:val="55CC6ABE"/>
    <w:rsid w:val="55FD1930"/>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994642"/>
    <w:rsid w:val="5FA63305"/>
    <w:rsid w:val="5FA67933"/>
    <w:rsid w:val="5FB16FE0"/>
    <w:rsid w:val="5FD06B1B"/>
    <w:rsid w:val="5FDD12ED"/>
    <w:rsid w:val="60166456"/>
    <w:rsid w:val="60214819"/>
    <w:rsid w:val="603440C9"/>
    <w:rsid w:val="604E1ADC"/>
    <w:rsid w:val="60590083"/>
    <w:rsid w:val="607A6D4F"/>
    <w:rsid w:val="608F7837"/>
    <w:rsid w:val="60A24279"/>
    <w:rsid w:val="60E22A31"/>
    <w:rsid w:val="60F63A5C"/>
    <w:rsid w:val="610143EF"/>
    <w:rsid w:val="61615891"/>
    <w:rsid w:val="618A53C3"/>
    <w:rsid w:val="61E360F6"/>
    <w:rsid w:val="62137AD9"/>
    <w:rsid w:val="62260CC7"/>
    <w:rsid w:val="62A551E6"/>
    <w:rsid w:val="62E16AB1"/>
    <w:rsid w:val="63C441CF"/>
    <w:rsid w:val="63C70A2B"/>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6EDC7D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C85C83"/>
    <w:rsid w:val="6DEB756A"/>
    <w:rsid w:val="6E3D3A64"/>
    <w:rsid w:val="6E532497"/>
    <w:rsid w:val="6E7B7723"/>
    <w:rsid w:val="6E7D4622"/>
    <w:rsid w:val="6E9E421E"/>
    <w:rsid w:val="6EA31FFC"/>
    <w:rsid w:val="6EE67D23"/>
    <w:rsid w:val="6EEB573C"/>
    <w:rsid w:val="6EEF0AC7"/>
    <w:rsid w:val="6EF7385A"/>
    <w:rsid w:val="6F2B1AF5"/>
    <w:rsid w:val="6F5826D7"/>
    <w:rsid w:val="6F74467A"/>
    <w:rsid w:val="6F792228"/>
    <w:rsid w:val="6FD35BC1"/>
    <w:rsid w:val="6FDC50BE"/>
    <w:rsid w:val="70016D36"/>
    <w:rsid w:val="70037035"/>
    <w:rsid w:val="70420083"/>
    <w:rsid w:val="70A63964"/>
    <w:rsid w:val="70AB7034"/>
    <w:rsid w:val="70B04223"/>
    <w:rsid w:val="70E36DDC"/>
    <w:rsid w:val="71444B25"/>
    <w:rsid w:val="7159417E"/>
    <w:rsid w:val="71B9443B"/>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9E1A1F"/>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F63DA"/>
    <w:rsid w:val="77793B9E"/>
    <w:rsid w:val="77AF0743"/>
    <w:rsid w:val="77AF42F0"/>
    <w:rsid w:val="77F45ACF"/>
    <w:rsid w:val="77F67ACE"/>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9FA0418"/>
    <w:rsid w:val="7A2B5634"/>
    <w:rsid w:val="7A4A6FE5"/>
    <w:rsid w:val="7A5A52FD"/>
    <w:rsid w:val="7A683935"/>
    <w:rsid w:val="7ACE4BD1"/>
    <w:rsid w:val="7B46422A"/>
    <w:rsid w:val="7BAD5E10"/>
    <w:rsid w:val="7BF75127"/>
    <w:rsid w:val="7C041C0D"/>
    <w:rsid w:val="7C0C5BB9"/>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3E1216"/>
    <w:rsid w:val="7F6840C9"/>
    <w:rsid w:val="7F7C1C99"/>
    <w:rsid w:val="7F99CE4B"/>
    <w:rsid w:val="7FBF1C69"/>
    <w:rsid w:val="7FC044BF"/>
    <w:rsid w:val="7FFE686F"/>
    <w:rsid w:val="8C798DF3"/>
    <w:rsid w:val="F5B7AB3B"/>
    <w:rsid w:val="F9BE83F1"/>
    <w:rsid w:val="F9D7D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6">
    <w:name w:val="Plain Text"/>
    <w:basedOn w:val="1"/>
    <w:qFormat/>
    <w:uiPriority w:val="0"/>
    <w:rPr>
      <w:rFonts w:ascii="宋体" w:hAnsi="Courier New"/>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bsj_tanzili</dc:creator>
  <cp:lastModifiedBy>bsj_wuyingjun</cp:lastModifiedBy>
  <dcterms:modified xsi:type="dcterms:W3CDTF">2026-07-01T03:30:04Z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ADA7E0B5E92144748AEFE39127548129</vt:lpwstr>
  </property>
</Properties>
</file>