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方正小标宋_GBK" w:hAnsi="方正小标宋_GBK" w:eastAsia="方正小标宋_GBK" w:cs="方正小标宋_GBK"/>
          <w:color w:val="auto"/>
          <w:sz w:val="44"/>
          <w:szCs w:val="44"/>
          <w:lang w:val="en-US" w:eastAsia="zh-CN"/>
        </w:rPr>
      </w:pPr>
      <w:r>
        <w:rPr>
          <w:rFonts w:hint="eastAsia" w:ascii="方正小标宋_GBK" w:hAnsi="方正小标宋_GBK" w:eastAsia="方正小标宋_GBK" w:cs="方正小标宋_GBK"/>
          <w:color w:val="auto"/>
          <w:sz w:val="44"/>
          <w:szCs w:val="44"/>
          <w:lang w:val="en-US" w:eastAsia="zh-CN"/>
        </w:rPr>
        <w:t>南网超高压公司百色局2026年职工创新技术服务零星采购综合评分标准</w:t>
      </w:r>
    </w:p>
    <w:p>
      <w:pPr>
        <w:rPr>
          <w:rFonts w:hint="eastAsia"/>
        </w:rPr>
      </w:pP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确保南网超高压公司百色局2026年职工创新项目顺利实施，根据《超高压输电公司零星采购管理业务指导书》相关要求，百色局2026年职工创新项目零星采购采用综合评分法开展采购。评审委员会将按照商务、技术、价格进行量化评分，总分100分，以质量、价格、售后综合最优的供应商为第一成交候选人。</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一、评分分值构成</w:t>
      </w:r>
    </w:p>
    <w:tbl>
      <w:tblPr>
        <w:tblStyle w:val="5"/>
        <w:tblW w:w="9024"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33"/>
        <w:gridCol w:w="1636"/>
        <w:gridCol w:w="1172"/>
        <w:gridCol w:w="48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评分项目</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分值</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权重占比</w:t>
            </w:r>
          </w:p>
        </w:tc>
        <w:tc>
          <w:tcPr>
            <w:tcW w:w="48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模块得分折算说明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商务评审</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100分</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10%</w:t>
            </w:r>
          </w:p>
        </w:tc>
        <w:tc>
          <w:tcPr>
            <w:tcW w:w="48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模块得分×10%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技术评审</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100分</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40%</w:t>
            </w:r>
          </w:p>
        </w:tc>
        <w:tc>
          <w:tcPr>
            <w:tcW w:w="48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模块得分×40%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价格评审</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100分</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50%</w:t>
            </w:r>
          </w:p>
        </w:tc>
        <w:tc>
          <w:tcPr>
            <w:tcW w:w="48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模块得分×50%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13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综合得分</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100%</w:t>
            </w:r>
          </w:p>
        </w:tc>
        <w:tc>
          <w:tcPr>
            <w:tcW w:w="48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default" w:ascii="仿宋_GB2312" w:hAnsi="仿宋_GB2312" w:eastAsia="仿宋_GB2312" w:cs="仿宋_GB2312"/>
                <w:i w:val="0"/>
                <w:iCs w:val="0"/>
                <w:color w:val="333333"/>
                <w:kern w:val="0"/>
                <w:sz w:val="22"/>
                <w:szCs w:val="22"/>
                <w:u w:val="none"/>
                <w:lang w:val="en-US" w:eastAsia="zh-CN" w:bidi="ar"/>
              </w:rPr>
              <w:t>三项折算后相加，保留两位小数</w:t>
            </w:r>
          </w:p>
        </w:tc>
      </w:tr>
    </w:tbl>
    <w:p/>
    <w:p>
      <w:pPr>
        <w:keepNext w:val="0"/>
        <w:keepLines w:val="0"/>
        <w:pageBreakBefore w:val="0"/>
        <w:widowControl w:val="0"/>
        <w:numPr>
          <w:ilvl w:val="0"/>
          <w:numId w:val="1"/>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详细评分标准</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jc w:val="both"/>
        <w:textAlignment w:val="auto"/>
        <w:outlineLvl w:val="9"/>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（一）商务评审（100）分</w:t>
      </w:r>
    </w:p>
    <w:tbl>
      <w:tblPr>
        <w:tblStyle w:val="5"/>
        <w:tblW w:w="9024"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27"/>
        <w:gridCol w:w="1830"/>
        <w:gridCol w:w="1020"/>
        <w:gridCol w:w="52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序号</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评分因素</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分值</w:t>
            </w:r>
          </w:p>
        </w:tc>
        <w:tc>
          <w:tcPr>
            <w:tcW w:w="5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详细评审分项要素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1"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1</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资质与信用</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40</w:t>
            </w:r>
          </w:p>
        </w:tc>
        <w:tc>
          <w:tcPr>
            <w:tcW w:w="5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具有独立法人资格且营业执照有效；“信用中国”无失信记录截图；近一年财务报表或银行资信证明无资不抵债。材料齐全得4</w:t>
            </w:r>
            <w:r>
              <w:rPr>
                <w:rFonts w:hint="default" w:ascii="仿宋_GB2312" w:hAnsi="仿宋_GB2312" w:eastAsia="仿宋_GB2312" w:cs="仿宋_GB2312"/>
                <w:i w:val="0"/>
                <w:iCs w:val="0"/>
                <w:color w:val="333333"/>
                <w:kern w:val="0"/>
                <w:sz w:val="22"/>
                <w:szCs w:val="22"/>
                <w:u w:val="none"/>
                <w:lang w:val="en-US" w:eastAsia="zh-CN" w:bidi="ar"/>
              </w:rPr>
              <w:t>0分，缺一项扣10分。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6"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2</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商务响应度</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30</w:t>
            </w:r>
          </w:p>
        </w:tc>
        <w:tc>
          <w:tcPr>
            <w:tcW w:w="5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报价文件条款、技术规范书条款全部响应要求得满分，出现非实质性条款负偏差（不满足采购要求），每项扣5分，本项最低得0分。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51" w:hRule="atLeast"/>
        </w:trPr>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3</w:t>
            </w:r>
          </w:p>
        </w:tc>
        <w:tc>
          <w:tcPr>
            <w:tcW w:w="18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证书</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30</w:t>
            </w:r>
          </w:p>
        </w:tc>
        <w:tc>
          <w:tcPr>
            <w:tcW w:w="524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按照证书类别或等级进行计分：具有质量管理体系认证证书、环境管理体系认证证书、职业健康安全管理体系认证证书、信息技术服务管理体系认证证书、知识产权管理体系认证证书等采购项目领域相关专业证书，每项5分，最高得30分。</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注：提供有效的认证证书等证明材料，未提供佐证材料相关证书不得分。</w:t>
            </w:r>
          </w:p>
        </w:tc>
      </w:tr>
    </w:tbl>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jc w:val="both"/>
        <w:textAlignment w:val="auto"/>
        <w:outlineLvl w:val="9"/>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（二）技术评审（100）分</w:t>
      </w:r>
    </w:p>
    <w:tbl>
      <w:tblPr>
        <w:tblStyle w:val="5"/>
        <w:tblW w:w="9024" w:type="dxa"/>
        <w:tblInd w:w="10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2"/>
        <w:gridCol w:w="1860"/>
        <w:gridCol w:w="1020"/>
        <w:gridCol w:w="52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6" w:hRule="atLeast"/>
        </w:trPr>
        <w:tc>
          <w:tcPr>
            <w:tcW w:w="912"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序号</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评分因素</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分值</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详细评审分项要素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12"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1</w:t>
            </w:r>
          </w:p>
        </w:tc>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同类项目业绩</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20</w:t>
            </w:r>
          </w:p>
        </w:tc>
        <w:tc>
          <w:tcPr>
            <w:tcW w:w="523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2023年1月1日至投标截止之日，完成过同类项目每项得5分，需提供合同等证明业绩的资料复印件/扫描件，最多得20分。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2" w:hRule="atLeast"/>
        </w:trPr>
        <w:tc>
          <w:tcPr>
            <w:tcW w:w="91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1</w:t>
            </w:r>
          </w:p>
        </w:tc>
        <w:tc>
          <w:tcPr>
            <w:tcW w:w="1860"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技术服务方案</w:t>
            </w:r>
          </w:p>
        </w:tc>
        <w:tc>
          <w:tcPr>
            <w:tcW w:w="1020"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40</w:t>
            </w:r>
          </w:p>
        </w:tc>
        <w:tc>
          <w:tcPr>
            <w:tcW w:w="5232"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优（34-40分）</w:t>
            </w:r>
            <w:r>
              <w:rPr>
                <w:rFonts w:hint="default" w:ascii="仿宋_GB2312" w:hAnsi="仿宋_GB2312" w:eastAsia="仿宋_GB2312" w:cs="仿宋_GB2312"/>
                <w:i w:val="0"/>
                <w:iCs w:val="0"/>
                <w:color w:val="333333"/>
                <w:kern w:val="0"/>
                <w:sz w:val="22"/>
                <w:szCs w:val="22"/>
                <w:u w:val="none"/>
                <w:lang w:val="en-US" w:eastAsia="zh-CN" w:bidi="ar"/>
              </w:rPr>
              <w:t>：方案完整、贴合需求、路线清晰、可实施性强；</w:t>
            </w:r>
            <w:r>
              <w:rPr>
                <w:rFonts w:hint="default" w:ascii="仿宋_GB2312" w:hAnsi="仿宋_GB2312" w:eastAsia="仿宋_GB2312" w:cs="仿宋_GB2312"/>
                <w:i w:val="0"/>
                <w:iCs w:val="0"/>
                <w:color w:val="333333"/>
                <w:kern w:val="0"/>
                <w:sz w:val="22"/>
                <w:szCs w:val="22"/>
                <w:u w:val="none"/>
                <w:lang w:val="en-US" w:eastAsia="zh-CN" w:bidi="ar"/>
              </w:rPr>
              <w:br w:type="textWrapping"/>
            </w:r>
            <w:r>
              <w:rPr>
                <w:rFonts w:hint="default" w:ascii="仿宋_GB2312" w:hAnsi="仿宋_GB2312" w:eastAsia="仿宋_GB2312" w:cs="仿宋_GB2312"/>
                <w:i w:val="0"/>
                <w:iCs w:val="0"/>
                <w:color w:val="333333"/>
                <w:kern w:val="0"/>
                <w:sz w:val="22"/>
                <w:szCs w:val="22"/>
                <w:u w:val="none"/>
                <w:lang w:val="en-US" w:eastAsia="zh-CN" w:bidi="ar"/>
              </w:rPr>
              <w:t>良（24</w:t>
            </w:r>
            <w:r>
              <w:rPr>
                <w:rFonts w:hint="eastAsia" w:ascii="仿宋_GB2312" w:hAnsi="仿宋_GB2312" w:eastAsia="仿宋_GB2312" w:cs="仿宋_GB2312"/>
                <w:i w:val="0"/>
                <w:iCs w:val="0"/>
                <w:color w:val="333333"/>
                <w:kern w:val="0"/>
                <w:sz w:val="22"/>
                <w:szCs w:val="22"/>
                <w:u w:val="none"/>
                <w:lang w:val="en-US" w:eastAsia="zh-CN" w:bidi="ar"/>
              </w:rPr>
              <w:t>-</w:t>
            </w:r>
            <w:r>
              <w:rPr>
                <w:rFonts w:hint="default" w:ascii="仿宋_GB2312" w:hAnsi="仿宋_GB2312" w:eastAsia="仿宋_GB2312" w:cs="仿宋_GB2312"/>
                <w:i w:val="0"/>
                <w:iCs w:val="0"/>
                <w:color w:val="333333"/>
                <w:kern w:val="0"/>
                <w:sz w:val="22"/>
                <w:szCs w:val="22"/>
                <w:u w:val="none"/>
                <w:lang w:val="en-US" w:eastAsia="zh-CN" w:bidi="ar"/>
              </w:rPr>
              <w:t>33分）：方案较完整，基本满足需求；</w:t>
            </w:r>
            <w:r>
              <w:rPr>
                <w:rFonts w:hint="default" w:ascii="仿宋_GB2312" w:hAnsi="仿宋_GB2312" w:eastAsia="仿宋_GB2312" w:cs="仿宋_GB2312"/>
                <w:i w:val="0"/>
                <w:iCs w:val="0"/>
                <w:color w:val="333333"/>
                <w:kern w:val="0"/>
                <w:sz w:val="22"/>
                <w:szCs w:val="22"/>
                <w:u w:val="none"/>
                <w:lang w:val="en-US" w:eastAsia="zh-CN" w:bidi="ar"/>
              </w:rPr>
              <w:br w:type="textWrapping"/>
            </w:r>
            <w:r>
              <w:rPr>
                <w:rFonts w:hint="default" w:ascii="仿宋_GB2312" w:hAnsi="仿宋_GB2312" w:eastAsia="仿宋_GB2312" w:cs="仿宋_GB2312"/>
                <w:i w:val="0"/>
                <w:iCs w:val="0"/>
                <w:color w:val="333333"/>
                <w:kern w:val="0"/>
                <w:sz w:val="22"/>
                <w:szCs w:val="22"/>
                <w:u w:val="none"/>
                <w:lang w:val="en-US" w:eastAsia="zh-CN" w:bidi="ar"/>
              </w:rPr>
              <w:t>一般（0</w:t>
            </w:r>
            <w:r>
              <w:rPr>
                <w:rFonts w:hint="eastAsia" w:ascii="仿宋_GB2312" w:hAnsi="仿宋_GB2312" w:eastAsia="仿宋_GB2312" w:cs="仿宋_GB2312"/>
                <w:i w:val="0"/>
                <w:iCs w:val="0"/>
                <w:color w:val="333333"/>
                <w:kern w:val="0"/>
                <w:sz w:val="22"/>
                <w:szCs w:val="22"/>
                <w:u w:val="none"/>
                <w:lang w:val="en-US" w:eastAsia="zh-CN" w:bidi="ar"/>
              </w:rPr>
              <w:t>-</w:t>
            </w:r>
            <w:r>
              <w:rPr>
                <w:rFonts w:hint="default" w:ascii="仿宋_GB2312" w:hAnsi="仿宋_GB2312" w:eastAsia="仿宋_GB2312" w:cs="仿宋_GB2312"/>
                <w:i w:val="0"/>
                <w:iCs w:val="0"/>
                <w:color w:val="333333"/>
                <w:kern w:val="0"/>
                <w:sz w:val="22"/>
                <w:szCs w:val="22"/>
                <w:u w:val="none"/>
                <w:lang w:val="en-US" w:eastAsia="zh-CN" w:bidi="ar"/>
              </w:rPr>
              <w:t>23分）：方案有缺漏、偏离需求或可行性差。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4" w:hRule="atLeast"/>
        </w:trPr>
        <w:tc>
          <w:tcPr>
            <w:tcW w:w="91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2</w:t>
            </w:r>
          </w:p>
        </w:tc>
        <w:tc>
          <w:tcPr>
            <w:tcW w:w="18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项目团队配置</w:t>
            </w:r>
          </w:p>
        </w:tc>
        <w:tc>
          <w:tcPr>
            <w:tcW w:w="102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25</w:t>
            </w:r>
          </w:p>
        </w:tc>
        <w:tc>
          <w:tcPr>
            <w:tcW w:w="523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根据拟投入的技术人员数量、专业素质及能力、资质证书、从业经历等进行综合评判比较打分：</w:t>
            </w:r>
          </w:p>
          <w:p>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1）采购标的相关专业副高级及以上职称，专业素质及能力较强、相关从业经历丰富，每派1名得4分，本项最多8分；（2）采购标的相关专业中级职称，专业素质及能力良好、相关从业经历丰富，每派1名得2分，本项最多12分；（3）采购标的相关专业助理级职称，专业素质及能力一般、相关从业经历一般，每派1名得1分，本项最多8分；（4）其他无职称人员不得分。总得分为各细项加总，最高25分。</w:t>
            </w:r>
          </w:p>
          <w:p>
            <w:pPr>
              <w:keepNext w:val="0"/>
              <w:keepLines w:val="0"/>
              <w:widowControl/>
              <w:numPr>
                <w:ilvl w:val="0"/>
                <w:numId w:val="0"/>
              </w:numPr>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（需同时提供学历及资格证书、从业经历、投标截止日前3个月的社保购买证明等材料，否则不得分）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7" w:hRule="atLeast"/>
        </w:trPr>
        <w:tc>
          <w:tcPr>
            <w:tcW w:w="91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3</w:t>
            </w:r>
          </w:p>
        </w:tc>
        <w:tc>
          <w:tcPr>
            <w:tcW w:w="1860" w:type="dxa"/>
            <w:tcBorders>
              <w:top w:val="single" w:color="auto"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服务承诺与保障</w:t>
            </w:r>
          </w:p>
        </w:tc>
        <w:tc>
          <w:tcPr>
            <w:tcW w:w="102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15</w:t>
            </w:r>
          </w:p>
        </w:tc>
        <w:tc>
          <w:tcPr>
            <w:tcW w:w="5232"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满足技术规范书的服务质量承诺及保证措施要求，得基础分5分；每存在1项优于技术规范书要求的加5分，最多加10分。</w:t>
            </w:r>
          </w:p>
        </w:tc>
      </w:tr>
    </w:tbl>
    <w:p/>
    <w:p>
      <w:pPr>
        <w:keepNext w:val="0"/>
        <w:keepLines w:val="0"/>
        <w:pageBreakBefore w:val="0"/>
        <w:widowControl w:val="0"/>
        <w:numPr>
          <w:ilvl w:val="0"/>
          <w:numId w:val="2"/>
        </w:numPr>
        <w:kinsoku/>
        <w:wordWrap/>
        <w:overflowPunct/>
        <w:topLinePunct w:val="0"/>
        <w:autoSpaceDE/>
        <w:autoSpaceDN/>
        <w:bidi w:val="0"/>
        <w:adjustRightInd/>
        <w:snapToGrid w:val="0"/>
        <w:spacing w:line="348" w:lineRule="auto"/>
        <w:ind w:right="0" w:rightChars="0"/>
        <w:jc w:val="both"/>
        <w:textAlignment w:val="auto"/>
        <w:outlineLvl w:val="9"/>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价格评审（100）分</w:t>
      </w:r>
    </w:p>
    <w:tbl>
      <w:tblPr>
        <w:tblStyle w:val="5"/>
        <w:tblW w:w="9024"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76"/>
        <w:gridCol w:w="72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7" w:hRule="atLeast"/>
        </w:trPr>
        <w:tc>
          <w:tcPr>
            <w:tcW w:w="177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价格分计算方法名称</w:t>
            </w:r>
          </w:p>
        </w:tc>
        <w:tc>
          <w:tcPr>
            <w:tcW w:w="7248"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二次基准单边扣分法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8" w:hRule="atLeast"/>
        </w:trPr>
        <w:tc>
          <w:tcPr>
            <w:tcW w:w="1776" w:type="dxa"/>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价格评审标准</w:t>
            </w:r>
          </w:p>
        </w:tc>
        <w:tc>
          <w:tcPr>
            <w:tcW w:w="7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评标基准价计算范围：</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所有进入详评的投标人评标价进行一次平均，高于该平均值50%的评标价不纳入评标基准价的计算范围</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价格部分评分计算方法采用二次基准单边扣分法具体如下：</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（1）价格分以基准平均价为依据当评标价等于或低于基准平均价时计为报价满分；</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2）基准平均价计算方法：取进入评标基准价计算范围的各投标厂商评标价的平均值（大于5家投标供应商时去掉最高、最低价格后计算平均价如果出现并列最高或最低价则只去掉1个最高或最低价）作为A1然后将A1和进入A1平均的最低评标价再进行一次平均得出A2作为基准平均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1776"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微软雅黑" w:hAnsi="微软雅黑" w:eastAsia="微软雅黑" w:cs="微软雅黑"/>
                <w:b/>
                <w:bCs/>
                <w:i w:val="0"/>
                <w:iCs w:val="0"/>
                <w:color w:val="333333"/>
                <w:kern w:val="0"/>
                <w:sz w:val="22"/>
                <w:szCs w:val="22"/>
                <w:u w:val="none"/>
                <w:lang w:val="en-US" w:eastAsia="zh-CN" w:bidi="ar"/>
              </w:rPr>
            </w:pPr>
            <w:r>
              <w:rPr>
                <w:rFonts w:hint="eastAsia" w:ascii="微软雅黑" w:hAnsi="微软雅黑" w:eastAsia="微软雅黑" w:cs="微软雅黑"/>
                <w:b/>
                <w:bCs/>
                <w:i w:val="0"/>
                <w:iCs w:val="0"/>
                <w:color w:val="333333"/>
                <w:kern w:val="0"/>
                <w:sz w:val="22"/>
                <w:szCs w:val="22"/>
                <w:u w:val="none"/>
                <w:lang w:val="en-US" w:eastAsia="zh-CN" w:bidi="ar"/>
              </w:rPr>
              <w:t>价格分计算公式</w:t>
            </w:r>
          </w:p>
        </w:tc>
        <w:tc>
          <w:tcPr>
            <w:tcW w:w="72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Q价=报价满分-Q扣。</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Q扣=R*|δ偏|</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|δ偏|=|（评标价格-基准平均价）/基准平均价*100|</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其中：Q扣为投标厂商评标价偏离基准平均价的扣分值；</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|δ偏|为评标价格与基准平均价偏差百分数的绝对值</w:t>
            </w:r>
          </w:p>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R为|δ偏|与Q扣的关系系数，当Q扣大于等于报价满分时Q价一律为零分。δ偏&lt;0时R低=0；δ偏&gt;0时R高=1。</w:t>
            </w:r>
          </w:p>
          <w:p>
            <w:pPr>
              <w:keepNext w:val="0"/>
              <w:keepLines w:val="0"/>
              <w:widowControl/>
              <w:suppressLineNumbers w:val="0"/>
              <w:jc w:val="left"/>
              <w:textAlignment w:val="center"/>
              <w:rPr>
                <w:rFonts w:hint="default" w:ascii="仿宋_GB2312" w:hAnsi="仿宋_GB2312" w:eastAsia="仿宋_GB2312" w:cs="仿宋_GB2312"/>
                <w:i w:val="0"/>
                <w:iCs w:val="0"/>
                <w:color w:val="333333"/>
                <w:kern w:val="0"/>
                <w:sz w:val="22"/>
                <w:szCs w:val="22"/>
                <w:u w:val="none"/>
                <w:lang w:val="en-US" w:eastAsia="zh-CN" w:bidi="ar"/>
              </w:rPr>
            </w:pPr>
            <w:r>
              <w:rPr>
                <w:rFonts w:hint="eastAsia" w:ascii="仿宋_GB2312" w:hAnsi="仿宋_GB2312" w:eastAsia="仿宋_GB2312" w:cs="仿宋_GB2312"/>
                <w:i w:val="0"/>
                <w:iCs w:val="0"/>
                <w:color w:val="333333"/>
                <w:kern w:val="0"/>
                <w:sz w:val="22"/>
                <w:szCs w:val="22"/>
                <w:u w:val="none"/>
                <w:lang w:val="en-US" w:eastAsia="zh-CN" w:bidi="ar"/>
              </w:rPr>
              <w:t>即：当厂商评标价等于或低于基准平均价时将不扣分；当每高于基准平均价1%将被扣1分。</w:t>
            </w:r>
          </w:p>
        </w:tc>
      </w:tr>
    </w:tbl>
    <w:p>
      <w:pPr>
        <w:keepNext w:val="0"/>
        <w:keepLines w:val="0"/>
        <w:pageBreakBefore w:val="0"/>
        <w:widowControl w:val="0"/>
        <w:numPr>
          <w:ilvl w:val="0"/>
          <w:numId w:val="0"/>
        </w:numPr>
        <w:kinsoku/>
        <w:wordWrap/>
        <w:overflowPunct/>
        <w:topLinePunct w:val="0"/>
        <w:autoSpaceDE/>
        <w:autoSpaceDN/>
        <w:bidi w:val="0"/>
        <w:adjustRightInd/>
        <w:snapToGrid w:val="0"/>
        <w:spacing w:before="157" w:beforeLines="50" w:line="348" w:lineRule="auto"/>
        <w:ind w:right="0" w:rightChars="0"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三、综合得分计算与成交候选人推荐</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（一）计算公式</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综合得分=商务得分×10%+技术得分×40%+价格得分×50%。</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（二）排序与推荐</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按综合得分由高到低排序，推荐第一名为第一成交候选人。</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综合得分相同时，技术评审得分高者优先；技术得分仍相同，以报价低者优先；仍相同的，由评审委员会投票确定。</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四、无效响应情形</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1.供应商资格不符合采购文件要求，或存在串通投标、弄虚作假行为；</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2.投标报价超出最高限价，</w:t>
      </w:r>
      <w:bookmarkStart w:id="0" w:name="_GoBack"/>
      <w:bookmarkEnd w:id="0"/>
      <w:r>
        <w:rPr>
          <w:rFonts w:hint="eastAsia" w:ascii="仿宋_GB2312" w:hAnsi="仿宋_GB2312" w:eastAsia="仿宋_GB2312" w:cs="仿宋_GB2312"/>
          <w:sz w:val="32"/>
          <w:szCs w:val="32"/>
          <w:lang w:val="en-US" w:eastAsia="zh-CN"/>
        </w:rPr>
        <w:t>或明显低于成本且不能合理说明；</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3.技术方案存在重大偏离，不满足采购文件实质性服务需求；</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4.响应文件未经法定代表人/授权代表签字或加盖单位公章；</w:t>
      </w:r>
    </w:p>
    <w:p>
      <w:pPr>
        <w:keepNext w:val="0"/>
        <w:keepLines w:val="0"/>
        <w:pageBreakBefore w:val="0"/>
        <w:widowControl w:val="0"/>
        <w:numPr>
          <w:ilvl w:val="0"/>
          <w:numId w:val="0"/>
        </w:numPr>
        <w:kinsoku/>
        <w:wordWrap/>
        <w:overflowPunct/>
        <w:topLinePunct w:val="0"/>
        <w:autoSpaceDE/>
        <w:autoSpaceDN/>
        <w:bidi w:val="0"/>
        <w:adjustRightInd/>
        <w:snapToGrid w:val="0"/>
        <w:spacing w:line="348" w:lineRule="auto"/>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5.未满足采购文件规定的其他实质性要求。</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0B05F69-C935-4AAB-B221-E8D9A5E72A3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embedRegular r:id="rId2" w:fontKey="{8C7C6E5B-A5EF-430D-B0E2-4D6BB5E76E26}"/>
  </w:font>
  <w:font w:name="仿宋_GB2312">
    <w:panose1 w:val="02010609030101010101"/>
    <w:charset w:val="86"/>
    <w:family w:val="auto"/>
    <w:pitch w:val="default"/>
    <w:sig w:usb0="00000001" w:usb1="080E0000" w:usb2="00000000" w:usb3="00000000" w:csb0="00040000" w:csb1="00000000"/>
    <w:embedRegular r:id="rId3" w:fontKey="{64650D29-7929-4197-9B73-BA46F1779385}"/>
  </w:font>
  <w:font w:name="微软雅黑">
    <w:panose1 w:val="020B0503020204020204"/>
    <w:charset w:val="86"/>
    <w:family w:val="auto"/>
    <w:pitch w:val="default"/>
    <w:sig w:usb0="80000287" w:usb1="2ACF3C50" w:usb2="00000016" w:usb3="00000000" w:csb0="0004001F" w:csb1="00000000"/>
    <w:embedRegular r:id="rId4" w:fontKey="{AB492239-B449-4F2F-9A6A-C581EA8BD29C}"/>
  </w:font>
  <w:font w:name="楷体_GB2312">
    <w:panose1 w:val="02010609030101010101"/>
    <w:charset w:val="86"/>
    <w:family w:val="auto"/>
    <w:pitch w:val="default"/>
    <w:sig w:usb0="00000001" w:usb1="080E0000" w:usb2="00000000" w:usb3="00000000" w:csb0="00040000" w:csb1="00000000"/>
    <w:embedRegular r:id="rId5" w:fontKey="{E8B68168-4683-4919-9121-BE1400CAF3A5}"/>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E1654B"/>
    <w:multiLevelType w:val="singleLevel"/>
    <w:tmpl w:val="05E1654B"/>
    <w:lvl w:ilvl="0" w:tentative="0">
      <w:start w:val="2"/>
      <w:numFmt w:val="chineseCounting"/>
      <w:suff w:val="nothing"/>
      <w:lvlText w:val="%1、"/>
      <w:lvlJc w:val="left"/>
      <w:rPr>
        <w:rFonts w:hint="eastAsia"/>
      </w:rPr>
    </w:lvl>
  </w:abstractNum>
  <w:abstractNum w:abstractNumId="1">
    <w:nsid w:val="38C55454"/>
    <w:multiLevelType w:val="singleLevel"/>
    <w:tmpl w:val="38C55454"/>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D27CD2"/>
    <w:rsid w:val="0B5B2476"/>
    <w:rsid w:val="137772FA"/>
    <w:rsid w:val="15732B3D"/>
    <w:rsid w:val="1CCE6081"/>
    <w:rsid w:val="24DA3B5D"/>
    <w:rsid w:val="257D278F"/>
    <w:rsid w:val="2BC5737C"/>
    <w:rsid w:val="2CF4664D"/>
    <w:rsid w:val="363E7A9C"/>
    <w:rsid w:val="41CD639E"/>
    <w:rsid w:val="45DF6289"/>
    <w:rsid w:val="47E2750A"/>
    <w:rsid w:val="4C367EAE"/>
    <w:rsid w:val="4E5E5E98"/>
    <w:rsid w:val="4E670DAE"/>
    <w:rsid w:val="57493A94"/>
    <w:rsid w:val="594A463C"/>
    <w:rsid w:val="6CAE1198"/>
    <w:rsid w:val="6FC12542"/>
    <w:rsid w:val="78D67D8F"/>
    <w:rsid w:val="79830A68"/>
    <w:rsid w:val="7A073F1C"/>
    <w:rsid w:val="7D3C6F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adjustRightInd w:val="0"/>
      <w:snapToGrid w:val="0"/>
      <w:spacing w:line="348" w:lineRule="auto"/>
      <w:ind w:firstLine="880" w:firstLineChars="200"/>
    </w:pPr>
    <w:rPr>
      <w:szCs w:val="32"/>
    </w:rPr>
  </w:style>
  <w:style w:type="paragraph" w:styleId="3">
    <w:name w:val="Title"/>
    <w:basedOn w:val="1"/>
    <w:next w:val="1"/>
    <w:qFormat/>
    <w:uiPriority w:val="0"/>
    <w:pPr>
      <w:spacing w:before="240" w:after="60"/>
      <w:jc w:val="center"/>
      <w:outlineLvl w:val="0"/>
    </w:pPr>
    <w:rPr>
      <w:rFonts w:ascii="Arial" w:hAnsi="Arial" w:eastAsia="宋体" w:cs="Arial"/>
      <w:b/>
      <w:bCs/>
      <w:color w:val="FF0000"/>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1392</Words>
  <Characters>1468</Characters>
  <Lines>0</Lines>
  <Paragraphs>0</Paragraphs>
  <TotalTime>28</TotalTime>
  <ScaleCrop>false</ScaleCrop>
  <LinksUpToDate>false</LinksUpToDate>
  <CharactersWithSpaces>1468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2026-05-12T02:54:00Z</dcterms:created>
  <dc:creator>huawei</dc:creator>
  <cp:lastModifiedBy>陈强</cp:lastModifiedBy>
  <cp:lastPrinted>2026-06-11T07:42:00Z</cp:lastPrinted>
  <dcterms:modified xsi:type="dcterms:W3CDTF">2026-06-12T01:30:04Z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6339041F339F4668809ED31E78C83A61</vt:lpwstr>
  </property>
  <property fmtid="{D5CDD505-2E9C-101B-9397-08002B2CF9AE}" pid="4" name="KSOTemplateDocerSaveRecord">
    <vt:lpwstr>eyJoZGlkIjoiZTZhNGRjYjllOWQ5ZjQzYTkyMTg4ZWJjOGVhZWY1ZjgiLCJ1c2VySWQiOiIxNDg3MDUzNjg1In0=</vt:lpwstr>
  </property>
</Properties>
</file>