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tabs>
          <w:tab w:val="left" w:pos="0"/>
        </w:tabs>
        <w:ind w:firstLine="480"/>
        <w:jc w:val="center"/>
        <w:rPr>
          <w:rFonts w:ascii="仿宋_GB2312"/>
        </w:rPr>
      </w:pPr>
      <w:bookmarkStart w:id="0" w:name="_Toc309593257"/>
      <w:bookmarkStart w:id="1" w:name="_Toc309805581"/>
      <w:bookmarkStart w:id="2" w:name="_Toc309593186"/>
      <w:bookmarkStart w:id="3" w:name="_Toc307577976"/>
    </w:p>
    <w:p>
      <w:pPr>
        <w:tabs>
          <w:tab w:val="left" w:pos="0"/>
        </w:tabs>
        <w:ind w:firstLine="1044"/>
        <w:jc w:val="center"/>
        <w:rPr>
          <w:rFonts w:ascii="仿宋_GB2312"/>
          <w:sz w:val="44"/>
        </w:rPr>
      </w:pPr>
    </w:p>
    <w:p>
      <w:pPr>
        <w:tabs>
          <w:tab w:val="left" w:pos="0"/>
        </w:tabs>
        <w:ind w:firstLine="964"/>
        <w:jc w:val="center"/>
        <w:rPr>
          <w:rFonts w:hint="eastAsia" w:ascii="宋体" w:hAnsi="宋体"/>
          <w:b/>
          <w:sz w:val="48"/>
          <w:szCs w:val="48"/>
        </w:rPr>
      </w:pPr>
    </w:p>
    <w:p>
      <w:pPr>
        <w:tabs>
          <w:tab w:val="left" w:pos="0"/>
        </w:tabs>
        <w:ind w:firstLine="964"/>
        <w:jc w:val="center"/>
        <w:rPr>
          <w:rFonts w:hint="eastAsia" w:ascii="宋体" w:hAnsi="宋体"/>
          <w:b/>
          <w:sz w:val="48"/>
          <w:szCs w:val="48"/>
        </w:rPr>
      </w:pPr>
    </w:p>
    <w:p>
      <w:pPr>
        <w:tabs>
          <w:tab w:val="left" w:pos="0"/>
        </w:tabs>
        <w:spacing w:line="240" w:lineRule="auto"/>
        <w:ind w:firstLine="964"/>
        <w:jc w:val="center"/>
        <w:rPr>
          <w:rFonts w:hint="eastAsia" w:ascii="宋体" w:hAnsi="宋体"/>
          <w:b/>
          <w:sz w:val="48"/>
          <w:szCs w:val="48"/>
        </w:rPr>
      </w:pPr>
    </w:p>
    <w:p>
      <w:pPr>
        <w:adjustRightInd w:val="0"/>
        <w:snapToGrid w:val="0"/>
        <w:ind w:firstLine="0" w:firstLineChars="0"/>
        <w:jc w:val="center"/>
        <w:rPr>
          <w:rFonts w:ascii="Calibri" w:hAnsi="Calibri" w:eastAsia="黑体"/>
          <w:b/>
          <w:sz w:val="52"/>
        </w:rPr>
      </w:pPr>
      <w:r>
        <w:rPr>
          <w:rFonts w:hint="eastAsia" w:ascii="Calibri" w:hAnsi="Calibri" w:eastAsia="黑体"/>
          <w:b/>
          <w:sz w:val="52"/>
          <w:lang w:val="en-US" w:eastAsia="zh-CN"/>
        </w:rPr>
        <w:t>南网超高压公司百色局2026年职创项目（一套基于食堂食材全链条管理的数字智能应用</w:t>
      </w:r>
      <w:bookmarkStart w:id="69" w:name="_GoBack"/>
      <w:bookmarkEnd w:id="69"/>
      <w:r>
        <w:rPr>
          <w:rFonts w:hint="eastAsia" w:ascii="Calibri" w:hAnsi="Calibri" w:eastAsia="黑体"/>
          <w:b/>
          <w:sz w:val="52"/>
          <w:lang w:val="en-US" w:eastAsia="zh-CN"/>
        </w:rPr>
        <w:t>）技术规范书</w:t>
      </w:r>
    </w:p>
    <w:p>
      <w:pPr>
        <w:ind w:firstLine="600"/>
        <w:rPr>
          <w:sz w:val="30"/>
          <w:szCs w:val="30"/>
        </w:rPr>
      </w:pPr>
    </w:p>
    <w:p>
      <w:pPr>
        <w:ind w:firstLine="1800" w:firstLineChars="600"/>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批准：</w:t>
      </w:r>
      <w:r>
        <w:rPr>
          <w:color w:val="000000" w:themeColor="text1"/>
          <w:sz w:val="30"/>
          <w:szCs w:val="30"/>
          <w14:textFill>
            <w14:solidFill>
              <w14:schemeClr w14:val="tx1"/>
            </w14:solidFill>
          </w14:textFill>
        </w:rPr>
        <w:t xml:space="preserve"> </w:t>
      </w:r>
    </w:p>
    <w:p>
      <w:pPr>
        <w:ind w:firstLine="1800" w:firstLineChars="600"/>
        <w:rPr>
          <w:color w:val="000000" w:themeColor="text1"/>
          <w:sz w:val="30"/>
          <w:szCs w:val="30"/>
          <w14:textFill>
            <w14:solidFill>
              <w14:schemeClr w14:val="tx1"/>
            </w14:solidFill>
          </w14:textFill>
        </w:rPr>
      </w:pPr>
    </w:p>
    <w:p>
      <w:pPr>
        <w:ind w:firstLine="1800" w:firstLineChars="600"/>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审定：</w:t>
      </w:r>
    </w:p>
    <w:p>
      <w:pPr>
        <w:ind w:firstLine="1800" w:firstLineChars="600"/>
        <w:rPr>
          <w:color w:val="000000" w:themeColor="text1"/>
          <w:sz w:val="30"/>
          <w:szCs w:val="30"/>
          <w14:textFill>
            <w14:solidFill>
              <w14:schemeClr w14:val="tx1"/>
            </w14:solidFill>
          </w14:textFill>
        </w:rPr>
      </w:pPr>
    </w:p>
    <w:p>
      <w:pPr>
        <w:ind w:firstLine="1800" w:firstLineChars="600"/>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审核：</w:t>
      </w:r>
      <w:r>
        <w:rPr>
          <w:color w:val="000000" w:themeColor="text1"/>
          <w:sz w:val="30"/>
          <w:szCs w:val="30"/>
          <w14:textFill>
            <w14:solidFill>
              <w14:schemeClr w14:val="tx1"/>
            </w14:solidFill>
          </w14:textFill>
        </w:rPr>
        <w:t xml:space="preserve"> </w:t>
      </w:r>
    </w:p>
    <w:p>
      <w:pPr>
        <w:ind w:firstLine="1800" w:firstLineChars="600"/>
        <w:rPr>
          <w:color w:val="000000" w:themeColor="text1"/>
          <w:sz w:val="30"/>
          <w:szCs w:val="30"/>
          <w14:textFill>
            <w14:solidFill>
              <w14:schemeClr w14:val="tx1"/>
            </w14:solidFill>
          </w14:textFill>
        </w:rPr>
      </w:pPr>
    </w:p>
    <w:p>
      <w:pPr>
        <w:adjustRightInd w:val="0"/>
        <w:snapToGrid w:val="0"/>
        <w:ind w:firstLine="1800" w:firstLineChars="600"/>
        <w:rPr>
          <w:sz w:val="28"/>
          <w:szCs w:val="36"/>
        </w:rPr>
      </w:pPr>
      <w:r>
        <w:rPr>
          <w:rFonts w:hint="eastAsia"/>
          <w:color w:val="000000" w:themeColor="text1"/>
          <w:sz w:val="30"/>
          <w:szCs w:val="30"/>
          <w14:textFill>
            <w14:solidFill>
              <w14:schemeClr w14:val="tx1"/>
            </w14:solidFill>
          </w14:textFill>
        </w:rPr>
        <w:t>编写：</w:t>
      </w:r>
    </w:p>
    <w:p>
      <w:pPr>
        <w:pStyle w:val="6"/>
        <w:rPr>
          <w:sz w:val="28"/>
          <w:szCs w:val="36"/>
        </w:rPr>
      </w:pPr>
    </w:p>
    <w:p>
      <w:pPr>
        <w:keepNext w:val="0"/>
        <w:keepLines w:val="0"/>
        <w:pageBreakBefore w:val="0"/>
        <w:widowControl w:val="0"/>
        <w:kinsoku/>
        <w:wordWrap/>
        <w:overflowPunct/>
        <w:topLinePunct w:val="0"/>
        <w:autoSpaceDE/>
        <w:autoSpaceDN/>
        <w:bidi w:val="0"/>
        <w:adjustRightInd/>
        <w:snapToGrid/>
        <w:ind w:firstLine="723"/>
        <w:jc w:val="center"/>
        <w:textAlignment w:val="auto"/>
        <w:outlineLvl w:val="9"/>
        <w:rPr>
          <w:rFonts w:hint="eastAsia" w:ascii="宋体" w:hAnsi="宋体"/>
          <w:b/>
          <w:color w:val="000000" w:themeColor="text1"/>
          <w:sz w:val="36"/>
          <w14:textFill>
            <w14:solidFill>
              <w14:schemeClr w14:val="tx1"/>
            </w14:solidFill>
          </w14:textFill>
        </w:rPr>
      </w:pPr>
      <w:bookmarkStart w:id="4" w:name="_Toc30053"/>
      <w:bookmarkStart w:id="5" w:name="_Toc19998"/>
      <w:bookmarkStart w:id="6" w:name="_Toc218675718"/>
      <w:r>
        <w:rPr>
          <w:rFonts w:hint="eastAsia" w:ascii="宋体" w:hAnsi="宋体"/>
          <w:b/>
          <w:color w:val="000000" w:themeColor="text1"/>
          <w:sz w:val="36"/>
          <w:highlight w:val="none"/>
          <w:lang w:val="en-US" w:eastAsia="zh-CN"/>
          <w14:textFill>
            <w14:solidFill>
              <w14:schemeClr w14:val="tx1"/>
            </w14:solidFill>
          </w14:textFill>
        </w:rPr>
        <w:t>南网</w:t>
      </w:r>
      <w:r>
        <w:rPr>
          <w:rFonts w:hint="eastAsia" w:ascii="宋体" w:hAnsi="宋体"/>
          <w:b/>
          <w:color w:val="000000" w:themeColor="text1"/>
          <w:sz w:val="36"/>
          <w:highlight w:val="none"/>
          <w14:textFill>
            <w14:solidFill>
              <w14:schemeClr w14:val="tx1"/>
            </w14:solidFill>
          </w14:textFill>
        </w:rPr>
        <w:t>超高压</w:t>
      </w:r>
      <w:r>
        <w:rPr>
          <w:rFonts w:hint="eastAsia" w:ascii="宋体" w:hAnsi="宋体"/>
          <w:b/>
          <w:color w:val="000000" w:themeColor="text1"/>
          <w:sz w:val="36"/>
          <w14:textFill>
            <w14:solidFill>
              <w14:schemeClr w14:val="tx1"/>
            </w14:solidFill>
          </w14:textFill>
        </w:rPr>
        <w:t>公司</w:t>
      </w:r>
      <w:bookmarkEnd w:id="4"/>
      <w:r>
        <w:rPr>
          <w:rFonts w:hint="eastAsia" w:ascii="宋体" w:hAnsi="宋体"/>
          <w:b/>
          <w:color w:val="000000" w:themeColor="text1"/>
          <w:sz w:val="36"/>
          <w14:textFill>
            <w14:solidFill>
              <w14:schemeClr w14:val="tx1"/>
            </w14:solidFill>
          </w14:textFill>
        </w:rPr>
        <w:t>百色局</w:t>
      </w:r>
      <w:bookmarkEnd w:id="5"/>
      <w:bookmarkEnd w:id="6"/>
    </w:p>
    <w:p>
      <w:pPr>
        <w:keepNext w:val="0"/>
        <w:keepLines w:val="0"/>
        <w:pageBreakBefore w:val="0"/>
        <w:widowControl w:val="0"/>
        <w:kinsoku/>
        <w:wordWrap/>
        <w:overflowPunct/>
        <w:topLinePunct w:val="0"/>
        <w:autoSpaceDE/>
        <w:autoSpaceDN/>
        <w:bidi w:val="0"/>
        <w:adjustRightInd/>
        <w:snapToGrid/>
        <w:ind w:firstLine="723"/>
        <w:jc w:val="center"/>
        <w:textAlignment w:val="auto"/>
        <w:outlineLvl w:val="9"/>
        <w:rPr>
          <w:rFonts w:hint="eastAsia" w:ascii="宋体" w:hAnsi="宋体"/>
          <w:b/>
          <w:sz w:val="36"/>
        </w:rPr>
      </w:pPr>
      <w:r>
        <w:rPr>
          <w:rFonts w:hint="eastAsia" w:ascii="宋体" w:hAnsi="宋体"/>
          <w:b/>
          <w:sz w:val="36"/>
        </w:rPr>
        <w:t>2026年</w:t>
      </w:r>
      <w:r>
        <w:rPr>
          <w:rFonts w:hint="eastAsia" w:ascii="宋体" w:hAnsi="宋体"/>
          <w:b/>
          <w:sz w:val="36"/>
          <w:lang w:val="en-US" w:eastAsia="zh-CN"/>
        </w:rPr>
        <w:t>6</w:t>
      </w:r>
      <w:r>
        <w:rPr>
          <w:rFonts w:hint="eastAsia" w:ascii="宋体" w:hAnsi="宋体"/>
          <w:b/>
          <w:sz w:val="36"/>
        </w:rPr>
        <w:t>月</w:t>
      </w:r>
    </w:p>
    <w:p>
      <w:pPr>
        <w:adjustRightInd w:val="0"/>
        <w:snapToGrid w:val="0"/>
        <w:ind w:firstLine="640"/>
        <w:jc w:val="center"/>
        <w:rPr>
          <w:rFonts w:hint="eastAsia" w:ascii="黑体" w:hAnsi="黑体" w:eastAsia="黑体" w:cs="黑体"/>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p>
    <w:p>
      <w:pPr>
        <w:ind w:firstLine="0" w:firstLineChars="0"/>
        <w:jc w:val="center"/>
        <w:rPr>
          <w:rFonts w:hint="eastAsia" w:hAnsi="宋体"/>
          <w:b/>
          <w:spacing w:val="100"/>
          <w:sz w:val="32"/>
          <w:szCs w:val="30"/>
        </w:rPr>
      </w:pPr>
    </w:p>
    <w:p>
      <w:pPr>
        <w:spacing w:line="240" w:lineRule="auto"/>
        <w:ind w:firstLine="0" w:firstLineChars="0"/>
        <w:jc w:val="center"/>
        <w:rPr>
          <w:rFonts w:hint="eastAsia" w:hAnsi="宋体"/>
          <w:b/>
          <w:spacing w:val="100"/>
          <w:sz w:val="32"/>
          <w:szCs w:val="30"/>
        </w:rPr>
      </w:pPr>
      <w:r>
        <w:rPr>
          <w:rFonts w:hAnsi="宋体"/>
          <w:b/>
          <w:spacing w:val="100"/>
          <w:sz w:val="32"/>
          <w:szCs w:val="30"/>
        </w:rPr>
        <w:t>目录</w:t>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TOC \o "1-1" \h \u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_Toc9520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1.总则</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_Toc9520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1</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_Toc5588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2.应遵循的主要标准</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_Toc5588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1</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_Toc16474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3.使用条件</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_Toc16474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3</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_Toc27043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4.制作原则</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_Toc27043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4</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_Toc22696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5.技术服务内容及方式</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_Toc22696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5</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_Toc23208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6.对投标方的要求</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_Toc23208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9</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_Toc30826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7.售后服务及其它服务要求</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_Toc30826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11</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_Toc16657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8.对投标技术文件的要求</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_Toc16657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12</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pP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Fonts w:eastAsia="黑体"/>
          <w:sz w:val="30"/>
          <w:u w:color="000000"/>
        </w:rPr>
        <w:sectPr>
          <w:headerReference r:id="rId13" w:type="first"/>
          <w:footerReference r:id="rId16" w:type="first"/>
          <w:headerReference r:id="rId11" w:type="default"/>
          <w:footerReference r:id="rId14" w:type="default"/>
          <w:headerReference r:id="rId12" w:type="even"/>
          <w:footerReference r:id="rId15" w:type="even"/>
          <w:pgSz w:w="11906" w:h="16838"/>
          <w:pgMar w:top="1440" w:right="1800" w:bottom="1440" w:left="1800" w:header="851" w:footer="992" w:gutter="0"/>
          <w:cols w:space="720" w:num="1"/>
          <w:docGrid w:type="lines" w:linePitch="312" w:charSpace="0"/>
        </w:sectPr>
      </w:pPr>
      <w:r>
        <w:rPr>
          <w:rFonts w:eastAsia="黑体"/>
          <w:sz w:val="30"/>
          <w:u w:color="000000"/>
        </w:rPr>
        <w:br w:type="page"/>
      </w:r>
    </w:p>
    <w:p>
      <w:pPr>
        <w:pStyle w:val="4"/>
        <w:numPr>
          <w:ilvl w:val="255"/>
          <w:numId w:val="0"/>
        </w:numPr>
        <w:spacing w:before="312" w:after="156"/>
        <w:rPr>
          <w:rFonts w:hint="eastAsia" w:ascii="宋体" w:hAnsi="宋体" w:eastAsia="宋体" w:cs="Times New Roman"/>
        </w:rPr>
      </w:pPr>
      <w:bookmarkStart w:id="7" w:name="_Toc5872"/>
      <w:bookmarkStart w:id="8" w:name="_Toc9520"/>
      <w:bookmarkStart w:id="9" w:name="_Toc28984"/>
      <w:r>
        <w:rPr>
          <w:rFonts w:hint="eastAsia" w:ascii="宋体" w:hAnsi="宋体" w:eastAsia="宋体" w:cs="Times New Roman"/>
        </w:rPr>
        <w:t>1.</w:t>
      </w:r>
      <w:r>
        <w:rPr>
          <w:rFonts w:ascii="宋体" w:hAnsi="宋体" w:eastAsia="宋体" w:cs="Times New Roman"/>
        </w:rPr>
        <w:t>总则</w:t>
      </w:r>
      <w:bookmarkEnd w:id="7"/>
      <w:bookmarkEnd w:id="8"/>
      <w:bookmarkEnd w:id="9"/>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1.1 本技术规范书适用于《南网超高压公司百色局2026年职创项目</w:t>
      </w:r>
      <w:r>
        <w:rPr>
          <w:rFonts w:hint="eastAsia" w:ascii="宋体" w:hAnsi="宋体" w:cs="宋体"/>
          <w:lang w:val="en-US" w:eastAsia="zh-CN"/>
        </w:rPr>
        <w:t>（一套基于食堂食材全链条管理的数字智能系统）</w:t>
      </w:r>
      <w:r>
        <w:rPr>
          <w:rFonts w:hint="eastAsia" w:ascii="宋体" w:hAnsi="宋体" w:eastAsia="宋体" w:cs="宋体"/>
          <w:lang w:val="en-US" w:eastAsia="zh-CN"/>
        </w:rPr>
        <w:t>》，提出了项目的技术内容、工期进度等要求，投标方应针对自身特点，根据本技术规范书所描述的具体要求，提供完整的解决方案。</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1.2 本次专项招标采购方为中国南方电网有限责任公司超高压输电公司百色局（以下简称“招标方”或“百色局”），在本文中，具备所要求资质参与投标的供应商简称“投标方”，中标的投标人简称“中标方”。</w:t>
      </w:r>
    </w:p>
    <w:p>
      <w:pPr>
        <w:tabs>
          <w:tab w:val="left" w:pos="851"/>
        </w:tabs>
        <w:ind w:firstLine="480"/>
        <w:rPr>
          <w:rFonts w:hint="eastAsia" w:ascii="宋体" w:hAnsi="宋体" w:eastAsia="宋体" w:cs="宋体"/>
          <w:lang w:val="en-US" w:eastAsia="zh-CN"/>
        </w:rPr>
      </w:pPr>
      <w:bookmarkStart w:id="10" w:name="_Toc14127"/>
      <w:r>
        <w:rPr>
          <w:rFonts w:hint="eastAsia" w:ascii="宋体" w:hAnsi="宋体" w:eastAsia="宋体" w:cs="宋体"/>
          <w:lang w:val="en-US" w:eastAsia="zh-CN"/>
        </w:rPr>
        <w:t>1.3 如投标方提供的技术服务或方案与本技术规范书要求有差异，即使是微小的差异，也应以书面形式言明，并说明原因。如投标方没有以书面形式对本技术规范书的条文提出异议，那么投标方提供的技术服务或方案应完全满足本技术规范书的要求。</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1.4 在根据本技术规范书签订协议之后，招标方有权提出因标准或规程规范发生变化而产生的一些补充，具体项目由招、投标双方共同商定。</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1.5 本技术规范书所使用的标准如遇与投标方所执行的标准发生矛盾时，按较高标准执行，本技术规范书未全部引用应用标准，凡是本技术规范书牵涉的各项内容均按最新标准实施。</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1.6 本技术规范书经招、投标双方确认后作为签订合同的技术附件，与合同正文具有同等法律效力。同时，技术规范书未尽事宜，由招、投标双方协商确定。</w:t>
      </w:r>
    </w:p>
    <w:p>
      <w:pPr>
        <w:pStyle w:val="4"/>
        <w:numPr>
          <w:ilvl w:val="255"/>
          <w:numId w:val="0"/>
        </w:numPr>
        <w:spacing w:before="312" w:after="156"/>
        <w:rPr>
          <w:rFonts w:hint="eastAsia" w:ascii="宋体" w:hAnsi="宋体" w:eastAsia="宋体" w:cs="Times New Roman"/>
        </w:rPr>
      </w:pPr>
      <w:bookmarkStart w:id="11" w:name="_Toc5588"/>
      <w:bookmarkStart w:id="12" w:name="_Toc2740"/>
      <w:r>
        <w:rPr>
          <w:rFonts w:hint="eastAsia" w:ascii="宋体" w:hAnsi="宋体" w:eastAsia="宋体" w:cs="Times New Roman"/>
        </w:rPr>
        <w:t>2.应遵循的主要标准</w:t>
      </w:r>
      <w:bookmarkEnd w:id="10"/>
      <w:bookmarkEnd w:id="11"/>
      <w:bookmarkEnd w:id="12"/>
    </w:p>
    <w:bookmarkEnd w:id="0"/>
    <w:bookmarkEnd w:id="1"/>
    <w:bookmarkEnd w:id="2"/>
    <w:bookmarkEnd w:id="3"/>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项目制作过程及成果须满足IEC标准、国家行业标准、南方电网企业标准（规范）。若已颁布的相关技术标准或规范被修订，使用本技术规范书的各方应探讨使用最新版本的可能性。</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本项目实施过程中所应用到的各种标准，由投标方推荐，经招标方确认后由投标方提供并在项目中使用。</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推荐使用但不限于以下标准：</w:t>
      </w:r>
    </w:p>
    <w:tbl>
      <w:tblPr>
        <w:tblStyle w:val="18"/>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734"/>
        <w:gridCol w:w="57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604" w:type="pct"/>
            <w:noWrap w:val="0"/>
            <w:vAlign w:val="center"/>
          </w:tcPr>
          <w:p>
            <w:pPr>
              <w:pStyle w:val="37"/>
              <w:tabs>
                <w:tab w:val="left" w:pos="2160"/>
                <w:tab w:val="clear" w:pos="4201"/>
                <w:tab w:val="clear" w:pos="9298"/>
              </w:tabs>
              <w:adjustRightInd w:val="0"/>
              <w:snapToGrid w:val="0"/>
              <w:spacing w:line="360" w:lineRule="auto"/>
              <w:ind w:firstLine="0" w:firstLineChars="0"/>
              <w:jc w:val="center"/>
              <w:rPr>
                <w:rFonts w:ascii="Times New Roman"/>
                <w:b/>
                <w:bCs/>
                <w:szCs w:val="21"/>
              </w:rPr>
            </w:pPr>
            <w:r>
              <w:rPr>
                <w:rFonts w:hint="eastAsia" w:ascii="Times New Roman"/>
                <w:b/>
                <w:bCs/>
                <w:szCs w:val="21"/>
              </w:rPr>
              <w:t>标准号</w:t>
            </w:r>
          </w:p>
        </w:tc>
        <w:tc>
          <w:tcPr>
            <w:tcW w:w="3395" w:type="pct"/>
            <w:noWrap w:val="0"/>
            <w:vAlign w:val="center"/>
          </w:tcPr>
          <w:p>
            <w:pPr>
              <w:pStyle w:val="37"/>
              <w:tabs>
                <w:tab w:val="left" w:pos="2160"/>
                <w:tab w:val="clear" w:pos="4201"/>
                <w:tab w:val="clear" w:pos="9298"/>
              </w:tabs>
              <w:adjustRightInd w:val="0"/>
              <w:snapToGrid w:val="0"/>
              <w:spacing w:line="360" w:lineRule="auto"/>
              <w:ind w:firstLine="0" w:firstLineChars="0"/>
              <w:jc w:val="center"/>
              <w:rPr>
                <w:rFonts w:ascii="Times New Roman"/>
                <w:b/>
                <w:bCs/>
                <w:szCs w:val="21"/>
              </w:rPr>
            </w:pPr>
            <w:r>
              <w:rPr>
                <w:rFonts w:hint="eastAsia" w:ascii="Times New Roman"/>
                <w:b/>
                <w:bCs/>
                <w:szCs w:val="21"/>
              </w:rPr>
              <w:t>标准名称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04" w:type="pct"/>
            <w:noWrap w:val="0"/>
            <w:vAlign w:val="center"/>
          </w:tcPr>
          <w:p>
            <w:pPr>
              <w:pStyle w:val="37"/>
              <w:tabs>
                <w:tab w:val="left" w:pos="2160"/>
                <w:tab w:val="clear" w:pos="4201"/>
                <w:tab w:val="clear" w:pos="9298"/>
              </w:tabs>
              <w:adjustRightInd w:val="0"/>
              <w:snapToGrid w:val="0"/>
              <w:spacing w:line="360" w:lineRule="auto"/>
              <w:ind w:firstLine="0" w:firstLineChars="0"/>
              <w:rPr>
                <w:rFonts w:hint="default" w:ascii="Times New Roman" w:eastAsia="宋体"/>
                <w:szCs w:val="21"/>
                <w:lang w:val="en-US" w:eastAsia="zh-CN"/>
              </w:rPr>
            </w:pPr>
            <w:r>
              <w:rPr>
                <w:rFonts w:hint="eastAsia" w:ascii="Times New Roman"/>
                <w:szCs w:val="21"/>
              </w:rPr>
              <w:t>GB</w:t>
            </w:r>
            <w:r>
              <w:rPr>
                <w:rFonts w:hint="eastAsia" w:ascii="Times New Roman"/>
                <w:szCs w:val="21"/>
                <w:lang w:val="en-US" w:eastAsia="zh-CN"/>
              </w:rPr>
              <w:t>/T 25070-2019</w:t>
            </w:r>
          </w:p>
        </w:tc>
        <w:tc>
          <w:tcPr>
            <w:tcW w:w="3395" w:type="pct"/>
            <w:noWrap w:val="0"/>
            <w:vAlign w:val="center"/>
          </w:tcPr>
          <w:p>
            <w:pPr>
              <w:pStyle w:val="37"/>
              <w:tabs>
                <w:tab w:val="left" w:pos="2160"/>
                <w:tab w:val="clear" w:pos="4201"/>
                <w:tab w:val="clear" w:pos="9298"/>
              </w:tabs>
              <w:adjustRightInd w:val="0"/>
              <w:snapToGrid w:val="0"/>
              <w:spacing w:line="360" w:lineRule="auto"/>
              <w:ind w:firstLine="0" w:firstLineChars="0"/>
              <w:rPr>
                <w:rFonts w:hint="default" w:ascii="Times New Roman" w:eastAsia="宋体"/>
                <w:szCs w:val="21"/>
                <w:lang w:val="en-US" w:eastAsia="zh-CN"/>
              </w:rPr>
            </w:pPr>
            <w:r>
              <w:rPr>
                <w:rFonts w:hint="eastAsia" w:ascii="Times New Roman"/>
                <w:szCs w:val="21"/>
                <w:lang w:val="en-US" w:eastAsia="zh-CN"/>
              </w:rPr>
              <w:t>信息安全技术 网络安全等级保护安全设计技术要求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04" w:type="pct"/>
            <w:noWrap w:val="0"/>
            <w:vAlign w:val="center"/>
          </w:tcPr>
          <w:p>
            <w:pPr>
              <w:pStyle w:val="37"/>
              <w:tabs>
                <w:tab w:val="left" w:pos="2160"/>
                <w:tab w:val="clear" w:pos="4201"/>
                <w:tab w:val="clear" w:pos="9298"/>
              </w:tabs>
              <w:adjustRightInd w:val="0"/>
              <w:snapToGrid w:val="0"/>
              <w:spacing w:line="360" w:lineRule="auto"/>
              <w:ind w:firstLine="0" w:firstLineChars="0"/>
              <w:rPr>
                <w:rFonts w:hint="default" w:ascii="Times New Roman" w:eastAsia="宋体"/>
                <w:szCs w:val="21"/>
                <w:lang w:val="en-US" w:eastAsia="zh-CN"/>
              </w:rPr>
            </w:pPr>
            <w:r>
              <w:rPr>
                <w:rFonts w:hint="eastAsia" w:ascii="Times New Roman"/>
                <w:szCs w:val="21"/>
                <w:lang w:val="en-US" w:eastAsia="zh-CN"/>
              </w:rPr>
              <w:t>GB/T 22239-2019</w:t>
            </w:r>
          </w:p>
        </w:tc>
        <w:tc>
          <w:tcPr>
            <w:tcW w:w="3395" w:type="pct"/>
            <w:noWrap w:val="0"/>
            <w:vAlign w:val="center"/>
          </w:tcPr>
          <w:p>
            <w:pPr>
              <w:pStyle w:val="37"/>
              <w:tabs>
                <w:tab w:val="left" w:pos="2160"/>
                <w:tab w:val="clear" w:pos="4201"/>
                <w:tab w:val="clear" w:pos="9298"/>
              </w:tabs>
              <w:adjustRightInd w:val="0"/>
              <w:snapToGrid w:val="0"/>
              <w:spacing w:line="360" w:lineRule="auto"/>
              <w:ind w:firstLine="0" w:firstLineChars="0"/>
              <w:rPr>
                <w:rFonts w:hint="default" w:ascii="Times New Roman" w:eastAsia="宋体"/>
                <w:szCs w:val="21"/>
                <w:lang w:val="en-US" w:eastAsia="zh-CN"/>
              </w:rPr>
            </w:pPr>
            <w:r>
              <w:rPr>
                <w:rFonts w:hint="eastAsia" w:ascii="Times New Roman"/>
                <w:szCs w:val="21"/>
                <w:lang w:val="en-US" w:eastAsia="zh-CN"/>
              </w:rPr>
              <w:t>信息安全技术 网络安全等级保护基本要求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04" w:type="pct"/>
            <w:noWrap w:val="0"/>
            <w:vAlign w:val="center"/>
          </w:tcPr>
          <w:p>
            <w:pPr>
              <w:pStyle w:val="37"/>
              <w:tabs>
                <w:tab w:val="left" w:pos="2160"/>
                <w:tab w:val="clear" w:pos="4201"/>
                <w:tab w:val="clear" w:pos="9298"/>
              </w:tabs>
              <w:adjustRightInd w:val="0"/>
              <w:snapToGrid w:val="0"/>
              <w:spacing w:line="360" w:lineRule="auto"/>
              <w:ind w:firstLine="0" w:firstLineChars="0"/>
              <w:rPr>
                <w:rFonts w:hint="default" w:ascii="Times New Roman"/>
                <w:szCs w:val="21"/>
                <w:lang w:val="en-US" w:eastAsia="zh-CN"/>
              </w:rPr>
            </w:pPr>
            <w:r>
              <w:rPr>
                <w:rFonts w:hint="eastAsia" w:ascii="Times New Roman"/>
                <w:szCs w:val="21"/>
                <w:lang w:val="en-US" w:eastAsia="zh-CN"/>
              </w:rPr>
              <w:t>GB/T 28448-2019</w:t>
            </w:r>
          </w:p>
        </w:tc>
        <w:tc>
          <w:tcPr>
            <w:tcW w:w="3395" w:type="pct"/>
            <w:noWrap w:val="0"/>
            <w:vAlign w:val="center"/>
          </w:tcPr>
          <w:p>
            <w:pPr>
              <w:pStyle w:val="37"/>
              <w:tabs>
                <w:tab w:val="left" w:pos="2160"/>
                <w:tab w:val="clear" w:pos="4201"/>
                <w:tab w:val="clear" w:pos="9298"/>
              </w:tabs>
              <w:adjustRightInd w:val="0"/>
              <w:snapToGrid w:val="0"/>
              <w:spacing w:line="360" w:lineRule="auto"/>
              <w:ind w:firstLine="0" w:firstLineChars="0"/>
              <w:rPr>
                <w:rFonts w:hint="default" w:ascii="Times New Roman"/>
                <w:szCs w:val="21"/>
                <w:lang w:val="en-US" w:eastAsia="zh-CN"/>
              </w:rPr>
            </w:pPr>
            <w:r>
              <w:rPr>
                <w:rFonts w:hint="eastAsia" w:ascii="Times New Roman"/>
                <w:szCs w:val="21"/>
                <w:lang w:val="en-US" w:eastAsia="zh-CN"/>
              </w:rPr>
              <w:t>信息安全技术 网络安全等级保护测评要求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eastAsia="宋体"/>
                <w:color w:val="000000"/>
                <w:sz w:val="21"/>
                <w:szCs w:val="21"/>
                <w:lang w:val="en-US" w:eastAsia="zh-CN"/>
              </w:rPr>
            </w:pPr>
            <w:r>
              <w:rPr>
                <w:rFonts w:hint="eastAsia" w:ascii="Times New Roman"/>
                <w:color w:val="000000"/>
                <w:sz w:val="21"/>
                <w:szCs w:val="21"/>
                <w:lang w:val="en-US" w:eastAsia="zh-CN"/>
              </w:rPr>
              <w:t>GB/T 2887-2011</w:t>
            </w:r>
          </w:p>
        </w:tc>
        <w:tc>
          <w:tcPr>
            <w:tcW w:w="3395" w:type="pct"/>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eastAsia="宋体"/>
                <w:color w:val="000000"/>
                <w:sz w:val="21"/>
                <w:szCs w:val="21"/>
                <w:lang w:val="en-US" w:eastAsia="zh-CN"/>
              </w:rPr>
            </w:pPr>
            <w:r>
              <w:rPr>
                <w:rFonts w:hint="eastAsia" w:ascii="Times New Roman"/>
                <w:color w:val="000000"/>
                <w:sz w:val="21"/>
                <w:szCs w:val="21"/>
                <w:lang w:val="en-US" w:eastAsia="zh-CN"/>
              </w:rPr>
              <w:t>电子</w:t>
            </w:r>
            <w:r>
              <w:rPr>
                <w:rFonts w:hint="eastAsia" w:ascii="Times New Roman" w:hAnsi="Times New Roman" w:eastAsia="宋体"/>
                <w:color w:val="000000"/>
                <w:sz w:val="21"/>
                <w:szCs w:val="21"/>
              </w:rPr>
              <w:t>计算机场地</w:t>
            </w:r>
            <w:r>
              <w:rPr>
                <w:rFonts w:hint="eastAsia" w:ascii="Times New Roman"/>
                <w:color w:val="000000"/>
                <w:sz w:val="21"/>
                <w:szCs w:val="21"/>
                <w:lang w:val="en-US" w:eastAsia="zh-CN"/>
              </w:rPr>
              <w:t>通用规范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rPr>
              <w:t>GB/T</w:t>
            </w:r>
            <w:r>
              <w:rPr>
                <w:rFonts w:hint="eastAsia" w:ascii="Times New Roman"/>
                <w:color w:val="000000"/>
                <w:sz w:val="21"/>
                <w:szCs w:val="21"/>
                <w:lang w:val="en-US" w:eastAsia="zh-CN"/>
              </w:rPr>
              <w:t xml:space="preserve"> </w:t>
            </w:r>
            <w:r>
              <w:rPr>
                <w:rFonts w:hint="eastAsia" w:ascii="Times New Roman" w:hAnsi="Times New Roman" w:eastAsia="宋体"/>
                <w:color w:val="000000"/>
                <w:sz w:val="21"/>
                <w:szCs w:val="21"/>
              </w:rPr>
              <w:t>8566-</w:t>
            </w:r>
            <w:r>
              <w:rPr>
                <w:rFonts w:hint="eastAsia" w:ascii="Times New Roman"/>
                <w:color w:val="000000"/>
                <w:sz w:val="21"/>
                <w:szCs w:val="21"/>
                <w:lang w:val="en-US" w:eastAsia="zh-CN"/>
              </w:rPr>
              <w:t>2007</w:t>
            </w:r>
          </w:p>
        </w:tc>
        <w:tc>
          <w:tcPr>
            <w:tcW w:w="3395" w:type="pct"/>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olor w:val="000000"/>
                <w:sz w:val="21"/>
                <w:szCs w:val="21"/>
              </w:rPr>
            </w:pPr>
            <w:r>
              <w:rPr>
                <w:rFonts w:hint="eastAsia" w:ascii="Times New Roman" w:hAnsi="Times New Roman" w:eastAsia="宋体"/>
                <w:color w:val="000000"/>
                <w:sz w:val="21"/>
                <w:szCs w:val="21"/>
              </w:rPr>
              <w:t>信息技术软件生存期过程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olor w:val="000000"/>
                <w:sz w:val="21"/>
                <w:szCs w:val="21"/>
                <w:lang w:val="en-US" w:eastAsia="zh-CN"/>
              </w:rPr>
            </w:pPr>
            <w:r>
              <w:rPr>
                <w:rFonts w:hint="eastAsia" w:ascii="Times New Roman" w:hAnsi="Times New Roman" w:eastAsia="宋体"/>
                <w:color w:val="000000"/>
                <w:sz w:val="21"/>
                <w:szCs w:val="21"/>
              </w:rPr>
              <w:t>GB</w:t>
            </w:r>
            <w:r>
              <w:rPr>
                <w:rFonts w:hint="eastAsia" w:ascii="Times New Roman"/>
                <w:color w:val="000000"/>
                <w:sz w:val="21"/>
                <w:szCs w:val="21"/>
                <w:lang w:val="en-US" w:eastAsia="zh-CN"/>
              </w:rPr>
              <w:t xml:space="preserve">/T </w:t>
            </w:r>
            <w:r>
              <w:rPr>
                <w:rFonts w:hint="eastAsia" w:ascii="Times New Roman" w:hAnsi="Times New Roman" w:eastAsia="宋体"/>
                <w:color w:val="000000"/>
                <w:sz w:val="21"/>
                <w:szCs w:val="21"/>
              </w:rPr>
              <w:t>856</w:t>
            </w:r>
            <w:r>
              <w:rPr>
                <w:rFonts w:hint="eastAsia" w:ascii="Times New Roman"/>
                <w:color w:val="000000"/>
                <w:sz w:val="21"/>
                <w:szCs w:val="21"/>
                <w:lang w:val="en-US" w:eastAsia="zh-CN"/>
              </w:rPr>
              <w:t>7</w:t>
            </w:r>
          </w:p>
        </w:tc>
        <w:tc>
          <w:tcPr>
            <w:tcW w:w="3395" w:type="pct"/>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olor w:val="000000"/>
                <w:sz w:val="21"/>
                <w:szCs w:val="21"/>
              </w:rPr>
            </w:pPr>
            <w:r>
              <w:rPr>
                <w:rFonts w:hint="eastAsia" w:ascii="Times New Roman" w:hAnsi="Times New Roman" w:eastAsia="宋体"/>
                <w:color w:val="000000"/>
                <w:sz w:val="21"/>
                <w:szCs w:val="21"/>
              </w:rPr>
              <w:t>计算机软件产品</w:t>
            </w:r>
            <w:r>
              <w:rPr>
                <w:rFonts w:hint="eastAsia" w:ascii="Times New Roman"/>
                <w:color w:val="000000"/>
                <w:sz w:val="21"/>
                <w:szCs w:val="21"/>
                <w:lang w:eastAsia="zh-CN"/>
              </w:rPr>
              <w:t>制作</w:t>
            </w:r>
            <w:r>
              <w:rPr>
                <w:rFonts w:hint="eastAsia" w:ascii="Times New Roman" w:hAnsi="Times New Roman" w:eastAsia="宋体"/>
                <w:color w:val="000000"/>
                <w:sz w:val="21"/>
                <w:szCs w:val="21"/>
              </w:rPr>
              <w:t>文件编制指南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olor w:val="000000"/>
                <w:sz w:val="21"/>
                <w:szCs w:val="21"/>
              </w:rPr>
            </w:pPr>
            <w:r>
              <w:rPr>
                <w:rFonts w:hint="eastAsia" w:ascii="Times New Roman" w:hAnsi="Times New Roman" w:eastAsia="宋体"/>
                <w:color w:val="000000"/>
                <w:sz w:val="21"/>
                <w:szCs w:val="21"/>
              </w:rPr>
              <w:t>GB/T 12504-90 </w:t>
            </w:r>
          </w:p>
        </w:tc>
        <w:tc>
          <w:tcPr>
            <w:tcW w:w="3395" w:type="pct"/>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olor w:val="000000"/>
                <w:sz w:val="21"/>
                <w:szCs w:val="21"/>
              </w:rPr>
            </w:pPr>
            <w:r>
              <w:rPr>
                <w:rFonts w:hint="eastAsia" w:ascii="Times New Roman" w:hAnsi="Times New Roman" w:eastAsia="宋体"/>
                <w:color w:val="000000"/>
                <w:sz w:val="21"/>
                <w:szCs w:val="21"/>
              </w:rPr>
              <w:t>计算机软件质量保证计划规范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eastAsia="宋体"/>
                <w:color w:val="000000"/>
                <w:sz w:val="21"/>
                <w:szCs w:val="21"/>
                <w:lang w:val="en-US" w:eastAsia="zh-CN"/>
              </w:rPr>
            </w:pPr>
            <w:bookmarkStart w:id="13" w:name="_Toc25883"/>
            <w:bookmarkStart w:id="14" w:name="_Toc16474"/>
            <w:bookmarkStart w:id="15" w:name="_Toc7639"/>
            <w:r>
              <w:rPr>
                <w:rFonts w:hint="eastAsia" w:ascii="Times New Roman"/>
                <w:color w:val="000000"/>
                <w:sz w:val="21"/>
                <w:szCs w:val="21"/>
                <w:lang w:val="en-US" w:eastAsia="zh-CN"/>
              </w:rPr>
              <w:t>GB/T 35273</w:t>
            </w:r>
          </w:p>
        </w:tc>
        <w:tc>
          <w:tcPr>
            <w:tcW w:w="3395" w:type="pct"/>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eastAsia="宋体"/>
                <w:color w:val="000000"/>
                <w:sz w:val="21"/>
                <w:szCs w:val="21"/>
                <w:lang w:val="en-US" w:eastAsia="zh-CN"/>
              </w:rPr>
            </w:pPr>
            <w:r>
              <w:rPr>
                <w:rFonts w:hint="eastAsia" w:ascii="Times New Roman"/>
                <w:color w:val="000000"/>
                <w:sz w:val="21"/>
                <w:szCs w:val="21"/>
                <w:lang w:val="en-US" w:eastAsia="zh-CN"/>
              </w:rPr>
              <w:t>信息安全技术 信息系统灾难恢复规范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color w:val="000000"/>
                <w:sz w:val="21"/>
                <w:szCs w:val="21"/>
                <w:lang w:val="en-US" w:eastAsia="zh-CN"/>
              </w:rPr>
            </w:pPr>
            <w:r>
              <w:rPr>
                <w:rFonts w:hint="eastAsia" w:ascii="Times New Roman"/>
                <w:color w:val="000000"/>
                <w:sz w:val="21"/>
                <w:szCs w:val="21"/>
                <w:lang w:val="en-US" w:eastAsia="zh-CN"/>
              </w:rPr>
              <w:t>GB/T 35273</w:t>
            </w:r>
          </w:p>
        </w:tc>
        <w:tc>
          <w:tcPr>
            <w:tcW w:w="3395" w:type="pct"/>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color w:val="000000"/>
                <w:sz w:val="21"/>
                <w:szCs w:val="21"/>
                <w:lang w:val="en-US" w:eastAsia="zh-CN"/>
              </w:rPr>
            </w:pPr>
            <w:r>
              <w:rPr>
                <w:rFonts w:hint="eastAsia" w:ascii="Times New Roman"/>
                <w:color w:val="000000"/>
                <w:sz w:val="21"/>
                <w:szCs w:val="21"/>
                <w:lang w:val="en-US" w:eastAsia="zh-CN"/>
              </w:rPr>
              <w:t>信息安全技术 个人信息安全规范</w:t>
            </w:r>
          </w:p>
        </w:tc>
      </w:tr>
    </w:tbl>
    <w:p>
      <w:pPr>
        <w:pStyle w:val="4"/>
        <w:numPr>
          <w:ilvl w:val="255"/>
          <w:numId w:val="0"/>
        </w:numPr>
        <w:spacing w:before="312" w:after="156"/>
        <w:rPr>
          <w:rFonts w:hint="eastAsia" w:ascii="宋体" w:hAnsi="宋体" w:eastAsia="宋体" w:cs="Times New Roman"/>
        </w:rPr>
      </w:pPr>
      <w:r>
        <w:rPr>
          <w:rFonts w:hint="eastAsia" w:ascii="宋体" w:hAnsi="宋体" w:eastAsia="宋体" w:cs="Times New Roman"/>
          <w:lang w:val="en-US" w:eastAsia="zh-CN"/>
        </w:rPr>
        <w:t>3.使用条件</w:t>
      </w:r>
      <w:bookmarkEnd w:id="13"/>
      <w:bookmarkEnd w:id="14"/>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3.1正常工作条件</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w:t>
      </w:r>
      <w:r>
        <w:rPr>
          <w:rFonts w:hint="eastAsia" w:ascii="宋体" w:hAnsi="宋体" w:cs="宋体"/>
          <w:lang w:val="en-US" w:eastAsia="zh-CN"/>
        </w:rPr>
        <w:t>系统运行环境：支持在招标方指定的办公网络、食堂管理现场网络或经授权的专用网络环境中部署运行，满足食堂采购、验收出入库、结算、营养分析等业务连续使用要求</w:t>
      </w:r>
      <w:r>
        <w:rPr>
          <w:rFonts w:hint="eastAsia" w:ascii="宋体" w:hAnsi="宋体" w:eastAsia="宋体" w:cs="宋体"/>
          <w:lang w:val="en-US" w:eastAsia="zh-CN"/>
        </w:rPr>
        <w:t>；</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w:t>
      </w:r>
      <w:r>
        <w:rPr>
          <w:rFonts w:hint="eastAsia" w:ascii="宋体" w:hAnsi="宋体" w:cs="宋体"/>
          <w:lang w:val="en-US" w:eastAsia="zh-CN"/>
        </w:rPr>
        <w:t>终端使用环境：手持信息终端应适用于食堂库房、验收区、办公区等场景，支持采购计划查看、到货验收、出入库填报、审批流转、数据查询等移动化作业</w:t>
      </w:r>
      <w:r>
        <w:rPr>
          <w:rFonts w:hint="eastAsia" w:ascii="宋体" w:hAnsi="宋体" w:eastAsia="宋体" w:cs="宋体"/>
          <w:lang w:val="en-US" w:eastAsia="zh-CN"/>
        </w:rPr>
        <w:t>；</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w:t>
      </w:r>
      <w:r>
        <w:rPr>
          <w:rFonts w:hint="eastAsia" w:ascii="宋体" w:hAnsi="宋体" w:cs="宋体"/>
          <w:lang w:val="en-US" w:eastAsia="zh-CN"/>
        </w:rPr>
        <w:t>数据接入条件：系统应具备数据互通能力，能够按招标方确认的接口方式获取报餐人数、报餐日期、餐别等数据</w:t>
      </w:r>
      <w:r>
        <w:rPr>
          <w:rFonts w:hint="eastAsia" w:ascii="宋体" w:hAnsi="宋体" w:eastAsia="宋体" w:cs="宋体"/>
          <w:lang w:val="en-US" w:eastAsia="zh-CN"/>
        </w:rPr>
        <w:t>；</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w:t>
      </w:r>
      <w:r>
        <w:rPr>
          <w:rFonts w:hint="eastAsia" w:ascii="宋体" w:hAnsi="宋体" w:cs="宋体"/>
          <w:lang w:val="en-US" w:eastAsia="zh-CN"/>
        </w:rPr>
        <w:t>浏览器及客户端条件</w:t>
      </w:r>
      <w:r>
        <w:rPr>
          <w:rFonts w:hint="eastAsia" w:ascii="宋体" w:hAnsi="宋体" w:eastAsia="宋体" w:cs="宋体"/>
          <w:lang w:val="en-US" w:eastAsia="zh-CN"/>
        </w:rPr>
        <w:t>：</w:t>
      </w:r>
      <w:r>
        <w:rPr>
          <w:rFonts w:hint="eastAsia" w:ascii="宋体" w:hAnsi="宋体" w:cs="宋体"/>
          <w:lang w:val="en-US" w:eastAsia="zh-CN"/>
        </w:rPr>
        <w:t>管理端应支持主流国产化或通用浏览器访问，移动端应支持手持平板终端稳定运行，界面显示清晰、操作简便</w:t>
      </w:r>
      <w:r>
        <w:rPr>
          <w:rFonts w:hint="eastAsia" w:ascii="宋体" w:hAnsi="宋体" w:eastAsia="宋体" w:cs="宋体"/>
          <w:lang w:val="en-US" w:eastAsia="zh-CN"/>
        </w:rPr>
        <w:t>；</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（5）</w:t>
      </w:r>
      <w:r>
        <w:rPr>
          <w:rFonts w:hint="eastAsia" w:ascii="宋体" w:hAnsi="宋体" w:cs="宋体"/>
          <w:lang w:val="en-US" w:eastAsia="zh-CN"/>
        </w:rPr>
        <w:t>数据处理能力</w:t>
      </w:r>
      <w:r>
        <w:rPr>
          <w:rFonts w:hint="eastAsia" w:ascii="宋体" w:hAnsi="宋体" w:eastAsia="宋体" w:cs="宋体"/>
          <w:lang w:val="en-US" w:eastAsia="zh-CN"/>
        </w:rPr>
        <w:t>：</w:t>
      </w:r>
      <w:r>
        <w:rPr>
          <w:rFonts w:hint="eastAsia" w:ascii="宋体" w:hAnsi="宋体" w:cs="宋体"/>
          <w:lang w:val="en-US" w:eastAsia="zh-CN"/>
        </w:rPr>
        <w:t>系统应支持不少于100种食材品类的价格、分类、库存、营养指标和供应商合同报价信息管理，满足日常采购计划生产、日结算、月结算和统计分析需要</w:t>
      </w:r>
      <w:r>
        <w:rPr>
          <w:rFonts w:hint="eastAsia" w:ascii="宋体" w:hAnsi="宋体" w:eastAsia="宋体" w:cs="宋体"/>
          <w:lang w:val="en-US" w:eastAsia="zh-CN"/>
        </w:rPr>
        <w:t>；</w:t>
      </w:r>
    </w:p>
    <w:p>
      <w:pPr>
        <w:tabs>
          <w:tab w:val="left" w:pos="851"/>
        </w:tabs>
        <w:ind w:firstLine="480"/>
        <w:rPr>
          <w:rFonts w:hint="default" w:ascii="宋体" w:hAnsi="宋体" w:eastAsia="宋体" w:cs="宋体"/>
          <w:lang w:val="en-US" w:eastAsia="zh-CN"/>
        </w:rPr>
      </w:pPr>
      <w:r>
        <w:rPr>
          <w:rFonts w:hint="eastAsia" w:ascii="宋体" w:hAnsi="宋体" w:eastAsia="宋体" w:cs="宋体"/>
          <w:lang w:val="en-US" w:eastAsia="zh-CN"/>
        </w:rPr>
        <w:t>（6）</w:t>
      </w:r>
      <w:r>
        <w:rPr>
          <w:rFonts w:hint="eastAsia" w:ascii="宋体" w:hAnsi="宋体" w:cs="宋体"/>
          <w:lang w:val="en-US" w:eastAsia="zh-CN"/>
        </w:rPr>
        <w:t>安全运行条件</w:t>
      </w:r>
      <w:r>
        <w:rPr>
          <w:rFonts w:hint="eastAsia" w:ascii="宋体" w:hAnsi="宋体" w:eastAsia="宋体" w:cs="宋体"/>
          <w:lang w:val="en-US" w:eastAsia="zh-CN"/>
        </w:rPr>
        <w:t>：</w:t>
      </w:r>
      <w:r>
        <w:rPr>
          <w:rFonts w:hint="eastAsia" w:ascii="宋体" w:hAnsi="宋体" w:cs="宋体"/>
          <w:lang w:val="en-US" w:eastAsia="zh-CN"/>
        </w:rPr>
        <w:t>系统应具备用户身份认证、岗位权限控制操作日志记录、数据备份恢复、敏感数据保护等能力，防止未授权访问、误操作和数据泄露；</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（7）</w:t>
      </w:r>
      <w:r>
        <w:rPr>
          <w:rFonts w:hint="eastAsia" w:ascii="宋体" w:hAnsi="宋体" w:cs="宋体"/>
          <w:lang w:val="en-US" w:eastAsia="zh-CN"/>
        </w:rPr>
        <w:t>系统应能在招标方规定的业务流程、审批流程和数据安全要求范围内稳定运行，满足食堂食材全链条数字化管理需求。</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3.2特殊工作条件</w:t>
      </w:r>
    </w:p>
    <w:p>
      <w:pPr>
        <w:tabs>
          <w:tab w:val="left" w:pos="851"/>
        </w:tabs>
        <w:ind w:firstLine="480"/>
        <w:rPr>
          <w:rFonts w:hint="default" w:ascii="宋体" w:hAnsi="宋体" w:eastAsia="宋体" w:cs="宋体"/>
          <w:lang w:val="en-US" w:eastAsia="zh-CN"/>
        </w:rPr>
      </w:pPr>
      <w:r>
        <w:rPr>
          <w:rFonts w:hint="eastAsia" w:ascii="宋体" w:hAnsi="宋体" w:eastAsia="宋体" w:cs="宋体"/>
          <w:lang w:val="en-US" w:eastAsia="zh-CN"/>
        </w:rPr>
        <w:t>针对具体应用工况，用户根据实际需求提出特殊工作条件。当超出正常与特殊工作条件时，由用户与供应商协商确定。</w:t>
      </w:r>
      <w:r>
        <w:rPr>
          <w:rFonts w:hint="eastAsia" w:ascii="宋体" w:hAnsi="宋体" w:cs="宋体"/>
          <w:lang w:val="en-US" w:eastAsia="zh-CN"/>
        </w:rPr>
        <w:t>针对系统部署环境、网络策略、接口权限、历史数据导入、报餐系统联动方式及健康数据使用边界等特殊条件，招标方可根据实际需求提出补充要求。当超出正常与特殊工作条件时，由招、投标双方协商确定。</w:t>
      </w:r>
    </w:p>
    <w:p>
      <w:pPr>
        <w:pStyle w:val="4"/>
        <w:numPr>
          <w:ilvl w:val="255"/>
          <w:numId w:val="0"/>
        </w:numPr>
        <w:spacing w:before="312" w:after="156"/>
        <w:rPr>
          <w:rFonts w:hint="eastAsia" w:ascii="宋体" w:hAnsi="宋体" w:eastAsia="宋体" w:cs="Times New Roman"/>
        </w:rPr>
      </w:pPr>
      <w:bookmarkStart w:id="16" w:name="_Toc27043"/>
      <w:bookmarkStart w:id="17" w:name="_Toc14218"/>
      <w:r>
        <w:rPr>
          <w:rFonts w:hint="eastAsia" w:ascii="宋体" w:hAnsi="宋体" w:eastAsia="宋体" w:cs="Times New Roman"/>
          <w:lang w:val="en-US" w:eastAsia="zh-CN"/>
        </w:rPr>
        <w:t>4</w:t>
      </w:r>
      <w:r>
        <w:rPr>
          <w:rFonts w:hint="eastAsia" w:cs="Times New Roman"/>
          <w:lang w:val="en-US" w:eastAsia="zh-CN"/>
        </w:rPr>
        <w:t>.</w:t>
      </w:r>
      <w:r>
        <w:rPr>
          <w:rFonts w:hint="eastAsia" w:ascii="宋体" w:hAnsi="宋体" w:eastAsia="宋体" w:cs="Times New Roman"/>
          <w:lang w:val="en-US" w:eastAsia="zh-CN"/>
        </w:rPr>
        <w:t>制作原则</w:t>
      </w:r>
      <w:bookmarkEnd w:id="16"/>
      <w:bookmarkEnd w:id="17"/>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（1）先进性原则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遵循南方电网公司的软件优化总体规划与要求，并结合南方电网公司现状，参考国际经验，充分利用各项先进技术，采用创新型设计技术。以现场实际实用为目标，采用安全、高效、便携的技术方案，全面实现能效提升、业务提升及管理提升，确保软件的先进性和实用性。</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（2）安全性原则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 xml:space="preserve">  系统功能应满足《电力二次系统安全防护技术规范》《南方电网二次系统安全防护业务指导书》《南方电网网络安全管理办法》《南方电网互联网应用管理办法》《南方电网智能电网电力监控系统网络安全防护技术导则》最新发布版本和南方电网反措的相关要求，并结合平台功能的业务特点加强信息安全防护，支持多种安全可靠性技术手段，制定严格的安全可靠性管理措施。通过权限管理、安全隔离、信息加密等措施，构建通信层、网络层、系统层、应用层等多层面的立体安全防护体系，确保平台安全。</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（3）可靠性原则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系统需要7*24小时不间断、可靠运行，因此必须配备完善的可靠性措施设计，保证系统运行的高度可靠。要充分考虑关键应用的可靠性要求，在数据库、主机、应用部署、网络等关键环节配备多种高可用性方案。</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（4）规范化原则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设计应遵循相关国际标准、国家标准、行业标准及公司标准，统一设计、统一开发和应用，遵循南方电网公司数字电网模型设计，保持平台设计、开发、实施过程中全程规范化管理，对项目质量和进度严格管控。</w:t>
      </w:r>
    </w:p>
    <w:p>
      <w:pPr>
        <w:pStyle w:val="4"/>
        <w:numPr>
          <w:ilvl w:val="255"/>
          <w:numId w:val="0"/>
        </w:numPr>
        <w:spacing w:before="312" w:after="156"/>
        <w:rPr>
          <w:rFonts w:hint="eastAsia" w:ascii="宋体" w:hAnsi="宋体" w:eastAsia="宋体" w:cs="Times New Roman"/>
        </w:rPr>
      </w:pPr>
      <w:bookmarkStart w:id="18" w:name="_Toc22696"/>
      <w:bookmarkStart w:id="19" w:name="_Toc32566"/>
      <w:r>
        <w:rPr>
          <w:rFonts w:hint="eastAsia" w:ascii="宋体" w:hAnsi="宋体" w:eastAsia="宋体" w:cs="Times New Roman"/>
          <w:lang w:val="en-US" w:eastAsia="zh-CN"/>
        </w:rPr>
        <w:t>5</w:t>
      </w:r>
      <w:r>
        <w:rPr>
          <w:rFonts w:hint="eastAsia" w:cs="Times New Roman"/>
          <w:lang w:val="en-US" w:eastAsia="zh-CN"/>
        </w:rPr>
        <w:t>.</w:t>
      </w:r>
      <w:r>
        <w:rPr>
          <w:rFonts w:hint="eastAsia" w:ascii="宋体" w:hAnsi="宋体" w:eastAsia="宋体" w:cs="Times New Roman"/>
        </w:rPr>
        <w:t>技术服务内容及方式</w:t>
      </w:r>
      <w:bookmarkEnd w:id="15"/>
      <w:bookmarkEnd w:id="18"/>
      <w:bookmarkEnd w:id="19"/>
    </w:p>
    <w:p>
      <w:pPr>
        <w:tabs>
          <w:tab w:val="left" w:pos="851"/>
        </w:tabs>
        <w:ind w:firstLine="480"/>
        <w:rPr>
          <w:rFonts w:hint="eastAsia" w:ascii="宋体" w:hAnsi="宋体" w:eastAsia="宋体" w:cs="宋体"/>
          <w:lang w:val="en-US" w:eastAsia="zh-CN"/>
        </w:rPr>
      </w:pPr>
      <w:bookmarkStart w:id="20" w:name="_Toc369561308"/>
      <w:bookmarkStart w:id="21" w:name="_Toc369559705"/>
      <w:r>
        <w:rPr>
          <w:rFonts w:hint="eastAsia" w:ascii="宋体" w:hAnsi="宋体" w:eastAsia="宋体" w:cs="宋体"/>
          <w:lang w:val="en-US" w:eastAsia="zh-CN"/>
        </w:rPr>
        <w:t>服务期限为合同生效之日起至2026年1</w:t>
      </w:r>
      <w:r>
        <w:rPr>
          <w:rFonts w:hint="eastAsia" w:ascii="宋体" w:hAnsi="宋体" w:cs="宋体"/>
          <w:lang w:val="en-US" w:eastAsia="zh-CN"/>
        </w:rPr>
        <w:t>2</w:t>
      </w:r>
      <w:r>
        <w:rPr>
          <w:rFonts w:hint="eastAsia" w:ascii="宋体" w:hAnsi="宋体" w:eastAsia="宋体" w:cs="宋体"/>
          <w:lang w:val="en-US" w:eastAsia="zh-CN"/>
        </w:rPr>
        <w:t>月</w:t>
      </w:r>
      <w:r>
        <w:rPr>
          <w:rFonts w:hint="eastAsia" w:ascii="宋体" w:hAnsi="宋体" w:cs="宋体"/>
          <w:lang w:val="en-US" w:eastAsia="zh-CN"/>
        </w:rPr>
        <w:t>20</w:t>
      </w:r>
      <w:r>
        <w:rPr>
          <w:rFonts w:hint="eastAsia" w:ascii="宋体" w:hAnsi="宋体" w:eastAsia="宋体" w:cs="宋体"/>
          <w:lang w:val="en-US" w:eastAsia="zh-CN"/>
        </w:rPr>
        <w:t>日。</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本创新项目需根据加工、制作、调试的实际情况前往现场开展勘查、安装及调试工作，具体项目地点需联系相关项目负责人。</w:t>
      </w:r>
    </w:p>
    <w:bookmarkEnd w:id="20"/>
    <w:bookmarkEnd w:id="21"/>
    <w:p>
      <w:pPr>
        <w:snapToGrid w:val="0"/>
        <w:spacing w:line="360" w:lineRule="auto"/>
        <w:ind w:firstLine="0" w:firstLineChars="0"/>
        <w:jc w:val="center"/>
        <w:rPr>
          <w:rFonts w:hint="eastAsia"/>
          <w:color w:val="auto"/>
          <w:szCs w:val="21"/>
          <w:highlight w:val="none"/>
          <w:lang w:val="en-US" w:eastAsia="zh-CN"/>
        </w:rPr>
      </w:pPr>
      <w:bookmarkStart w:id="22" w:name="_Toc12318"/>
      <w:bookmarkStart w:id="23" w:name="_Toc27075"/>
      <w:r>
        <w:rPr>
          <w:rFonts w:hint="eastAsia"/>
          <w:color w:val="auto"/>
          <w:szCs w:val="21"/>
          <w:highlight w:val="none"/>
        </w:rPr>
        <w:t>表</w:t>
      </w:r>
      <w:r>
        <w:rPr>
          <w:rFonts w:hint="eastAsia"/>
          <w:color w:val="auto"/>
          <w:szCs w:val="21"/>
          <w:highlight w:val="none"/>
          <w:lang w:val="en-US" w:eastAsia="zh-CN"/>
        </w:rPr>
        <w:t>5.1</w:t>
      </w:r>
      <w:r>
        <w:rPr>
          <w:rFonts w:hint="eastAsia"/>
          <w:color w:val="auto"/>
          <w:szCs w:val="21"/>
          <w:highlight w:val="none"/>
        </w:rPr>
        <w:t xml:space="preserve">  </w:t>
      </w:r>
      <w:r>
        <w:rPr>
          <w:rFonts w:hint="eastAsia"/>
          <w:color w:val="auto"/>
          <w:szCs w:val="21"/>
          <w:highlight w:val="none"/>
          <w:lang w:val="en-US" w:eastAsia="zh-CN"/>
        </w:rPr>
        <w:t>技术服务内容</w:t>
      </w:r>
    </w:p>
    <w:tbl>
      <w:tblPr>
        <w:tblStyle w:val="19"/>
        <w:tblW w:w="94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0"/>
        <w:gridCol w:w="1338"/>
        <w:gridCol w:w="4348"/>
        <w:gridCol w:w="2048"/>
        <w:gridCol w:w="1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noWrap w:val="0"/>
            <w:vAlign w:val="center"/>
          </w:tcPr>
          <w:p>
            <w:pPr>
              <w:widowControl w:val="0"/>
              <w:spacing w:line="420" w:lineRule="exact"/>
              <w:jc w:val="center"/>
              <w:textAlignment w:val="center"/>
              <w:rPr>
                <w:rFonts w:hint="default"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序号</w:t>
            </w:r>
          </w:p>
        </w:tc>
        <w:tc>
          <w:tcPr>
            <w:tcW w:w="1338" w:type="dxa"/>
            <w:noWrap w:val="0"/>
            <w:vAlign w:val="center"/>
          </w:tcPr>
          <w:p>
            <w:pPr>
              <w:widowControl w:val="0"/>
              <w:spacing w:line="420" w:lineRule="exact"/>
              <w:jc w:val="center"/>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标的名称</w:t>
            </w:r>
          </w:p>
        </w:tc>
        <w:tc>
          <w:tcPr>
            <w:tcW w:w="4348" w:type="dxa"/>
            <w:noWrap w:val="0"/>
            <w:vAlign w:val="center"/>
          </w:tcPr>
          <w:p>
            <w:pPr>
              <w:widowControl w:val="0"/>
              <w:spacing w:line="420" w:lineRule="exact"/>
              <w:jc w:val="center"/>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服务内容</w:t>
            </w:r>
          </w:p>
        </w:tc>
        <w:tc>
          <w:tcPr>
            <w:tcW w:w="2048" w:type="dxa"/>
            <w:noWrap w:val="0"/>
            <w:vAlign w:val="center"/>
          </w:tcPr>
          <w:p>
            <w:pPr>
              <w:widowControl w:val="0"/>
              <w:spacing w:line="420" w:lineRule="exact"/>
              <w:jc w:val="center"/>
              <w:textAlignment w:val="center"/>
              <w:rPr>
                <w:rFonts w:hint="default"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交付物</w:t>
            </w:r>
          </w:p>
        </w:tc>
        <w:tc>
          <w:tcPr>
            <w:tcW w:w="1309" w:type="dxa"/>
            <w:noWrap w:val="0"/>
            <w:vAlign w:val="center"/>
          </w:tcPr>
          <w:p>
            <w:pPr>
              <w:widowControl w:val="0"/>
              <w:spacing w:line="420" w:lineRule="exact"/>
              <w:jc w:val="center"/>
              <w:textAlignment w:val="center"/>
              <w:rPr>
                <w:rFonts w:hint="default"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服务地点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noWrap w:val="0"/>
            <w:vAlign w:val="center"/>
          </w:tcPr>
          <w:p>
            <w:pPr>
              <w:keepNext w:val="0"/>
              <w:keepLines w:val="0"/>
              <w:widowControl/>
              <w:suppressLineNumbers w:val="0"/>
              <w:spacing w:line="240" w:lineRule="auto"/>
              <w:ind w:firstLine="0" w:firstLineChars="0"/>
              <w:jc w:val="both"/>
              <w:textAlignment w:val="center"/>
              <w:rPr>
                <w:rFonts w:hint="default" w:ascii="宋体" w:hAnsi="宋体" w:eastAsia="宋体" w:cs="宋体"/>
                <w:i w:val="0"/>
                <w:iCs w:val="0"/>
                <w:color w:val="000000"/>
                <w:kern w:val="0"/>
                <w:sz w:val="20"/>
                <w:szCs w:val="20"/>
                <w:highlight w:val="none"/>
                <w:u w:val="none"/>
                <w:lang w:val="en-US" w:eastAsia="zh-CN" w:bidi="ar"/>
              </w:rPr>
            </w:pPr>
            <w:bookmarkStart w:id="24" w:name="_Toc2581"/>
            <w:bookmarkStart w:id="25" w:name="_Toc369561313"/>
            <w:bookmarkStart w:id="26" w:name="_Toc14394"/>
            <w:bookmarkStart w:id="27" w:name="_Toc7886"/>
            <w:bookmarkStart w:id="28" w:name="_Toc369559710"/>
            <w:bookmarkStart w:id="29" w:name="_Toc12691"/>
            <w:r>
              <w:rPr>
                <w:rFonts w:hint="eastAsia" w:ascii="宋体" w:hAnsi="宋体" w:cs="宋体"/>
                <w:i w:val="0"/>
                <w:iCs w:val="0"/>
                <w:color w:val="000000"/>
                <w:kern w:val="0"/>
                <w:sz w:val="20"/>
                <w:szCs w:val="20"/>
                <w:highlight w:val="none"/>
                <w:u w:val="none"/>
                <w:lang w:val="en-US" w:eastAsia="zh-CN" w:bidi="ar"/>
              </w:rPr>
              <w:t>1</w:t>
            </w:r>
          </w:p>
        </w:tc>
        <w:tc>
          <w:tcPr>
            <w:tcW w:w="1338" w:type="dxa"/>
            <w:noWrap w:val="0"/>
            <w:vAlign w:val="center"/>
          </w:tcPr>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一套基于食堂食材全链条管理的数字智能系统</w:t>
            </w:r>
          </w:p>
        </w:tc>
        <w:tc>
          <w:tcPr>
            <w:tcW w:w="4348" w:type="dxa"/>
            <w:noWrap w:val="0"/>
            <w:vAlign w:val="center"/>
          </w:tcPr>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根据招标方设计方案，协助完成：</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1.智能化食材管理模块开发。建立食材价格库与营养数据库，导入合同报价单全部品类并分类管理，关联脂肪、热量、胆固醇等核心营养指标，自动生成含营养参数的采购计划表，系统计算食谱营养构成。</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2.移动化作业终端开发。开发手持平板系统，实现采购计划、到货验收、出入库线上填报及三岗位分离审批，支持已审批单据导出打印。</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3.健康数据集成分析。系统实时关联报餐人数与食材用量，自动统计周期内人均油脂、热量摄入数据，对高风险菜品进行标识预警，每月生成食材营养消耗报告。</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4.动态结算与价格监控。库存数据实时更新，结算金额按日叠加自动核算，食材价格库实现月度波动预警。</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5.负责完成成果的第三方检测（检测机构应具备CMA或CNAS认证资质），并配合完成论文文本优化。</w:t>
            </w:r>
          </w:p>
          <w:p>
            <w:pPr>
              <w:keepNext w:val="0"/>
              <w:keepLines w:val="0"/>
              <w:widowControl/>
              <w:suppressLineNumbers w:val="0"/>
              <w:spacing w:line="240" w:lineRule="auto"/>
              <w:ind w:firstLine="0" w:firstLineChars="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6.需在超特高压新型电气装备科技成果转化中试基地完成中试。</w:t>
            </w:r>
          </w:p>
        </w:tc>
        <w:tc>
          <w:tcPr>
            <w:tcW w:w="2048" w:type="dxa"/>
            <w:noWrap w:val="0"/>
            <w:vAlign w:val="center"/>
          </w:tcPr>
          <w:p>
            <w:pPr>
              <w:keepNext w:val="0"/>
              <w:keepLines w:val="0"/>
              <w:widowControl/>
              <w:suppressLineNumbers w:val="0"/>
              <w:spacing w:line="240" w:lineRule="auto"/>
              <w:ind w:firstLine="0" w:firstLineChars="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1.基于食堂食材全链条管理的数字智能系统研发、部署及实施；</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.形成手持信息终端3套</w:t>
            </w:r>
            <w:r>
              <w:rPr>
                <w:rFonts w:hint="eastAsia" w:ascii="宋体" w:hAnsi="宋体" w:cs="宋体"/>
                <w:i w:val="0"/>
                <w:iCs w:val="0"/>
                <w:color w:val="000000"/>
                <w:kern w:val="0"/>
                <w:sz w:val="20"/>
                <w:szCs w:val="20"/>
                <w:highlight w:val="none"/>
                <w:u w:val="none"/>
                <w:lang w:val="en-US" w:eastAsia="zh-CN" w:bidi="ar"/>
              </w:rPr>
              <w:t>及移动化作业功能适配</w:t>
            </w:r>
            <w:r>
              <w:rPr>
                <w:rFonts w:hint="eastAsia" w:ascii="宋体" w:hAnsi="宋体" w:eastAsia="宋体" w:cs="宋体"/>
                <w:i w:val="0"/>
                <w:iCs w:val="0"/>
                <w:color w:val="000000"/>
                <w:kern w:val="0"/>
                <w:sz w:val="20"/>
                <w:szCs w:val="20"/>
                <w:highlight w:val="none"/>
                <w:u w:val="none"/>
                <w:lang w:val="en-US" w:eastAsia="zh-CN" w:bidi="ar"/>
              </w:rPr>
              <w:t>；</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3</w:t>
            </w:r>
            <w:r>
              <w:rPr>
                <w:rFonts w:hint="eastAsia" w:ascii="宋体" w:hAnsi="宋体" w:eastAsia="宋体" w:cs="宋体"/>
                <w:i w:val="0"/>
                <w:iCs w:val="0"/>
                <w:color w:val="000000"/>
                <w:kern w:val="0"/>
                <w:sz w:val="20"/>
                <w:szCs w:val="20"/>
                <w:highlight w:val="none"/>
                <w:u w:val="none"/>
                <w:lang w:val="en-US" w:eastAsia="zh-CN" w:bidi="ar"/>
              </w:rPr>
              <w:t>.</w:t>
            </w:r>
            <w:r>
              <w:rPr>
                <w:rFonts w:hint="eastAsia" w:ascii="宋体" w:hAnsi="宋体" w:cs="宋体"/>
                <w:i w:val="0"/>
                <w:iCs w:val="0"/>
                <w:color w:val="000000"/>
                <w:kern w:val="0"/>
                <w:sz w:val="20"/>
                <w:szCs w:val="20"/>
                <w:highlight w:val="none"/>
                <w:u w:val="none"/>
                <w:lang w:val="en-US" w:eastAsia="zh-CN" w:bidi="ar"/>
              </w:rPr>
              <w:t>报餐系统接口联调、系统测试验收、培训及试运行支持</w:t>
            </w:r>
            <w:r>
              <w:rPr>
                <w:rFonts w:hint="eastAsia" w:ascii="宋体" w:hAnsi="宋体" w:eastAsia="宋体" w:cs="宋体"/>
                <w:i w:val="0"/>
                <w:iCs w:val="0"/>
                <w:color w:val="000000"/>
                <w:kern w:val="0"/>
                <w:sz w:val="20"/>
                <w:szCs w:val="20"/>
                <w:highlight w:val="none"/>
                <w:u w:val="none"/>
                <w:lang w:val="en-US" w:eastAsia="zh-CN" w:bidi="ar"/>
              </w:rPr>
              <w:t>；</w:t>
            </w:r>
          </w:p>
          <w:p>
            <w:pPr>
              <w:keepNext w:val="0"/>
              <w:keepLines w:val="0"/>
              <w:widowControl/>
              <w:suppressLineNumbers w:val="0"/>
              <w:spacing w:line="240" w:lineRule="auto"/>
              <w:ind w:firstLine="0" w:firstLineChars="0"/>
              <w:jc w:val="both"/>
              <w:textAlignment w:val="center"/>
              <w:rPr>
                <w:rFonts w:hint="eastAsia" w:ascii="宋体" w:hAnsi="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r>
              <w:rPr>
                <w:rFonts w:hint="eastAsia" w:ascii="宋体" w:hAnsi="宋体" w:cs="宋体"/>
                <w:i w:val="0"/>
                <w:iCs w:val="0"/>
                <w:color w:val="000000"/>
                <w:kern w:val="0"/>
                <w:sz w:val="20"/>
                <w:szCs w:val="20"/>
                <w:highlight w:val="none"/>
                <w:u w:val="none"/>
                <w:lang w:val="en-US" w:eastAsia="zh-CN" w:bidi="ar"/>
              </w:rPr>
              <w:t>配合编制相关研究论文；</w:t>
            </w:r>
          </w:p>
          <w:p>
            <w:pPr>
              <w:keepNext w:val="0"/>
              <w:keepLines w:val="0"/>
              <w:widowControl/>
              <w:suppressLineNumbers w:val="0"/>
              <w:spacing w:line="240" w:lineRule="auto"/>
              <w:ind w:firstLine="0" w:firstLineChars="0"/>
              <w:jc w:val="both"/>
              <w:textAlignment w:val="center"/>
              <w:rPr>
                <w:rFonts w:hint="eastAsia" w:ascii="宋体" w:hAnsi="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4.配合编制相关研究论文；</w:t>
            </w:r>
          </w:p>
          <w:p>
            <w:pPr>
              <w:keepNext w:val="0"/>
              <w:keepLines w:val="0"/>
              <w:widowControl/>
              <w:suppressLineNumbers w:val="0"/>
              <w:spacing w:line="240" w:lineRule="auto"/>
              <w:ind w:firstLine="0" w:firstLineChars="0"/>
              <w:jc w:val="both"/>
              <w:textAlignment w:val="center"/>
              <w:rPr>
                <w:rFonts w:hint="eastAsia" w:ascii="宋体" w:hAnsi="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5.完成第三方检测（检测机构应具备CMA或CNAS认证资质）；</w:t>
            </w:r>
          </w:p>
          <w:p>
            <w:pPr>
              <w:keepNext w:val="0"/>
              <w:keepLines w:val="0"/>
              <w:widowControl/>
              <w:suppressLineNumbers w:val="0"/>
              <w:spacing w:line="240" w:lineRule="auto"/>
              <w:ind w:firstLine="0" w:firstLineChars="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6.在超特高压新型电气装备科技成果转化中试基地完成中试。</w:t>
            </w:r>
          </w:p>
        </w:tc>
        <w:tc>
          <w:tcPr>
            <w:tcW w:w="1309" w:type="dxa"/>
            <w:noWrap w:val="0"/>
            <w:vAlign w:val="center"/>
          </w:tcPr>
          <w:p>
            <w:pPr>
              <w:keepNext w:val="0"/>
              <w:keepLines w:val="0"/>
              <w:widowControl/>
              <w:suppressLineNumbers w:val="0"/>
              <w:spacing w:line="240" w:lineRule="auto"/>
              <w:ind w:firstLine="0" w:firstLineChars="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招标方指定地点</w:t>
            </w:r>
          </w:p>
        </w:tc>
      </w:tr>
      <w:bookmarkEnd w:id="22"/>
      <w:bookmarkEnd w:id="23"/>
    </w:tbl>
    <w:p>
      <w:pPr>
        <w:pStyle w:val="4"/>
        <w:numPr>
          <w:ilvl w:val="255"/>
          <w:numId w:val="0"/>
        </w:numPr>
        <w:spacing w:before="312" w:after="156"/>
        <w:rPr>
          <w:rFonts w:hint="eastAsia" w:ascii="宋体" w:hAnsi="宋体" w:eastAsia="宋体" w:cs="Times New Roman"/>
        </w:rPr>
      </w:pPr>
      <w:bookmarkStart w:id="30" w:name="_Toc23208"/>
      <w:r>
        <w:rPr>
          <w:rFonts w:hint="eastAsia" w:ascii="宋体" w:hAnsi="宋体" w:eastAsia="宋体" w:cs="Times New Roman"/>
          <w:lang w:val="en-US" w:eastAsia="zh-CN"/>
        </w:rPr>
        <w:t>6.</w:t>
      </w:r>
      <w:r>
        <w:rPr>
          <w:rFonts w:hint="eastAsia" w:ascii="宋体" w:hAnsi="宋体" w:eastAsia="宋体" w:cs="Times New Roman"/>
        </w:rPr>
        <w:t>对投标方的要求</w:t>
      </w:r>
      <w:bookmarkEnd w:id="24"/>
      <w:bookmarkEnd w:id="25"/>
      <w:bookmarkEnd w:id="26"/>
      <w:bookmarkEnd w:id="27"/>
      <w:bookmarkEnd w:id="28"/>
      <w:bookmarkEnd w:id="29"/>
      <w:bookmarkEnd w:id="30"/>
    </w:p>
    <w:p>
      <w:pPr>
        <w:tabs>
          <w:tab w:val="left" w:pos="851"/>
        </w:tabs>
        <w:ind w:firstLine="480"/>
        <w:rPr>
          <w:rFonts w:hint="eastAsia" w:ascii="宋体" w:hAnsi="宋体" w:eastAsia="宋体" w:cs="宋体"/>
          <w:lang w:val="en-US" w:eastAsia="zh-CN"/>
        </w:rPr>
      </w:pPr>
      <w:bookmarkStart w:id="31" w:name="_Toc31887"/>
      <w:bookmarkStart w:id="32" w:name="_Toc16150"/>
      <w:bookmarkStart w:id="33" w:name="_Toc28495"/>
      <w:bookmarkStart w:id="34" w:name="_Toc369561314"/>
      <w:bookmarkStart w:id="35" w:name="_Toc369559711"/>
      <w:r>
        <w:rPr>
          <w:rFonts w:hint="eastAsia" w:ascii="宋体" w:hAnsi="宋体" w:eastAsia="宋体" w:cs="宋体"/>
          <w:lang w:val="en-US" w:eastAsia="zh-CN"/>
        </w:rPr>
        <w:t>（1）投标方按照本技术规范书技术服务范围及技术指标要求等相关技术标准制定严谨、全面、可实现的技术实施方案，并严格按照实施方案进行实施。在项目服务周期内中标方有义务在实施过程中对项目涉及的技术问题进行答疑。在项目全周期中禁止投标方再次分包本项目。</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（2）为保证投标方有效进行项目制作工作，招标方提供与项目有关的技术资料，并协助投标方协调项目实施过程中所需解决的事项。</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（3）在项目实施期间，招标方可派出技术人员并参加项目的管理及实施，投标方有责任对其进行技术指导和答疑，同时投标方也应协助提供招标方编写论文或申请专利所需的项目数据。</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在项目进行期内，双方均指定项目联系人。项目联系人承担以下责任：a、沟通项目所需的资料收集；b、沟通项目进度信息；c、协商解决项目执行过程中遇到的问题。一方变更项目联系人的，应当及时以书面形式通知另一方。未及时通知并影响项目进行或造成损失的，应承担相应的责任。</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（5）投标方必须向招标方保证工程人员组织的稳定性，保证工程按招标方的要求如期进行；在本工程结束前，参加本工程的人员变动必须取得招标方同意；</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（6）投标方负责对招标方专业人员的技术培训 （包括硬件、软件的维护及运行培训），并提供必要的工作场地；</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（7）投标方协助招标方产品开发、负责产品制作、加工、测试、实施及现场调试，参加现场验收和整体考核验收；</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（8）投标方负责提供制作范围内所有设备的文件资料和运行维护手册；</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（9）保证期以后应招标方要求，投标方应协助招标方对所供系统进行扩容升级、增加功能等工作，并优惠提供最新开发的应用软件。</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10）投标方应按照本规范书要求完成项目，项目制作的工具、方法、进度和全过程应在招标方可控的范围之内，并向招标方交付项目相关技术资料，不限于项目实施过程中产生的试验数据、电路布图、仿真模型、算法、程序、装置及零部件图纸等。未经招标方书面同意，投标方不得在其他项目中使用上述技术资料，或向任何第三方披露、使用上述技术资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11）项目实施过程中形成的知识产权归招标方所有，投标方经招标方书面同意后方可使用制作成果，但无转让权。招标方可以不定期（不限于项目期间）采取以下措施：对技术成果知识产权进行申请和保护，包括就任何技术成果申请专利、维持专利或专利有效性和对任何涉嫌或实际侵犯技术成果知识产权的行为采取一切合理必要措施。投标方参与到技术成果创造的学术应当为招标法采取上述措施提供合理的帮助。</w:t>
      </w:r>
    </w:p>
    <w:p>
      <w:pPr>
        <w:pStyle w:val="4"/>
        <w:numPr>
          <w:ilvl w:val="255"/>
          <w:numId w:val="0"/>
        </w:numPr>
        <w:spacing w:before="312" w:after="156"/>
        <w:rPr>
          <w:rFonts w:hint="eastAsia" w:ascii="宋体" w:hAnsi="宋体" w:eastAsia="宋体" w:cs="Times New Roman"/>
        </w:rPr>
      </w:pPr>
      <w:bookmarkStart w:id="36" w:name="_Toc30826"/>
      <w:bookmarkStart w:id="37" w:name="_Toc2553"/>
      <w:r>
        <w:rPr>
          <w:rFonts w:hint="eastAsia" w:ascii="宋体" w:hAnsi="宋体" w:eastAsia="宋体" w:cs="Times New Roman"/>
          <w:lang w:val="en-US" w:eastAsia="zh-CN"/>
        </w:rPr>
        <w:t>7</w:t>
      </w:r>
      <w:bookmarkEnd w:id="31"/>
      <w:bookmarkEnd w:id="32"/>
      <w:bookmarkEnd w:id="33"/>
      <w:bookmarkEnd w:id="34"/>
      <w:bookmarkEnd w:id="35"/>
      <w:r>
        <w:rPr>
          <w:rFonts w:hint="eastAsia" w:ascii="宋体" w:hAnsi="宋体" w:eastAsia="宋体" w:cs="Times New Roman"/>
          <w:lang w:val="en-US" w:eastAsia="zh-CN"/>
        </w:rPr>
        <w:t>.</w:t>
      </w:r>
      <w:r>
        <w:rPr>
          <w:rFonts w:hint="eastAsia" w:ascii="宋体" w:hAnsi="宋体" w:eastAsia="宋体" w:cs="Times New Roman"/>
        </w:rPr>
        <w:t>售后服务及其它服务要求</w:t>
      </w:r>
      <w:bookmarkEnd w:id="36"/>
      <w:bookmarkEnd w:id="37"/>
    </w:p>
    <w:p>
      <w:pPr>
        <w:tabs>
          <w:tab w:val="left" w:pos="851"/>
        </w:tabs>
        <w:ind w:firstLine="480"/>
        <w:rPr>
          <w:rFonts w:hint="eastAsia" w:ascii="宋体" w:hAnsi="宋体" w:eastAsia="宋体" w:cs="宋体"/>
          <w:lang w:val="en-US" w:eastAsia="zh-CN"/>
        </w:rPr>
      </w:pPr>
      <w:bookmarkStart w:id="38" w:name="_Toc28511"/>
      <w:bookmarkStart w:id="39" w:name="_Toc29252"/>
      <w:bookmarkStart w:id="40" w:name="_Toc30582"/>
      <w:bookmarkStart w:id="41" w:name="_Toc10420"/>
      <w:bookmarkStart w:id="42" w:name="_Toc20198"/>
      <w:bookmarkStart w:id="43" w:name="_Toc10389"/>
      <w:bookmarkStart w:id="44" w:name="_Toc20620"/>
      <w:bookmarkStart w:id="45" w:name="_Toc10829"/>
      <w:bookmarkStart w:id="46" w:name="_Toc11564"/>
      <w:bookmarkStart w:id="47" w:name="_Toc13136"/>
      <w:bookmarkStart w:id="48" w:name="_Toc26310"/>
      <w:bookmarkStart w:id="49" w:name="_Toc26277"/>
      <w:bookmarkStart w:id="50" w:name="_Toc28372"/>
      <w:bookmarkStart w:id="51" w:name="_Toc20141"/>
      <w:r>
        <w:rPr>
          <w:rFonts w:hint="eastAsia" w:ascii="宋体" w:hAnsi="宋体" w:eastAsia="宋体" w:cs="宋体"/>
          <w:lang w:val="en-US" w:eastAsia="zh-CN"/>
        </w:rPr>
        <w:t>7.1 售后服务</w:t>
      </w:r>
      <w:bookmarkEnd w:id="38"/>
      <w:bookmarkEnd w:id="39"/>
      <w:bookmarkEnd w:id="40"/>
      <w:bookmarkEnd w:id="41"/>
      <w:bookmarkEnd w:id="42"/>
      <w:bookmarkEnd w:id="43"/>
      <w:bookmarkEnd w:id="44"/>
      <w:bookmarkEnd w:id="45"/>
      <w:bookmarkEnd w:id="46"/>
      <w:bookmarkEnd w:id="47"/>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（1）项目质保期为12个月，质保期自项目完工并通过招标方验收之日起开始计算。投标方应免费提供系统软件升级、培训、设计联络、技术服务，并保障设备生命周期内所有软件系统的技术支持；</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（2）提供7×24小时的技术支持服务，制定固定的技术负责人及联络电话等，技术负责人变更前应书面通知招标方。</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（3）在用户发现软件故障时，投标方必须在用户提出维护要求的4小时内作出响应，24小时内提交故障分析报告和解决方案，48小时内解决故障；</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（4）对于用户提出的软件性能提高、功能增加等改进要求，如属“技术规范书”的范畴，投标方应在2周内予以解决；如属“技术规范书”以外的功能制作，也应提供优惠服务。</w:t>
      </w:r>
    </w:p>
    <w:p>
      <w:pPr>
        <w:tabs>
          <w:tab w:val="left" w:pos="851"/>
        </w:tabs>
        <w:ind w:firstLine="480"/>
        <w:rPr>
          <w:rFonts w:hint="eastAsia" w:ascii="宋体" w:hAnsi="宋体" w:eastAsia="宋体" w:cs="宋体"/>
          <w:lang w:val="en-US" w:eastAsia="zh-CN"/>
        </w:rPr>
      </w:pPr>
      <w:bookmarkStart w:id="52" w:name="_Toc9332"/>
      <w:bookmarkStart w:id="53" w:name="_Toc3047"/>
      <w:bookmarkStart w:id="54" w:name="_Toc24565"/>
      <w:bookmarkStart w:id="55" w:name="_Toc22421"/>
      <w:bookmarkStart w:id="56" w:name="_Toc6703"/>
      <w:bookmarkStart w:id="57" w:name="_Toc10191"/>
      <w:bookmarkStart w:id="58" w:name="_Toc12127"/>
      <w:bookmarkStart w:id="59" w:name="_Toc29014"/>
      <w:bookmarkStart w:id="60" w:name="_Toc12748"/>
      <w:bookmarkStart w:id="61" w:name="_Toc17466"/>
      <w:bookmarkStart w:id="62" w:name="_Toc12828"/>
      <w:bookmarkStart w:id="63" w:name="_Toc11532"/>
      <w:r>
        <w:rPr>
          <w:rFonts w:hint="eastAsia" w:ascii="宋体" w:hAnsi="宋体" w:eastAsia="宋体" w:cs="宋体"/>
          <w:lang w:val="en-US" w:eastAsia="zh-CN"/>
        </w:rPr>
        <w:t>7.2 其它服务要求</w:t>
      </w:r>
      <w:bookmarkEnd w:id="52"/>
      <w:bookmarkEnd w:id="53"/>
      <w:bookmarkEnd w:id="54"/>
      <w:bookmarkEnd w:id="55"/>
      <w:bookmarkEnd w:id="56"/>
      <w:bookmarkEnd w:id="57"/>
      <w:bookmarkEnd w:id="58"/>
      <w:bookmarkEnd w:id="59"/>
      <w:bookmarkEnd w:id="60"/>
      <w:bookmarkEnd w:id="61"/>
      <w:bookmarkEnd w:id="62"/>
      <w:bookmarkEnd w:id="63"/>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（1）应对技术支持人员进行网络安全身份认证及背景审查，并进行安全教育、培训；</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 投标方人员现场按规定流程工作，严禁使用非专用终端（笔记本电脑）、移动介质（U盘），防范病毒感染等风险；系统应满足信息网络安全要求，以及南方电网公司网络安全合规库要求，系统涉及的操作系统、数据库等均应为自主可控的产品；</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（3）投标方应做好有关信息的保密工作，严禁将带有南方电网公司标志及相关信息的制作、测试环境接入互联网等外部环境，严禁将系统运行的业务数据拷贝或发送到外部使用。</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投标人提供的操作系统、数据库、中间件等应选用安全可靠的产品。操作系统须通过中国信息安全测评中心、国家保密科技测评中心的安全可靠测评（如麒麟、统信等操作系统）。使用的集中式数据库必须通过中国信息安全测评中心、国家保密科技测评中心的安全可靠测评。</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5）若涉及计算机（服务器、工作站、便携式电脑等）、网络设备（交换机、路由器）、网络安全设备（防火墙、加密、态势感知装置等）及计算机外接设备（打印机、扫描仪、多功能一体机）应选用安全可靠产品，其产品的中央处理器（CPU）须通过中国信息安全测评中心、国家保密科技测评中心的安全可靠测评。</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6）投标人提供的其他网信软、硬件产品应满足国产化要求，具有完整国产自主知识产权（提供专利证书或软件著作权证书），不得使用未通过国家网络安全审查的设备元件、组件。禁止选用经国家相关部门检测认定并经国家能源局通报存在漏洞和风险的系统及设备。除安全接入区外，禁止选用具有无线通信功能的设备。</w:t>
      </w:r>
      <w:bookmarkEnd w:id="48"/>
      <w:bookmarkEnd w:id="49"/>
      <w:bookmarkEnd w:id="50"/>
      <w:bookmarkEnd w:id="51"/>
      <w:bookmarkStart w:id="64" w:name="_Toc1182"/>
      <w:bookmarkStart w:id="65" w:name="_Toc16657"/>
    </w:p>
    <w:p>
      <w:pPr>
        <w:pStyle w:val="4"/>
        <w:numPr>
          <w:ilvl w:val="255"/>
          <w:numId w:val="0"/>
        </w:numPr>
        <w:spacing w:before="312" w:after="156"/>
        <w:rPr>
          <w:rFonts w:hint="eastAsia" w:ascii="宋体" w:hAnsi="宋体" w:eastAsia="宋体" w:cs="Times New Roman"/>
        </w:rPr>
      </w:pPr>
      <w:r>
        <w:rPr>
          <w:rFonts w:hint="eastAsia" w:ascii="宋体" w:hAnsi="宋体" w:eastAsia="宋体" w:cs="Times New Roman"/>
          <w:lang w:val="en-US" w:eastAsia="zh-CN"/>
        </w:rPr>
        <w:t>8.</w:t>
      </w:r>
      <w:r>
        <w:rPr>
          <w:rFonts w:hint="eastAsia" w:ascii="宋体" w:hAnsi="宋体" w:eastAsia="宋体" w:cs="Times New Roman"/>
        </w:rPr>
        <w:t>对投标技术文件的要求</w:t>
      </w:r>
      <w:bookmarkEnd w:id="64"/>
      <w:bookmarkEnd w:id="65"/>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投标技术文件必须包括但不限于以下内容：投标技术文件响应，技术差异表。</w:t>
      </w:r>
    </w:p>
    <w:p>
      <w:pPr>
        <w:tabs>
          <w:tab w:val="left" w:pos="851"/>
        </w:tabs>
        <w:ind w:firstLine="480"/>
        <w:rPr>
          <w:rFonts w:hint="eastAsia" w:ascii="宋体" w:hAnsi="宋体" w:eastAsia="宋体" w:cs="宋体"/>
          <w:lang w:val="en-US" w:eastAsia="zh-CN"/>
        </w:rPr>
      </w:pPr>
      <w:bookmarkStart w:id="66" w:name="_Toc11575"/>
      <w:r>
        <w:rPr>
          <w:rFonts w:hint="eastAsia" w:ascii="宋体" w:hAnsi="宋体" w:eastAsia="宋体" w:cs="宋体"/>
          <w:lang w:val="en-US" w:eastAsia="zh-CN"/>
        </w:rPr>
        <w:t>8.1投标文件的响应</w:t>
      </w:r>
      <w:bookmarkEnd w:id="66"/>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投标人的投标技术文件响应中，要求对本招标文件所提出各项要求进行逐条逐项答复、说明和解释。首先对实现或满足程度明确作出“满足”、“部分满足”、“不满足”等应答，不得使用“明白”、“理解”等词语。凡采用“详见”、“参见”等方式说明的，应指明参见文档的章节及页码。凡采用“部分满足”应答的，应详细说明哪部分满足或不满足。</w:t>
      </w:r>
    </w:p>
    <w:p>
      <w:pPr>
        <w:snapToGrid w:val="0"/>
        <w:spacing w:line="360" w:lineRule="auto"/>
        <w:ind w:firstLine="0" w:firstLineChars="0"/>
        <w:jc w:val="center"/>
        <w:rPr>
          <w:color w:val="auto"/>
          <w:szCs w:val="21"/>
          <w:highlight w:val="none"/>
        </w:rPr>
      </w:pPr>
      <w:bookmarkStart w:id="67" w:name="_Toc283142574"/>
      <w:r>
        <w:rPr>
          <w:rFonts w:hint="eastAsia"/>
          <w:color w:val="auto"/>
          <w:szCs w:val="21"/>
          <w:highlight w:val="none"/>
        </w:rPr>
        <w:t>表</w:t>
      </w:r>
      <w:r>
        <w:rPr>
          <w:rFonts w:hint="eastAsia"/>
          <w:color w:val="auto"/>
          <w:szCs w:val="21"/>
          <w:highlight w:val="none"/>
          <w:lang w:val="en-US" w:eastAsia="zh-CN"/>
        </w:rPr>
        <w:t>8.1</w:t>
      </w:r>
      <w:r>
        <w:rPr>
          <w:color w:val="auto"/>
          <w:szCs w:val="21"/>
          <w:highlight w:val="none"/>
        </w:rPr>
        <w:t xml:space="preserve">  </w:t>
      </w:r>
      <w:bookmarkEnd w:id="67"/>
      <w:r>
        <w:rPr>
          <w:rFonts w:hint="eastAsia"/>
          <w:color w:val="auto"/>
          <w:szCs w:val="21"/>
          <w:highlight w:val="none"/>
        </w:rPr>
        <w:t>技术参数和性能要求响应表</w:t>
      </w:r>
    </w:p>
    <w:tbl>
      <w:tblPr>
        <w:tblStyle w:val="19"/>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2"/>
        <w:gridCol w:w="2141"/>
        <w:gridCol w:w="3649"/>
        <w:gridCol w:w="19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pct"/>
            <w:noWrap w:val="0"/>
            <w:vAlign w:val="center"/>
          </w:tcPr>
          <w:p>
            <w:pPr>
              <w:adjustRightInd w:val="0"/>
              <w:snapToGrid w:val="0"/>
              <w:spacing w:line="348" w:lineRule="auto"/>
              <w:ind w:firstLine="0" w:firstLineChars="0"/>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序号</w:t>
            </w:r>
          </w:p>
        </w:tc>
        <w:tc>
          <w:tcPr>
            <w:tcW w:w="1258" w:type="pct"/>
            <w:noWrap w:val="0"/>
            <w:vAlign w:val="center"/>
          </w:tcPr>
          <w:p>
            <w:pPr>
              <w:adjustRightInd w:val="0"/>
              <w:snapToGrid w:val="0"/>
              <w:spacing w:line="348" w:lineRule="auto"/>
              <w:ind w:firstLine="0" w:firstLineChars="0"/>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标的名称</w:t>
            </w:r>
          </w:p>
        </w:tc>
        <w:tc>
          <w:tcPr>
            <w:tcW w:w="2144" w:type="pct"/>
            <w:noWrap w:val="0"/>
            <w:vAlign w:val="center"/>
          </w:tcPr>
          <w:p>
            <w:pPr>
              <w:widowControl w:val="0"/>
              <w:ind w:firstLine="0" w:firstLineChars="0"/>
              <w:jc w:val="center"/>
              <w:rPr>
                <w:rFonts w:hint="eastAsia" w:ascii="宋体" w:hAnsi="宋体" w:eastAsia="宋体" w:cs="宋体"/>
                <w:kern w:val="2"/>
                <w:sz w:val="24"/>
                <w:szCs w:val="24"/>
                <w:highlight w:val="none"/>
                <w:vertAlign w:val="baseline"/>
                <w:lang w:val="en-US" w:eastAsia="zh-CN" w:bidi="ar-SA"/>
              </w:rPr>
            </w:pPr>
            <w:r>
              <w:rPr>
                <w:rFonts w:hint="eastAsia" w:ascii="宋体" w:hAnsi="宋体" w:eastAsia="宋体" w:cs="宋体"/>
                <w:kern w:val="2"/>
                <w:sz w:val="24"/>
                <w:szCs w:val="24"/>
                <w:highlight w:val="none"/>
                <w:lang w:val="en-US" w:eastAsia="zh-CN" w:bidi="ar-SA"/>
              </w:rPr>
              <w:t>项目要求值</w:t>
            </w:r>
          </w:p>
        </w:tc>
        <w:tc>
          <w:tcPr>
            <w:tcW w:w="1125" w:type="pct"/>
            <w:noWrap w:val="0"/>
            <w:vAlign w:val="center"/>
          </w:tcPr>
          <w:p>
            <w:pPr>
              <w:widowControl w:val="0"/>
              <w:ind w:firstLine="0" w:firstLineChars="0"/>
              <w:jc w:val="center"/>
              <w:rPr>
                <w:rFonts w:hint="eastAsia" w:ascii="宋体" w:hAnsi="宋体" w:eastAsia="宋体" w:cs="宋体"/>
                <w:kern w:val="2"/>
                <w:sz w:val="24"/>
                <w:szCs w:val="24"/>
                <w:highlight w:val="none"/>
                <w:vertAlign w:val="baseline"/>
                <w:lang w:val="en-US" w:eastAsia="zh-CN" w:bidi="ar-SA"/>
              </w:rPr>
            </w:pPr>
            <w:r>
              <w:rPr>
                <w:rFonts w:hint="eastAsia" w:ascii="宋体" w:hAnsi="宋体" w:eastAsia="宋体" w:cs="宋体"/>
                <w:kern w:val="2"/>
                <w:sz w:val="24"/>
                <w:szCs w:val="24"/>
                <w:highlight w:val="none"/>
                <w:lang w:val="en-US" w:eastAsia="zh-CN" w:bidi="ar-SA"/>
              </w:rPr>
              <w:t>投标方保证值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pct"/>
            <w:noWrap w:val="0"/>
            <w:vAlign w:val="center"/>
          </w:tcPr>
          <w:p>
            <w:pPr>
              <w:keepNext w:val="0"/>
              <w:keepLines w:val="0"/>
              <w:widowControl/>
              <w:suppressLineNumbers w:val="0"/>
              <w:spacing w:line="240" w:lineRule="auto"/>
              <w:ind w:firstLine="0" w:firstLineChars="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1</w:t>
            </w:r>
          </w:p>
        </w:tc>
        <w:tc>
          <w:tcPr>
            <w:tcW w:w="1258" w:type="pct"/>
            <w:noWrap w:val="0"/>
            <w:vAlign w:val="center"/>
          </w:tcPr>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一套基于食堂食材全链条管理的数字智能系统</w:t>
            </w:r>
          </w:p>
        </w:tc>
        <w:tc>
          <w:tcPr>
            <w:tcW w:w="2144" w:type="pct"/>
            <w:noWrap w:val="0"/>
            <w:vAlign w:val="center"/>
          </w:tcPr>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1.形成手持信息终端3套；</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2.形成数智管理信息系统1套，具备食材管理、健康分析、动态结算功能；</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r>
              <w:rPr>
                <w:rFonts w:hint="eastAsia" w:ascii="宋体" w:hAnsi="宋体" w:cs="宋体"/>
                <w:i w:val="0"/>
                <w:iCs w:val="0"/>
                <w:color w:val="000000"/>
                <w:kern w:val="0"/>
                <w:sz w:val="20"/>
                <w:szCs w:val="20"/>
                <w:highlight w:val="none"/>
                <w:u w:val="none"/>
                <w:lang w:val="en-US" w:eastAsia="zh-CN" w:bidi="ar"/>
              </w:rPr>
              <w:t>完成</w:t>
            </w:r>
            <w:r>
              <w:rPr>
                <w:rFonts w:hint="eastAsia" w:ascii="宋体" w:hAnsi="宋体" w:eastAsia="宋体" w:cs="宋体"/>
                <w:i w:val="0"/>
                <w:iCs w:val="0"/>
                <w:color w:val="000000"/>
                <w:kern w:val="0"/>
                <w:sz w:val="20"/>
                <w:szCs w:val="20"/>
                <w:highlight w:val="none"/>
                <w:u w:val="none"/>
                <w:lang w:val="en-US" w:eastAsia="zh-CN" w:bidi="ar"/>
              </w:rPr>
              <w:t>第三方检测</w:t>
            </w:r>
            <w:r>
              <w:rPr>
                <w:rFonts w:hint="eastAsia" w:ascii="宋体" w:hAnsi="宋体" w:cs="宋体"/>
                <w:i w:val="0"/>
                <w:iCs w:val="0"/>
                <w:color w:val="000000"/>
                <w:kern w:val="0"/>
                <w:sz w:val="20"/>
                <w:szCs w:val="20"/>
                <w:highlight w:val="none"/>
                <w:u w:val="none"/>
                <w:lang w:val="en-US" w:eastAsia="zh-CN" w:bidi="ar"/>
              </w:rPr>
              <w:t>报告及相关中试报告个1份。</w:t>
            </w:r>
          </w:p>
        </w:tc>
        <w:tc>
          <w:tcPr>
            <w:tcW w:w="1125" w:type="pct"/>
            <w:noWrap w:val="0"/>
            <w:vAlign w:val="center"/>
          </w:tcPr>
          <w:p>
            <w:pPr>
              <w:keepNext w:val="0"/>
              <w:keepLines w:val="0"/>
              <w:widowControl/>
              <w:suppressLineNumbers w:val="0"/>
              <w:spacing w:line="240" w:lineRule="auto"/>
              <w:ind w:firstLine="0" w:firstLineChars="0"/>
              <w:jc w:val="both"/>
              <w:textAlignment w:val="center"/>
              <w:rPr>
                <w:rFonts w:hint="eastAsia" w:ascii="宋体" w:hAnsi="宋体" w:eastAsia="宋体" w:cs="宋体"/>
                <w:sz w:val="24"/>
                <w:szCs w:val="24"/>
                <w:highlight w:val="none"/>
                <w:vertAlign w:val="baseline"/>
              </w:rPr>
            </w:pPr>
          </w:p>
        </w:tc>
      </w:tr>
    </w:tbl>
    <w:p>
      <w:pPr>
        <w:rPr>
          <w:rFonts w:hint="eastAsia" w:ascii="宋体" w:hAnsi="宋体" w:cs="宋体"/>
          <w:sz w:val="24"/>
          <w:szCs w:val="24"/>
          <w:highlight w:val="none"/>
        </w:rPr>
      </w:pPr>
    </w:p>
    <w:p>
      <w:pPr>
        <w:tabs>
          <w:tab w:val="left" w:pos="851"/>
        </w:tabs>
        <w:ind w:firstLine="480"/>
        <w:rPr>
          <w:rFonts w:hint="eastAsia" w:ascii="宋体" w:hAnsi="宋体" w:eastAsia="宋体" w:cs="宋体"/>
          <w:lang w:val="en-US" w:eastAsia="zh-CN"/>
        </w:rPr>
      </w:pPr>
      <w:bookmarkStart w:id="68" w:name="_Toc23057"/>
      <w:r>
        <w:rPr>
          <w:rFonts w:hint="eastAsia" w:ascii="宋体" w:hAnsi="宋体" w:eastAsia="宋体" w:cs="宋体"/>
          <w:lang w:val="en-US" w:eastAsia="zh-CN"/>
        </w:rPr>
        <w:t>8.2投标方技术偏差表</w:t>
      </w:r>
      <w:bookmarkEnd w:id="68"/>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投标方提供的产品技术规范应与本技术规范中规定的要求一致。若有偏差投标方应如实、认真地填写偏差值；若无技术偏差则视为完全满足本技术规范的要求，且在投标方技术偏差表中填写“无偏差”。</w:t>
      </w:r>
    </w:p>
    <w:p>
      <w:pPr>
        <w:keepNext/>
        <w:keepLines w:val="0"/>
        <w:pageBreakBefore w:val="0"/>
        <w:widowControl w:val="0"/>
        <w:kinsoku/>
        <w:wordWrap/>
        <w:overflowPunct/>
        <w:topLinePunct w:val="0"/>
        <w:autoSpaceDE/>
        <w:autoSpaceDN/>
        <w:bidi w:val="0"/>
        <w:adjustRightInd/>
        <w:snapToGrid/>
        <w:jc w:val="center"/>
        <w:textAlignment w:val="auto"/>
        <w:rPr>
          <w:rFonts w:eastAsia="宋"/>
          <w:color w:val="auto"/>
          <w:highlight w:val="none"/>
        </w:rPr>
      </w:pPr>
      <w:r>
        <w:rPr>
          <w:rFonts w:hint="eastAsia" w:eastAsia="宋"/>
          <w:color w:val="auto"/>
          <w:highlight w:val="none"/>
          <w:lang w:val="en-US" w:eastAsia="zh-CN"/>
        </w:rPr>
        <w:t>表8.2</w:t>
      </w:r>
      <w:r>
        <w:rPr>
          <w:rFonts w:hint="eastAsia" w:eastAsia="宋"/>
          <w:color w:val="auto"/>
          <w:highlight w:val="none"/>
        </w:rPr>
        <w:t>投标方技术偏差表</w:t>
      </w:r>
    </w:p>
    <w:tbl>
      <w:tblPr>
        <w:tblStyle w:val="18"/>
        <w:tblpPr w:leftFromText="180" w:rightFromText="180" w:vertAnchor="text" w:horzAnchor="page" w:tblpX="1857" w:tblpY="313"/>
        <w:tblOverlap w:val="never"/>
        <w:tblW w:w="8417"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601"/>
        <w:gridCol w:w="1104"/>
        <w:gridCol w:w="1760"/>
        <w:gridCol w:w="2013"/>
        <w:gridCol w:w="1613"/>
        <w:gridCol w:w="132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0" w:firstLineChars="0"/>
              <w:contextualSpacing/>
              <w:jc w:val="center"/>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序号</w:t>
            </w:r>
          </w:p>
        </w:tc>
        <w:tc>
          <w:tcPr>
            <w:tcW w:w="1104" w:type="dxa"/>
            <w:noWrap w:val="0"/>
            <w:tcMar>
              <w:left w:w="0" w:type="dxa"/>
              <w:right w:w="0" w:type="dxa"/>
            </w:tcMar>
            <w:vAlign w:val="center"/>
          </w:tcPr>
          <w:p>
            <w:pPr>
              <w:widowControl w:val="0"/>
              <w:topLinePunct/>
              <w:snapToGrid w:val="0"/>
              <w:spacing w:before="60" w:after="6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项目</w:t>
            </w:r>
          </w:p>
        </w:tc>
        <w:tc>
          <w:tcPr>
            <w:tcW w:w="1760" w:type="dxa"/>
            <w:noWrap w:val="0"/>
            <w:tcMar>
              <w:left w:w="0" w:type="dxa"/>
              <w:right w:w="0" w:type="dxa"/>
            </w:tcMar>
            <w:vAlign w:val="center"/>
          </w:tcPr>
          <w:p>
            <w:pPr>
              <w:widowControl w:val="0"/>
              <w:topLinePunct/>
              <w:snapToGrid w:val="0"/>
              <w:spacing w:before="60" w:after="60"/>
              <w:ind w:left="0" w:leftChars="0" w:firstLine="0" w:firstLineChars="0"/>
              <w:contextualSpacing/>
              <w:jc w:val="center"/>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对应条款编号</w:t>
            </w:r>
          </w:p>
        </w:tc>
        <w:tc>
          <w:tcPr>
            <w:tcW w:w="2013" w:type="dxa"/>
            <w:noWrap w:val="0"/>
            <w:tcMar>
              <w:left w:w="0" w:type="dxa"/>
              <w:right w:w="0" w:type="dxa"/>
            </w:tcMar>
            <w:vAlign w:val="center"/>
          </w:tcPr>
          <w:p>
            <w:pPr>
              <w:widowControl w:val="0"/>
              <w:topLinePunct/>
              <w:snapToGrid w:val="0"/>
              <w:spacing w:before="60" w:after="60"/>
              <w:ind w:left="0" w:leftChars="0" w:firstLine="0" w:firstLineChars="0"/>
              <w:contextualSpacing/>
              <w:jc w:val="center"/>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技术招标文件要求</w:t>
            </w:r>
          </w:p>
        </w:tc>
        <w:tc>
          <w:tcPr>
            <w:tcW w:w="1613" w:type="dxa"/>
            <w:noWrap w:val="0"/>
            <w:tcMar>
              <w:left w:w="0" w:type="dxa"/>
              <w:right w:w="0" w:type="dxa"/>
            </w:tcMar>
            <w:vAlign w:val="center"/>
          </w:tcPr>
          <w:p>
            <w:pPr>
              <w:widowControl w:val="0"/>
              <w:topLinePunct/>
              <w:snapToGrid w:val="0"/>
              <w:spacing w:before="60" w:after="60"/>
              <w:contextualSpacing/>
              <w:jc w:val="both"/>
              <w:rPr>
                <w:rFonts w:ascii="Calibri" w:hAnsi="Calibri" w:eastAsia="宋" w:cs="Times New Roman"/>
                <w:color w:val="auto"/>
                <w:kern w:val="2"/>
                <w:sz w:val="21"/>
                <w:szCs w:val="21"/>
                <w:highlight w:val="none"/>
                <w:lang w:val="en-US" w:eastAsia="zh-CN" w:bidi="ar-SA"/>
              </w:rPr>
            </w:pPr>
            <w:r>
              <w:rPr>
                <w:rFonts w:hint="eastAsia" w:ascii="Calibri" w:hAnsi="Calibri" w:eastAsia="宋" w:cs="Times New Roman"/>
                <w:color w:val="auto"/>
                <w:kern w:val="2"/>
                <w:sz w:val="21"/>
                <w:szCs w:val="21"/>
                <w:highlight w:val="none"/>
                <w:lang w:val="en-US" w:eastAsia="zh-CN" w:bidi="ar-SA"/>
              </w:rPr>
              <w:t>偏差</w:t>
            </w:r>
          </w:p>
        </w:tc>
        <w:tc>
          <w:tcPr>
            <w:tcW w:w="1326" w:type="dxa"/>
            <w:noWrap w:val="0"/>
            <w:tcMar>
              <w:left w:w="0" w:type="dxa"/>
              <w:right w:w="0" w:type="dxa"/>
            </w:tcMar>
            <w:vAlign w:val="center"/>
          </w:tcPr>
          <w:p>
            <w:pPr>
              <w:widowControl w:val="0"/>
              <w:topLinePunct/>
              <w:snapToGrid w:val="0"/>
              <w:spacing w:before="60" w:after="6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备注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210" w:firstLineChars="10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1</w:t>
            </w:r>
          </w:p>
        </w:tc>
        <w:tc>
          <w:tcPr>
            <w:tcW w:w="1104"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760"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20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6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326"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210" w:firstLineChars="10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2</w:t>
            </w:r>
          </w:p>
        </w:tc>
        <w:tc>
          <w:tcPr>
            <w:tcW w:w="1104"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760"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20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6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326"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210" w:firstLineChars="100"/>
              <w:contextualSpacing/>
              <w:jc w:val="both"/>
              <w:rPr>
                <w:rFonts w:hint="eastAsia" w:ascii="Calibri" w:hAnsi="Calibri" w:eastAsia="宋" w:cs="Times New Roman"/>
                <w:color w:val="auto"/>
                <w:kern w:val="2"/>
                <w:sz w:val="21"/>
                <w:szCs w:val="21"/>
                <w:highlight w:val="none"/>
                <w:lang w:val="en-US" w:eastAsia="zh-CN" w:bidi="ar-SA"/>
              </w:rPr>
            </w:pPr>
            <w:r>
              <w:rPr>
                <w:rFonts w:hint="eastAsia" w:ascii="Calibri" w:hAnsi="Calibri" w:eastAsia="宋" w:cs="Times New Roman"/>
                <w:color w:val="auto"/>
                <w:kern w:val="2"/>
                <w:sz w:val="21"/>
                <w:szCs w:val="21"/>
                <w:highlight w:val="none"/>
                <w:lang w:val="en-US" w:eastAsia="zh-CN" w:bidi="ar-SA"/>
              </w:rPr>
              <w:t>3</w:t>
            </w:r>
          </w:p>
        </w:tc>
        <w:tc>
          <w:tcPr>
            <w:tcW w:w="1104"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760"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20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6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326"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r>
    </w:tbl>
    <w:p>
      <w:pPr>
        <w:ind w:firstLine="480"/>
        <w:rPr>
          <w:rFonts w:hint="eastAsia" w:ascii="宋体" w:hAnsi="宋体"/>
        </w:rPr>
      </w:pPr>
    </w:p>
    <w:sectPr>
      <w:headerReference r:id="rId17" w:type="default"/>
      <w:footerReference r:id="rId18" w:type="default"/>
      <w:pgSz w:w="11906" w:h="16838"/>
      <w:pgMar w:top="1440" w:right="1800" w:bottom="1440" w:left="1800" w:header="851" w:footer="549"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宋">
    <w:altName w:val="宋体"/>
    <w:panose1 w:val="00000000000000000000"/>
    <w:charset w:val="86"/>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jc w:val="center"/>
    </w:pPr>
    <w:r>
      <w:fldChar w:fldCharType="begin"/>
    </w:r>
    <w:r>
      <w:instrText xml:space="preserve"> PAGE   \* MERGEFORMAT </w:instrText>
    </w:r>
    <w:r>
      <w:fldChar w:fldCharType="separate"/>
    </w:r>
    <w:r>
      <w:t>7</w:t>
    </w:r>
    <w:r>
      <w:fldChar w:fldCharType="end"/>
    </w:r>
  </w:p>
  <w:p>
    <w:pPr>
      <w:pStyle w:val="13"/>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top w:val="none" w:color="auto" w:sz="0" w:space="0"/>
        <w:left w:val="none" w:color="auto" w:sz="0" w:space="0"/>
        <w:bottom w:val="none" w:color="auto" w:sz="0" w:space="1"/>
        <w:right w:val="none" w:color="auto" w:sz="0" w:space="0"/>
        <w:between w:val="none" w:color="auto" w:sz="0" w:space="0"/>
      </w:pBdr>
      <w:ind w:firstLine="360"/>
    </w:pPr>
    <w:r>
      <w:rPr>
        <w:rFonts w:hint="eastAsia" w:ascii="黑体" w:hAnsi="黑体" w:eastAsia="黑体" w:cs="黑体"/>
        <w:b w:val="0"/>
        <w:bCs w:val="0"/>
        <w:color w:val="auto"/>
        <w:sz w:val="32"/>
        <w:szCs w:val="32"/>
        <w:lang w:val="en-US" w:eastAsia="zh-CN"/>
      </w:rPr>
      <w:drawing>
        <wp:anchor distT="0" distB="0" distL="114300" distR="114300" simplePos="0" relativeHeight="251659264" behindDoc="1" locked="0" layoutInCell="1" allowOverlap="1">
          <wp:simplePos x="0" y="0"/>
          <wp:positionH relativeFrom="column">
            <wp:posOffset>-1138555</wp:posOffset>
          </wp:positionH>
          <wp:positionV relativeFrom="paragraph">
            <wp:posOffset>-828040</wp:posOffset>
          </wp:positionV>
          <wp:extent cx="7765415" cy="10979150"/>
          <wp:effectExtent l="0" t="0" r="6985" b="0"/>
          <wp:wrapNone/>
          <wp:docPr id="1"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1"/>
                  <a:srcRect/>
                  <a:stretch>
                    <a:fillRect/>
                  </a:stretch>
                </pic:blipFill>
                <pic:spPr>
                  <a:xfrm>
                    <a:off x="0" y="0"/>
                    <a:ext cx="7765415" cy="1097915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ind w:firstLine="0" w:firstLineChars="0"/>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ind w:firstLine="0" w:firstLineChars="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0"/>
    <w:multiLevelType w:val="multilevel"/>
    <w:tmpl w:val="00000010"/>
    <w:lvl w:ilvl="0" w:tentative="0">
      <w:start w:val="1"/>
      <w:numFmt w:val="decimal"/>
      <w:pStyle w:val="4"/>
      <w:suff w:val="space"/>
      <w:lvlText w:val="%1."/>
      <w:lvlJc w:val="left"/>
      <w:pPr>
        <w:ind w:left="720" w:firstLine="0"/>
      </w:pPr>
      <w:rPr>
        <w:rFonts w:hint="eastAsia"/>
      </w:rPr>
    </w:lvl>
    <w:lvl w:ilvl="1" w:tentative="0">
      <w:start w:val="1"/>
      <w:numFmt w:val="decimal"/>
      <w:lvlText w:val="%1.%2."/>
      <w:lvlJc w:val="left"/>
      <w:pPr>
        <w:ind w:left="0" w:firstLine="0"/>
      </w:pPr>
      <w:rPr>
        <w:rFonts w:hint="eastAsia"/>
      </w:rPr>
    </w:lvl>
    <w:lvl w:ilvl="2" w:tentative="0">
      <w:start w:val="1"/>
      <w:numFmt w:val="decimal"/>
      <w:lvlText w:val="%1.%2.%3."/>
      <w:lvlJc w:val="left"/>
      <w:pPr>
        <w:ind w:left="0" w:firstLine="0"/>
      </w:pPr>
      <w:rPr>
        <w:rFonts w:hint="eastAsia"/>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AxNTEzOTdjZTdkOGE4MWIyMGZiYWQ4MWJkOTIwYTIifQ=="/>
  </w:docVars>
  <w:rsids>
    <w:rsidRoot w:val="00172A27"/>
    <w:rsid w:val="00004157"/>
    <w:rsid w:val="000041A4"/>
    <w:rsid w:val="000052EC"/>
    <w:rsid w:val="00007D13"/>
    <w:rsid w:val="000224BF"/>
    <w:rsid w:val="000258D4"/>
    <w:rsid w:val="00030479"/>
    <w:rsid w:val="00032717"/>
    <w:rsid w:val="00033440"/>
    <w:rsid w:val="00033F7F"/>
    <w:rsid w:val="00035681"/>
    <w:rsid w:val="00035D33"/>
    <w:rsid w:val="00043144"/>
    <w:rsid w:val="00044CDB"/>
    <w:rsid w:val="00046DFE"/>
    <w:rsid w:val="00050BDA"/>
    <w:rsid w:val="00054AA8"/>
    <w:rsid w:val="00055E63"/>
    <w:rsid w:val="00056767"/>
    <w:rsid w:val="000661E0"/>
    <w:rsid w:val="00070856"/>
    <w:rsid w:val="00072157"/>
    <w:rsid w:val="000802B5"/>
    <w:rsid w:val="00085586"/>
    <w:rsid w:val="000874A2"/>
    <w:rsid w:val="00095CB6"/>
    <w:rsid w:val="00096F1E"/>
    <w:rsid w:val="000A263D"/>
    <w:rsid w:val="000A5721"/>
    <w:rsid w:val="000A722B"/>
    <w:rsid w:val="000B3BEC"/>
    <w:rsid w:val="000B435C"/>
    <w:rsid w:val="000B4BE8"/>
    <w:rsid w:val="000B5F9E"/>
    <w:rsid w:val="000D090E"/>
    <w:rsid w:val="000D5CC4"/>
    <w:rsid w:val="000E0498"/>
    <w:rsid w:val="000E0616"/>
    <w:rsid w:val="000E0E62"/>
    <w:rsid w:val="000E5032"/>
    <w:rsid w:val="000E5C42"/>
    <w:rsid w:val="000E64A4"/>
    <w:rsid w:val="000F0767"/>
    <w:rsid w:val="00104CFA"/>
    <w:rsid w:val="001109DD"/>
    <w:rsid w:val="00111650"/>
    <w:rsid w:val="001148D6"/>
    <w:rsid w:val="00122043"/>
    <w:rsid w:val="00122E5E"/>
    <w:rsid w:val="00122E78"/>
    <w:rsid w:val="00124416"/>
    <w:rsid w:val="00124504"/>
    <w:rsid w:val="00135D83"/>
    <w:rsid w:val="00150A8E"/>
    <w:rsid w:val="00151D98"/>
    <w:rsid w:val="0016086E"/>
    <w:rsid w:val="001626EF"/>
    <w:rsid w:val="00166883"/>
    <w:rsid w:val="001668FD"/>
    <w:rsid w:val="00171826"/>
    <w:rsid w:val="00172A27"/>
    <w:rsid w:val="00176332"/>
    <w:rsid w:val="001825A1"/>
    <w:rsid w:val="0018662B"/>
    <w:rsid w:val="001945DC"/>
    <w:rsid w:val="00197251"/>
    <w:rsid w:val="00197F2E"/>
    <w:rsid w:val="001A79DB"/>
    <w:rsid w:val="001B531B"/>
    <w:rsid w:val="001C4316"/>
    <w:rsid w:val="001C52D8"/>
    <w:rsid w:val="001C5D9F"/>
    <w:rsid w:val="001D1368"/>
    <w:rsid w:val="001D3DBA"/>
    <w:rsid w:val="001D73FA"/>
    <w:rsid w:val="001D7C43"/>
    <w:rsid w:val="001E16E7"/>
    <w:rsid w:val="001E240F"/>
    <w:rsid w:val="001E5350"/>
    <w:rsid w:val="001E56E3"/>
    <w:rsid w:val="001E6310"/>
    <w:rsid w:val="001F1B3A"/>
    <w:rsid w:val="001F2E26"/>
    <w:rsid w:val="001F5E12"/>
    <w:rsid w:val="00200344"/>
    <w:rsid w:val="00204DDE"/>
    <w:rsid w:val="00206CA6"/>
    <w:rsid w:val="002076A9"/>
    <w:rsid w:val="002129DB"/>
    <w:rsid w:val="00214076"/>
    <w:rsid w:val="00215454"/>
    <w:rsid w:val="00215C24"/>
    <w:rsid w:val="002170DB"/>
    <w:rsid w:val="00221DD8"/>
    <w:rsid w:val="00223528"/>
    <w:rsid w:val="00227267"/>
    <w:rsid w:val="002272F7"/>
    <w:rsid w:val="00232F10"/>
    <w:rsid w:val="002447E5"/>
    <w:rsid w:val="00244A2F"/>
    <w:rsid w:val="00244F7C"/>
    <w:rsid w:val="00253136"/>
    <w:rsid w:val="00254812"/>
    <w:rsid w:val="0025554B"/>
    <w:rsid w:val="00256DFA"/>
    <w:rsid w:val="002578A1"/>
    <w:rsid w:val="00263624"/>
    <w:rsid w:val="0026366A"/>
    <w:rsid w:val="00273D45"/>
    <w:rsid w:val="0027655A"/>
    <w:rsid w:val="00277AB6"/>
    <w:rsid w:val="0028170E"/>
    <w:rsid w:val="00281CC3"/>
    <w:rsid w:val="00284961"/>
    <w:rsid w:val="00286DFD"/>
    <w:rsid w:val="00291885"/>
    <w:rsid w:val="00293207"/>
    <w:rsid w:val="00296ABB"/>
    <w:rsid w:val="00297FC6"/>
    <w:rsid w:val="002A2204"/>
    <w:rsid w:val="002A3CE3"/>
    <w:rsid w:val="002B11FE"/>
    <w:rsid w:val="002B3FC8"/>
    <w:rsid w:val="002B6605"/>
    <w:rsid w:val="002C3F8E"/>
    <w:rsid w:val="002C416A"/>
    <w:rsid w:val="002C6F94"/>
    <w:rsid w:val="002D2215"/>
    <w:rsid w:val="002E4799"/>
    <w:rsid w:val="002F0B3F"/>
    <w:rsid w:val="00303976"/>
    <w:rsid w:val="00304504"/>
    <w:rsid w:val="003056CF"/>
    <w:rsid w:val="00323D15"/>
    <w:rsid w:val="00330DB3"/>
    <w:rsid w:val="00331942"/>
    <w:rsid w:val="003374FB"/>
    <w:rsid w:val="00337E95"/>
    <w:rsid w:val="0035398A"/>
    <w:rsid w:val="00367D06"/>
    <w:rsid w:val="00370CBE"/>
    <w:rsid w:val="00374D73"/>
    <w:rsid w:val="00375A24"/>
    <w:rsid w:val="00383D96"/>
    <w:rsid w:val="0038428A"/>
    <w:rsid w:val="00384DD9"/>
    <w:rsid w:val="00387572"/>
    <w:rsid w:val="00390743"/>
    <w:rsid w:val="003A5221"/>
    <w:rsid w:val="003B44D9"/>
    <w:rsid w:val="003B4B63"/>
    <w:rsid w:val="003B71DA"/>
    <w:rsid w:val="003C474C"/>
    <w:rsid w:val="003D2D90"/>
    <w:rsid w:val="003D518E"/>
    <w:rsid w:val="003D5A88"/>
    <w:rsid w:val="003D6855"/>
    <w:rsid w:val="003E1652"/>
    <w:rsid w:val="003E7211"/>
    <w:rsid w:val="003F3D66"/>
    <w:rsid w:val="003F6647"/>
    <w:rsid w:val="0041096A"/>
    <w:rsid w:val="00410AB4"/>
    <w:rsid w:val="00413078"/>
    <w:rsid w:val="00414022"/>
    <w:rsid w:val="004141AF"/>
    <w:rsid w:val="00420404"/>
    <w:rsid w:val="00424010"/>
    <w:rsid w:val="004319DD"/>
    <w:rsid w:val="00431A70"/>
    <w:rsid w:val="0043697B"/>
    <w:rsid w:val="0044008D"/>
    <w:rsid w:val="004428FF"/>
    <w:rsid w:val="004436AF"/>
    <w:rsid w:val="00445A6C"/>
    <w:rsid w:val="004460FA"/>
    <w:rsid w:val="00450340"/>
    <w:rsid w:val="0046254A"/>
    <w:rsid w:val="00464CA7"/>
    <w:rsid w:val="004656FF"/>
    <w:rsid w:val="004715E2"/>
    <w:rsid w:val="00481534"/>
    <w:rsid w:val="004824FD"/>
    <w:rsid w:val="00483253"/>
    <w:rsid w:val="00486E6D"/>
    <w:rsid w:val="00490469"/>
    <w:rsid w:val="00496968"/>
    <w:rsid w:val="004977C0"/>
    <w:rsid w:val="004A3092"/>
    <w:rsid w:val="004A5258"/>
    <w:rsid w:val="004B422D"/>
    <w:rsid w:val="004B73DC"/>
    <w:rsid w:val="004B7665"/>
    <w:rsid w:val="004C2C32"/>
    <w:rsid w:val="004C679B"/>
    <w:rsid w:val="004D40D4"/>
    <w:rsid w:val="004D4E92"/>
    <w:rsid w:val="004D5806"/>
    <w:rsid w:val="004D632E"/>
    <w:rsid w:val="004E0983"/>
    <w:rsid w:val="004E0AD2"/>
    <w:rsid w:val="004E1EF8"/>
    <w:rsid w:val="004E7B53"/>
    <w:rsid w:val="004F5CCD"/>
    <w:rsid w:val="00503AB9"/>
    <w:rsid w:val="00504879"/>
    <w:rsid w:val="005067D0"/>
    <w:rsid w:val="00510D9A"/>
    <w:rsid w:val="00511A84"/>
    <w:rsid w:val="00515454"/>
    <w:rsid w:val="005200C1"/>
    <w:rsid w:val="0052107D"/>
    <w:rsid w:val="00521DD7"/>
    <w:rsid w:val="00525600"/>
    <w:rsid w:val="00532496"/>
    <w:rsid w:val="00533557"/>
    <w:rsid w:val="0053627F"/>
    <w:rsid w:val="005365C7"/>
    <w:rsid w:val="00541F49"/>
    <w:rsid w:val="00542F5A"/>
    <w:rsid w:val="0054505D"/>
    <w:rsid w:val="00546480"/>
    <w:rsid w:val="0055140F"/>
    <w:rsid w:val="005546AC"/>
    <w:rsid w:val="00555060"/>
    <w:rsid w:val="005550E0"/>
    <w:rsid w:val="00570A2E"/>
    <w:rsid w:val="00575B70"/>
    <w:rsid w:val="00576175"/>
    <w:rsid w:val="005770D1"/>
    <w:rsid w:val="00577103"/>
    <w:rsid w:val="005808E9"/>
    <w:rsid w:val="00584106"/>
    <w:rsid w:val="00586294"/>
    <w:rsid w:val="0058651D"/>
    <w:rsid w:val="00594E70"/>
    <w:rsid w:val="005950C1"/>
    <w:rsid w:val="005B5AAA"/>
    <w:rsid w:val="005B7391"/>
    <w:rsid w:val="005C0E9A"/>
    <w:rsid w:val="005C42F8"/>
    <w:rsid w:val="005C45D2"/>
    <w:rsid w:val="005C5FA1"/>
    <w:rsid w:val="005D1816"/>
    <w:rsid w:val="005D3538"/>
    <w:rsid w:val="005D3C76"/>
    <w:rsid w:val="005D5795"/>
    <w:rsid w:val="005D7E95"/>
    <w:rsid w:val="005E1C0A"/>
    <w:rsid w:val="005E4AF6"/>
    <w:rsid w:val="005F0D01"/>
    <w:rsid w:val="005F5385"/>
    <w:rsid w:val="005F642B"/>
    <w:rsid w:val="005F6C08"/>
    <w:rsid w:val="00602D5B"/>
    <w:rsid w:val="00603B29"/>
    <w:rsid w:val="006120BA"/>
    <w:rsid w:val="0061273D"/>
    <w:rsid w:val="00615391"/>
    <w:rsid w:val="00616713"/>
    <w:rsid w:val="00620489"/>
    <w:rsid w:val="00621C69"/>
    <w:rsid w:val="00624B4E"/>
    <w:rsid w:val="0063112A"/>
    <w:rsid w:val="006316A0"/>
    <w:rsid w:val="006346A1"/>
    <w:rsid w:val="00634AA5"/>
    <w:rsid w:val="0063794D"/>
    <w:rsid w:val="00640D51"/>
    <w:rsid w:val="006449DC"/>
    <w:rsid w:val="00651BDE"/>
    <w:rsid w:val="00654782"/>
    <w:rsid w:val="00660BAE"/>
    <w:rsid w:val="006620B3"/>
    <w:rsid w:val="0066639C"/>
    <w:rsid w:val="00667765"/>
    <w:rsid w:val="0067357A"/>
    <w:rsid w:val="00674005"/>
    <w:rsid w:val="00684EB5"/>
    <w:rsid w:val="006856EE"/>
    <w:rsid w:val="00685814"/>
    <w:rsid w:val="00687E51"/>
    <w:rsid w:val="006961CC"/>
    <w:rsid w:val="0069730B"/>
    <w:rsid w:val="006A050D"/>
    <w:rsid w:val="006A0C95"/>
    <w:rsid w:val="006A32DC"/>
    <w:rsid w:val="006A3E2E"/>
    <w:rsid w:val="006B31C3"/>
    <w:rsid w:val="006B7B48"/>
    <w:rsid w:val="006C3FD9"/>
    <w:rsid w:val="006C431A"/>
    <w:rsid w:val="006D1FF4"/>
    <w:rsid w:val="006E0A4A"/>
    <w:rsid w:val="006F0594"/>
    <w:rsid w:val="006F1E19"/>
    <w:rsid w:val="006F53B4"/>
    <w:rsid w:val="0070068F"/>
    <w:rsid w:val="0070113F"/>
    <w:rsid w:val="00702201"/>
    <w:rsid w:val="00702BCA"/>
    <w:rsid w:val="0071238D"/>
    <w:rsid w:val="007131CA"/>
    <w:rsid w:val="0071489E"/>
    <w:rsid w:val="00714D09"/>
    <w:rsid w:val="007157EB"/>
    <w:rsid w:val="0071769C"/>
    <w:rsid w:val="00725DF9"/>
    <w:rsid w:val="00733A12"/>
    <w:rsid w:val="007423F8"/>
    <w:rsid w:val="007429C8"/>
    <w:rsid w:val="007475B0"/>
    <w:rsid w:val="00751F29"/>
    <w:rsid w:val="0075277E"/>
    <w:rsid w:val="00755E29"/>
    <w:rsid w:val="00761415"/>
    <w:rsid w:val="00764ABD"/>
    <w:rsid w:val="00770633"/>
    <w:rsid w:val="00771A04"/>
    <w:rsid w:val="00784867"/>
    <w:rsid w:val="0078561A"/>
    <w:rsid w:val="00785A56"/>
    <w:rsid w:val="00785EFB"/>
    <w:rsid w:val="00795F84"/>
    <w:rsid w:val="0079699C"/>
    <w:rsid w:val="007B1B67"/>
    <w:rsid w:val="007B4054"/>
    <w:rsid w:val="007B7C28"/>
    <w:rsid w:val="007C0F94"/>
    <w:rsid w:val="007C3F03"/>
    <w:rsid w:val="007C5204"/>
    <w:rsid w:val="007D2307"/>
    <w:rsid w:val="007D649B"/>
    <w:rsid w:val="007E7EC8"/>
    <w:rsid w:val="007F2444"/>
    <w:rsid w:val="007F4718"/>
    <w:rsid w:val="007F5D7D"/>
    <w:rsid w:val="007F6999"/>
    <w:rsid w:val="00815AC7"/>
    <w:rsid w:val="008232D4"/>
    <w:rsid w:val="00843392"/>
    <w:rsid w:val="00843E35"/>
    <w:rsid w:val="008457D7"/>
    <w:rsid w:val="00846536"/>
    <w:rsid w:val="00856A73"/>
    <w:rsid w:val="00857C8F"/>
    <w:rsid w:val="008602E4"/>
    <w:rsid w:val="0086374E"/>
    <w:rsid w:val="00866A1B"/>
    <w:rsid w:val="00866C9F"/>
    <w:rsid w:val="00871146"/>
    <w:rsid w:val="00872365"/>
    <w:rsid w:val="0087296F"/>
    <w:rsid w:val="0087344E"/>
    <w:rsid w:val="008746D5"/>
    <w:rsid w:val="008746E1"/>
    <w:rsid w:val="00877AFA"/>
    <w:rsid w:val="00881565"/>
    <w:rsid w:val="00886426"/>
    <w:rsid w:val="00892552"/>
    <w:rsid w:val="00895652"/>
    <w:rsid w:val="008A3A45"/>
    <w:rsid w:val="008A7CE7"/>
    <w:rsid w:val="008B346E"/>
    <w:rsid w:val="008B6898"/>
    <w:rsid w:val="008B753B"/>
    <w:rsid w:val="008B7C6C"/>
    <w:rsid w:val="008C020E"/>
    <w:rsid w:val="008C26D9"/>
    <w:rsid w:val="008C342F"/>
    <w:rsid w:val="008D0CA5"/>
    <w:rsid w:val="008E3EC8"/>
    <w:rsid w:val="00901522"/>
    <w:rsid w:val="00911DA9"/>
    <w:rsid w:val="00915C4F"/>
    <w:rsid w:val="00925041"/>
    <w:rsid w:val="00925365"/>
    <w:rsid w:val="00932F76"/>
    <w:rsid w:val="00933388"/>
    <w:rsid w:val="0093674E"/>
    <w:rsid w:val="00940243"/>
    <w:rsid w:val="00941926"/>
    <w:rsid w:val="00952503"/>
    <w:rsid w:val="00955B4E"/>
    <w:rsid w:val="00957002"/>
    <w:rsid w:val="009605FE"/>
    <w:rsid w:val="009628F5"/>
    <w:rsid w:val="009673C9"/>
    <w:rsid w:val="00976C40"/>
    <w:rsid w:val="00981E3E"/>
    <w:rsid w:val="00984CEB"/>
    <w:rsid w:val="009862DA"/>
    <w:rsid w:val="00986BB2"/>
    <w:rsid w:val="009A5C45"/>
    <w:rsid w:val="009B081C"/>
    <w:rsid w:val="009B1C8B"/>
    <w:rsid w:val="009B4C85"/>
    <w:rsid w:val="009B61D9"/>
    <w:rsid w:val="009C0827"/>
    <w:rsid w:val="009C0B63"/>
    <w:rsid w:val="009C24DF"/>
    <w:rsid w:val="009D5878"/>
    <w:rsid w:val="009D5B5D"/>
    <w:rsid w:val="009E0FE9"/>
    <w:rsid w:val="009E23F4"/>
    <w:rsid w:val="009E5BFB"/>
    <w:rsid w:val="009F04C4"/>
    <w:rsid w:val="009F04C9"/>
    <w:rsid w:val="009F2843"/>
    <w:rsid w:val="009F2B89"/>
    <w:rsid w:val="009F3C0C"/>
    <w:rsid w:val="009F4C8D"/>
    <w:rsid w:val="009F7F98"/>
    <w:rsid w:val="00A02D44"/>
    <w:rsid w:val="00A0383B"/>
    <w:rsid w:val="00A12B0B"/>
    <w:rsid w:val="00A1763A"/>
    <w:rsid w:val="00A21FC7"/>
    <w:rsid w:val="00A24519"/>
    <w:rsid w:val="00A27151"/>
    <w:rsid w:val="00A34954"/>
    <w:rsid w:val="00A349BC"/>
    <w:rsid w:val="00A41D34"/>
    <w:rsid w:val="00A54CE4"/>
    <w:rsid w:val="00A6014B"/>
    <w:rsid w:val="00A642C5"/>
    <w:rsid w:val="00A82E92"/>
    <w:rsid w:val="00A84A0D"/>
    <w:rsid w:val="00A86CD6"/>
    <w:rsid w:val="00A92999"/>
    <w:rsid w:val="00AA3762"/>
    <w:rsid w:val="00AA3949"/>
    <w:rsid w:val="00AA489A"/>
    <w:rsid w:val="00AB2957"/>
    <w:rsid w:val="00AC262B"/>
    <w:rsid w:val="00AC4AA8"/>
    <w:rsid w:val="00AC53E4"/>
    <w:rsid w:val="00AD5385"/>
    <w:rsid w:val="00AE174D"/>
    <w:rsid w:val="00AE467A"/>
    <w:rsid w:val="00AF4B61"/>
    <w:rsid w:val="00AF56F2"/>
    <w:rsid w:val="00AF6D39"/>
    <w:rsid w:val="00B000D2"/>
    <w:rsid w:val="00B014D1"/>
    <w:rsid w:val="00B0578B"/>
    <w:rsid w:val="00B06D17"/>
    <w:rsid w:val="00B1695C"/>
    <w:rsid w:val="00B20308"/>
    <w:rsid w:val="00B332D9"/>
    <w:rsid w:val="00B35E5D"/>
    <w:rsid w:val="00B35FCE"/>
    <w:rsid w:val="00B36D6A"/>
    <w:rsid w:val="00B41150"/>
    <w:rsid w:val="00B44C64"/>
    <w:rsid w:val="00B4557C"/>
    <w:rsid w:val="00B47E7F"/>
    <w:rsid w:val="00B5337C"/>
    <w:rsid w:val="00B53BC3"/>
    <w:rsid w:val="00B559B7"/>
    <w:rsid w:val="00B61A55"/>
    <w:rsid w:val="00B65B69"/>
    <w:rsid w:val="00B677F9"/>
    <w:rsid w:val="00B7364F"/>
    <w:rsid w:val="00B832D0"/>
    <w:rsid w:val="00B94945"/>
    <w:rsid w:val="00B97175"/>
    <w:rsid w:val="00BA0AF7"/>
    <w:rsid w:val="00BA37BB"/>
    <w:rsid w:val="00BA4322"/>
    <w:rsid w:val="00BA6AEB"/>
    <w:rsid w:val="00BB0D8D"/>
    <w:rsid w:val="00BB204F"/>
    <w:rsid w:val="00BB3130"/>
    <w:rsid w:val="00BC0CE4"/>
    <w:rsid w:val="00BC1DF0"/>
    <w:rsid w:val="00BD3953"/>
    <w:rsid w:val="00BE3A35"/>
    <w:rsid w:val="00BF3D2F"/>
    <w:rsid w:val="00BF520A"/>
    <w:rsid w:val="00BF706B"/>
    <w:rsid w:val="00C0619F"/>
    <w:rsid w:val="00C074A9"/>
    <w:rsid w:val="00C12CF2"/>
    <w:rsid w:val="00C172C3"/>
    <w:rsid w:val="00C25569"/>
    <w:rsid w:val="00C302FA"/>
    <w:rsid w:val="00C30946"/>
    <w:rsid w:val="00C334C5"/>
    <w:rsid w:val="00C34AE5"/>
    <w:rsid w:val="00C40698"/>
    <w:rsid w:val="00C451EA"/>
    <w:rsid w:val="00C517D1"/>
    <w:rsid w:val="00C53028"/>
    <w:rsid w:val="00C542F7"/>
    <w:rsid w:val="00C56DEE"/>
    <w:rsid w:val="00C600C7"/>
    <w:rsid w:val="00C636B7"/>
    <w:rsid w:val="00C66A18"/>
    <w:rsid w:val="00C7216E"/>
    <w:rsid w:val="00C842BD"/>
    <w:rsid w:val="00C921CD"/>
    <w:rsid w:val="00C93C34"/>
    <w:rsid w:val="00C97BF9"/>
    <w:rsid w:val="00CA30C0"/>
    <w:rsid w:val="00CB1AD1"/>
    <w:rsid w:val="00CB4083"/>
    <w:rsid w:val="00CB7961"/>
    <w:rsid w:val="00CC555F"/>
    <w:rsid w:val="00CC6711"/>
    <w:rsid w:val="00CD16D2"/>
    <w:rsid w:val="00CD1731"/>
    <w:rsid w:val="00CD1C9F"/>
    <w:rsid w:val="00CD7BD4"/>
    <w:rsid w:val="00CD7DA4"/>
    <w:rsid w:val="00CE29D1"/>
    <w:rsid w:val="00CF46C9"/>
    <w:rsid w:val="00CF66A6"/>
    <w:rsid w:val="00CF6719"/>
    <w:rsid w:val="00D03B03"/>
    <w:rsid w:val="00D06041"/>
    <w:rsid w:val="00D128FD"/>
    <w:rsid w:val="00D1332B"/>
    <w:rsid w:val="00D24E2D"/>
    <w:rsid w:val="00D30F60"/>
    <w:rsid w:val="00D42328"/>
    <w:rsid w:val="00D46B74"/>
    <w:rsid w:val="00D548D9"/>
    <w:rsid w:val="00D56005"/>
    <w:rsid w:val="00D6301D"/>
    <w:rsid w:val="00D74DA6"/>
    <w:rsid w:val="00D770CD"/>
    <w:rsid w:val="00D86FBA"/>
    <w:rsid w:val="00D877D8"/>
    <w:rsid w:val="00D92539"/>
    <w:rsid w:val="00D9290E"/>
    <w:rsid w:val="00D936B8"/>
    <w:rsid w:val="00D93872"/>
    <w:rsid w:val="00D94D3B"/>
    <w:rsid w:val="00DA06B5"/>
    <w:rsid w:val="00DA4723"/>
    <w:rsid w:val="00DA4A72"/>
    <w:rsid w:val="00DB06E8"/>
    <w:rsid w:val="00DB6A2A"/>
    <w:rsid w:val="00DB781A"/>
    <w:rsid w:val="00DC3AA5"/>
    <w:rsid w:val="00DC4367"/>
    <w:rsid w:val="00DC4368"/>
    <w:rsid w:val="00DC53BB"/>
    <w:rsid w:val="00DD2F52"/>
    <w:rsid w:val="00DD4126"/>
    <w:rsid w:val="00DD6EC5"/>
    <w:rsid w:val="00DE41CF"/>
    <w:rsid w:val="00DF3C0C"/>
    <w:rsid w:val="00DF57F5"/>
    <w:rsid w:val="00DF58D7"/>
    <w:rsid w:val="00E033D5"/>
    <w:rsid w:val="00E046DA"/>
    <w:rsid w:val="00E137EF"/>
    <w:rsid w:val="00E22B77"/>
    <w:rsid w:val="00E24F8F"/>
    <w:rsid w:val="00E24F93"/>
    <w:rsid w:val="00E327BA"/>
    <w:rsid w:val="00E33503"/>
    <w:rsid w:val="00E36B58"/>
    <w:rsid w:val="00E37E74"/>
    <w:rsid w:val="00E4290E"/>
    <w:rsid w:val="00E47476"/>
    <w:rsid w:val="00E5152A"/>
    <w:rsid w:val="00E524C1"/>
    <w:rsid w:val="00E65502"/>
    <w:rsid w:val="00E67613"/>
    <w:rsid w:val="00E67E90"/>
    <w:rsid w:val="00E7510A"/>
    <w:rsid w:val="00E80769"/>
    <w:rsid w:val="00E8103A"/>
    <w:rsid w:val="00E8536E"/>
    <w:rsid w:val="00E87412"/>
    <w:rsid w:val="00E914F5"/>
    <w:rsid w:val="00E92D2F"/>
    <w:rsid w:val="00EA076D"/>
    <w:rsid w:val="00EA1090"/>
    <w:rsid w:val="00EA1201"/>
    <w:rsid w:val="00EA35A1"/>
    <w:rsid w:val="00EB702A"/>
    <w:rsid w:val="00EB7D0B"/>
    <w:rsid w:val="00EC1C6D"/>
    <w:rsid w:val="00EC2DB6"/>
    <w:rsid w:val="00EC6991"/>
    <w:rsid w:val="00EC6A5C"/>
    <w:rsid w:val="00EC6C7B"/>
    <w:rsid w:val="00ED58A5"/>
    <w:rsid w:val="00ED76F8"/>
    <w:rsid w:val="00EE3F7F"/>
    <w:rsid w:val="00EE7B24"/>
    <w:rsid w:val="00EF07D2"/>
    <w:rsid w:val="00EF40E7"/>
    <w:rsid w:val="00EF7E26"/>
    <w:rsid w:val="00F05D7C"/>
    <w:rsid w:val="00F10131"/>
    <w:rsid w:val="00F11B25"/>
    <w:rsid w:val="00F21728"/>
    <w:rsid w:val="00F306AF"/>
    <w:rsid w:val="00F34F40"/>
    <w:rsid w:val="00F354F3"/>
    <w:rsid w:val="00F35CA2"/>
    <w:rsid w:val="00F36D3A"/>
    <w:rsid w:val="00F41E93"/>
    <w:rsid w:val="00F7145F"/>
    <w:rsid w:val="00F76968"/>
    <w:rsid w:val="00F83D9D"/>
    <w:rsid w:val="00F871A0"/>
    <w:rsid w:val="00F87440"/>
    <w:rsid w:val="00F9269A"/>
    <w:rsid w:val="00F94332"/>
    <w:rsid w:val="00F943CC"/>
    <w:rsid w:val="00F9673E"/>
    <w:rsid w:val="00FB0EC3"/>
    <w:rsid w:val="00FB1093"/>
    <w:rsid w:val="00FC1D1E"/>
    <w:rsid w:val="00FC2BA1"/>
    <w:rsid w:val="00FC70CA"/>
    <w:rsid w:val="00FD532A"/>
    <w:rsid w:val="00FD75F1"/>
    <w:rsid w:val="00FE3E95"/>
    <w:rsid w:val="00FE55AE"/>
    <w:rsid w:val="00FF15D5"/>
    <w:rsid w:val="00FF7B7F"/>
    <w:rsid w:val="0115077C"/>
    <w:rsid w:val="0116312F"/>
    <w:rsid w:val="0175001E"/>
    <w:rsid w:val="017C66DE"/>
    <w:rsid w:val="01804A4C"/>
    <w:rsid w:val="01890D0B"/>
    <w:rsid w:val="01963062"/>
    <w:rsid w:val="01AC1887"/>
    <w:rsid w:val="01DD1E9F"/>
    <w:rsid w:val="01E37A17"/>
    <w:rsid w:val="01F55FA8"/>
    <w:rsid w:val="020578DD"/>
    <w:rsid w:val="026C4FD1"/>
    <w:rsid w:val="027A2971"/>
    <w:rsid w:val="028606DA"/>
    <w:rsid w:val="02B11EFA"/>
    <w:rsid w:val="02C9546D"/>
    <w:rsid w:val="03604AE8"/>
    <w:rsid w:val="03EE0393"/>
    <w:rsid w:val="04155920"/>
    <w:rsid w:val="04305357"/>
    <w:rsid w:val="044E2BE0"/>
    <w:rsid w:val="0452141E"/>
    <w:rsid w:val="04842AA6"/>
    <w:rsid w:val="048707FB"/>
    <w:rsid w:val="04980A96"/>
    <w:rsid w:val="049D5915"/>
    <w:rsid w:val="04DD0CB1"/>
    <w:rsid w:val="04ED66A4"/>
    <w:rsid w:val="05087233"/>
    <w:rsid w:val="05406EB7"/>
    <w:rsid w:val="059D2DF8"/>
    <w:rsid w:val="05BA78F4"/>
    <w:rsid w:val="05C55124"/>
    <w:rsid w:val="05CB7B8E"/>
    <w:rsid w:val="05CE4396"/>
    <w:rsid w:val="05F17CC7"/>
    <w:rsid w:val="062A122C"/>
    <w:rsid w:val="06E65352"/>
    <w:rsid w:val="074B6D85"/>
    <w:rsid w:val="07713C35"/>
    <w:rsid w:val="07B63B11"/>
    <w:rsid w:val="07D720B6"/>
    <w:rsid w:val="07DB403D"/>
    <w:rsid w:val="07ED0B0D"/>
    <w:rsid w:val="080D690E"/>
    <w:rsid w:val="081F390C"/>
    <w:rsid w:val="08B275D1"/>
    <w:rsid w:val="08E001B0"/>
    <w:rsid w:val="09222209"/>
    <w:rsid w:val="098826F0"/>
    <w:rsid w:val="09BB55BA"/>
    <w:rsid w:val="09C87119"/>
    <w:rsid w:val="09E922F6"/>
    <w:rsid w:val="09F75AC8"/>
    <w:rsid w:val="0A0C3321"/>
    <w:rsid w:val="0A0D0E47"/>
    <w:rsid w:val="0A18464F"/>
    <w:rsid w:val="0A291D87"/>
    <w:rsid w:val="0A2E2341"/>
    <w:rsid w:val="0A366207"/>
    <w:rsid w:val="0A8B0EAB"/>
    <w:rsid w:val="0A922065"/>
    <w:rsid w:val="0AA049F3"/>
    <w:rsid w:val="0AA96DC2"/>
    <w:rsid w:val="0ABF3E2E"/>
    <w:rsid w:val="0ADC03EB"/>
    <w:rsid w:val="0B441098"/>
    <w:rsid w:val="0B4D3BF1"/>
    <w:rsid w:val="0B95124F"/>
    <w:rsid w:val="0BBD1D37"/>
    <w:rsid w:val="0BC56F5F"/>
    <w:rsid w:val="0BDB3721"/>
    <w:rsid w:val="0C073E59"/>
    <w:rsid w:val="0C314090"/>
    <w:rsid w:val="0C51682D"/>
    <w:rsid w:val="0CB27CB2"/>
    <w:rsid w:val="0CB3217A"/>
    <w:rsid w:val="0CD10852"/>
    <w:rsid w:val="0D2336F8"/>
    <w:rsid w:val="0D8D2D08"/>
    <w:rsid w:val="0E0D0C45"/>
    <w:rsid w:val="0E236A3E"/>
    <w:rsid w:val="0E3E5A73"/>
    <w:rsid w:val="0E740F48"/>
    <w:rsid w:val="0E9B5403"/>
    <w:rsid w:val="0EA37FCC"/>
    <w:rsid w:val="0F3048C7"/>
    <w:rsid w:val="0FD51371"/>
    <w:rsid w:val="0FDB4A43"/>
    <w:rsid w:val="0FDE3679"/>
    <w:rsid w:val="0FDF3286"/>
    <w:rsid w:val="10635C65"/>
    <w:rsid w:val="107D339A"/>
    <w:rsid w:val="10961B97"/>
    <w:rsid w:val="10AD2295"/>
    <w:rsid w:val="11060FEB"/>
    <w:rsid w:val="11332C1D"/>
    <w:rsid w:val="11424B3C"/>
    <w:rsid w:val="115434A7"/>
    <w:rsid w:val="1186164E"/>
    <w:rsid w:val="11893269"/>
    <w:rsid w:val="11DA6313"/>
    <w:rsid w:val="11F67716"/>
    <w:rsid w:val="120C6381"/>
    <w:rsid w:val="120E6D62"/>
    <w:rsid w:val="12263756"/>
    <w:rsid w:val="129C0FBA"/>
    <w:rsid w:val="12BC3060"/>
    <w:rsid w:val="12CF1390"/>
    <w:rsid w:val="12EA61CA"/>
    <w:rsid w:val="12EB7263"/>
    <w:rsid w:val="12F42BA4"/>
    <w:rsid w:val="13270D7A"/>
    <w:rsid w:val="13352C8C"/>
    <w:rsid w:val="134B775D"/>
    <w:rsid w:val="134E01D7"/>
    <w:rsid w:val="13584DCD"/>
    <w:rsid w:val="13624C7F"/>
    <w:rsid w:val="136B4AD7"/>
    <w:rsid w:val="137E3987"/>
    <w:rsid w:val="1382238D"/>
    <w:rsid w:val="13B25860"/>
    <w:rsid w:val="13DB2AF9"/>
    <w:rsid w:val="141B1331"/>
    <w:rsid w:val="14324EA6"/>
    <w:rsid w:val="143809CF"/>
    <w:rsid w:val="14565BE9"/>
    <w:rsid w:val="1457366A"/>
    <w:rsid w:val="145D1E98"/>
    <w:rsid w:val="147C1835"/>
    <w:rsid w:val="147C5E29"/>
    <w:rsid w:val="14D54096"/>
    <w:rsid w:val="14DD044C"/>
    <w:rsid w:val="14DD31E2"/>
    <w:rsid w:val="15142B24"/>
    <w:rsid w:val="153C0833"/>
    <w:rsid w:val="15BA2D4A"/>
    <w:rsid w:val="15D62A35"/>
    <w:rsid w:val="15E74C42"/>
    <w:rsid w:val="16315EBE"/>
    <w:rsid w:val="163341DB"/>
    <w:rsid w:val="168F1DFA"/>
    <w:rsid w:val="16A77525"/>
    <w:rsid w:val="16A9400E"/>
    <w:rsid w:val="16D276A1"/>
    <w:rsid w:val="16D30CDD"/>
    <w:rsid w:val="17156845"/>
    <w:rsid w:val="171928BE"/>
    <w:rsid w:val="173E6AE4"/>
    <w:rsid w:val="174723F2"/>
    <w:rsid w:val="174943E9"/>
    <w:rsid w:val="1757657C"/>
    <w:rsid w:val="176519FD"/>
    <w:rsid w:val="176F167E"/>
    <w:rsid w:val="17814E1C"/>
    <w:rsid w:val="17932850"/>
    <w:rsid w:val="17C41659"/>
    <w:rsid w:val="17D849D6"/>
    <w:rsid w:val="180E527E"/>
    <w:rsid w:val="18184694"/>
    <w:rsid w:val="182B30B6"/>
    <w:rsid w:val="182C673E"/>
    <w:rsid w:val="18C313DF"/>
    <w:rsid w:val="18EE0BF6"/>
    <w:rsid w:val="19131D2F"/>
    <w:rsid w:val="192405E7"/>
    <w:rsid w:val="195C76F5"/>
    <w:rsid w:val="19600305"/>
    <w:rsid w:val="19714CB9"/>
    <w:rsid w:val="19753246"/>
    <w:rsid w:val="19923A79"/>
    <w:rsid w:val="19CC2CC4"/>
    <w:rsid w:val="1A142085"/>
    <w:rsid w:val="1A2C3DD7"/>
    <w:rsid w:val="1A606D71"/>
    <w:rsid w:val="1A6B245E"/>
    <w:rsid w:val="1A7E2606"/>
    <w:rsid w:val="1AAA4EE5"/>
    <w:rsid w:val="1AAE5A45"/>
    <w:rsid w:val="1AAF59FC"/>
    <w:rsid w:val="1AB10FB0"/>
    <w:rsid w:val="1AD5150D"/>
    <w:rsid w:val="1AEB1A05"/>
    <w:rsid w:val="1AEB5F51"/>
    <w:rsid w:val="1B205A92"/>
    <w:rsid w:val="1B31572D"/>
    <w:rsid w:val="1B494FD0"/>
    <w:rsid w:val="1B6C5B53"/>
    <w:rsid w:val="1C3310A9"/>
    <w:rsid w:val="1D2F77CB"/>
    <w:rsid w:val="1D40117C"/>
    <w:rsid w:val="1D785B20"/>
    <w:rsid w:val="1D8760B4"/>
    <w:rsid w:val="1DA805C1"/>
    <w:rsid w:val="1DB00010"/>
    <w:rsid w:val="1DB72D4D"/>
    <w:rsid w:val="1DD469C9"/>
    <w:rsid w:val="1DDF5840"/>
    <w:rsid w:val="1DFD14A7"/>
    <w:rsid w:val="1E033CFE"/>
    <w:rsid w:val="1E2F53D8"/>
    <w:rsid w:val="1E4E1D03"/>
    <w:rsid w:val="1E562965"/>
    <w:rsid w:val="1E566E09"/>
    <w:rsid w:val="1E960FB4"/>
    <w:rsid w:val="1E966DAA"/>
    <w:rsid w:val="1EB83620"/>
    <w:rsid w:val="1ECE4BF1"/>
    <w:rsid w:val="1ED84278"/>
    <w:rsid w:val="1ED97BFC"/>
    <w:rsid w:val="1EE73B09"/>
    <w:rsid w:val="1F0C23CC"/>
    <w:rsid w:val="1F1545CE"/>
    <w:rsid w:val="1F2C1918"/>
    <w:rsid w:val="1F316326"/>
    <w:rsid w:val="1F5D4A06"/>
    <w:rsid w:val="1F964F4E"/>
    <w:rsid w:val="1F9A2D26"/>
    <w:rsid w:val="1F9F6536"/>
    <w:rsid w:val="1FB92045"/>
    <w:rsid w:val="1FE87E47"/>
    <w:rsid w:val="1FF42436"/>
    <w:rsid w:val="1FF53618"/>
    <w:rsid w:val="20215745"/>
    <w:rsid w:val="203647FC"/>
    <w:rsid w:val="205A5529"/>
    <w:rsid w:val="20631369"/>
    <w:rsid w:val="207B66B3"/>
    <w:rsid w:val="20A0436C"/>
    <w:rsid w:val="20AE4DC8"/>
    <w:rsid w:val="20C20786"/>
    <w:rsid w:val="20C274CD"/>
    <w:rsid w:val="20C34F92"/>
    <w:rsid w:val="20DD55C0"/>
    <w:rsid w:val="20EC75B1"/>
    <w:rsid w:val="21024A33"/>
    <w:rsid w:val="21224D81"/>
    <w:rsid w:val="2184139D"/>
    <w:rsid w:val="218F1C0A"/>
    <w:rsid w:val="21912162"/>
    <w:rsid w:val="2191233E"/>
    <w:rsid w:val="219A0DBB"/>
    <w:rsid w:val="21AB2FC8"/>
    <w:rsid w:val="21FB04CE"/>
    <w:rsid w:val="221F6235"/>
    <w:rsid w:val="224A27E1"/>
    <w:rsid w:val="225D2D35"/>
    <w:rsid w:val="226B066F"/>
    <w:rsid w:val="227A2080"/>
    <w:rsid w:val="22834430"/>
    <w:rsid w:val="22E10344"/>
    <w:rsid w:val="22E942A6"/>
    <w:rsid w:val="22EC3DDE"/>
    <w:rsid w:val="22F45DE8"/>
    <w:rsid w:val="22FB137E"/>
    <w:rsid w:val="22FF76A7"/>
    <w:rsid w:val="236E082B"/>
    <w:rsid w:val="237C10C0"/>
    <w:rsid w:val="237F64DC"/>
    <w:rsid w:val="241A2A47"/>
    <w:rsid w:val="244C451B"/>
    <w:rsid w:val="24524D99"/>
    <w:rsid w:val="24A600AD"/>
    <w:rsid w:val="24AB7DB8"/>
    <w:rsid w:val="24C21763"/>
    <w:rsid w:val="24CD5D6E"/>
    <w:rsid w:val="25421E95"/>
    <w:rsid w:val="26091A0C"/>
    <w:rsid w:val="261F5032"/>
    <w:rsid w:val="2628108B"/>
    <w:rsid w:val="26431A21"/>
    <w:rsid w:val="26C239CA"/>
    <w:rsid w:val="26C90E2D"/>
    <w:rsid w:val="26D747CC"/>
    <w:rsid w:val="270B25DA"/>
    <w:rsid w:val="270F17A0"/>
    <w:rsid w:val="273705EE"/>
    <w:rsid w:val="27723A43"/>
    <w:rsid w:val="278542BB"/>
    <w:rsid w:val="27DA4607"/>
    <w:rsid w:val="27E06514"/>
    <w:rsid w:val="2827575A"/>
    <w:rsid w:val="28801A02"/>
    <w:rsid w:val="28902F18"/>
    <w:rsid w:val="28994B2A"/>
    <w:rsid w:val="28B46433"/>
    <w:rsid w:val="28CD560F"/>
    <w:rsid w:val="28ED0D31"/>
    <w:rsid w:val="29032BEF"/>
    <w:rsid w:val="2927562A"/>
    <w:rsid w:val="298A7967"/>
    <w:rsid w:val="29AC36EE"/>
    <w:rsid w:val="2A0B0AA8"/>
    <w:rsid w:val="2A1B0D71"/>
    <w:rsid w:val="2A4C7902"/>
    <w:rsid w:val="2A62490E"/>
    <w:rsid w:val="2A663F30"/>
    <w:rsid w:val="2A6A39E8"/>
    <w:rsid w:val="2AC670C5"/>
    <w:rsid w:val="2B2D01CF"/>
    <w:rsid w:val="2B4F2A6E"/>
    <w:rsid w:val="2B4F631D"/>
    <w:rsid w:val="2B7375A1"/>
    <w:rsid w:val="2B7D5B67"/>
    <w:rsid w:val="2BCA23E3"/>
    <w:rsid w:val="2BCB64B2"/>
    <w:rsid w:val="2BCD490E"/>
    <w:rsid w:val="2BD51A79"/>
    <w:rsid w:val="2BDB094E"/>
    <w:rsid w:val="2BDF04C0"/>
    <w:rsid w:val="2BE50244"/>
    <w:rsid w:val="2BED6F1A"/>
    <w:rsid w:val="2C255C58"/>
    <w:rsid w:val="2C365B84"/>
    <w:rsid w:val="2C532B0F"/>
    <w:rsid w:val="2C6E29F7"/>
    <w:rsid w:val="2C931228"/>
    <w:rsid w:val="2CC41C04"/>
    <w:rsid w:val="2CF40263"/>
    <w:rsid w:val="2D48195B"/>
    <w:rsid w:val="2D7363DF"/>
    <w:rsid w:val="2D8C0151"/>
    <w:rsid w:val="2DDF2977"/>
    <w:rsid w:val="2DFC1292"/>
    <w:rsid w:val="2E5642BC"/>
    <w:rsid w:val="2E7620ED"/>
    <w:rsid w:val="2ECD498D"/>
    <w:rsid w:val="2EE724DC"/>
    <w:rsid w:val="2EF51D26"/>
    <w:rsid w:val="2EF76C06"/>
    <w:rsid w:val="2F0D20DE"/>
    <w:rsid w:val="2F177EEF"/>
    <w:rsid w:val="2F5D30B3"/>
    <w:rsid w:val="2F7009B1"/>
    <w:rsid w:val="2F7964B4"/>
    <w:rsid w:val="2FA07728"/>
    <w:rsid w:val="2FB318C4"/>
    <w:rsid w:val="2FC002D5"/>
    <w:rsid w:val="30083A5D"/>
    <w:rsid w:val="30162726"/>
    <w:rsid w:val="302E6AE1"/>
    <w:rsid w:val="30677FB8"/>
    <w:rsid w:val="306A6A79"/>
    <w:rsid w:val="309335A5"/>
    <w:rsid w:val="309537C1"/>
    <w:rsid w:val="30963B52"/>
    <w:rsid w:val="30BD0622"/>
    <w:rsid w:val="30E3277E"/>
    <w:rsid w:val="30E82380"/>
    <w:rsid w:val="31324444"/>
    <w:rsid w:val="31476967"/>
    <w:rsid w:val="315453F8"/>
    <w:rsid w:val="31653193"/>
    <w:rsid w:val="31973FCB"/>
    <w:rsid w:val="31C003CA"/>
    <w:rsid w:val="31D21342"/>
    <w:rsid w:val="31E21586"/>
    <w:rsid w:val="31FA6300"/>
    <w:rsid w:val="320E50AB"/>
    <w:rsid w:val="321118B3"/>
    <w:rsid w:val="32170A8D"/>
    <w:rsid w:val="32525BDF"/>
    <w:rsid w:val="32786E04"/>
    <w:rsid w:val="328B6984"/>
    <w:rsid w:val="32983FD4"/>
    <w:rsid w:val="32AF23C2"/>
    <w:rsid w:val="32DC4F67"/>
    <w:rsid w:val="32EE1A36"/>
    <w:rsid w:val="33723946"/>
    <w:rsid w:val="33BF4A72"/>
    <w:rsid w:val="33D7599C"/>
    <w:rsid w:val="342D1BFF"/>
    <w:rsid w:val="342F480F"/>
    <w:rsid w:val="343E26EE"/>
    <w:rsid w:val="344F3C87"/>
    <w:rsid w:val="3475581F"/>
    <w:rsid w:val="347E1DA2"/>
    <w:rsid w:val="349B682B"/>
    <w:rsid w:val="34B34830"/>
    <w:rsid w:val="34C649F1"/>
    <w:rsid w:val="34ED54E4"/>
    <w:rsid w:val="3503309E"/>
    <w:rsid w:val="35435064"/>
    <w:rsid w:val="35476E77"/>
    <w:rsid w:val="35A1628C"/>
    <w:rsid w:val="361707D4"/>
    <w:rsid w:val="3620672B"/>
    <w:rsid w:val="36250A64"/>
    <w:rsid w:val="365B1287"/>
    <w:rsid w:val="365C313C"/>
    <w:rsid w:val="36831F44"/>
    <w:rsid w:val="36A209E6"/>
    <w:rsid w:val="36BE109A"/>
    <w:rsid w:val="36E01197"/>
    <w:rsid w:val="36FA2163"/>
    <w:rsid w:val="37042CD1"/>
    <w:rsid w:val="37293B7E"/>
    <w:rsid w:val="375F2433"/>
    <w:rsid w:val="377B3D13"/>
    <w:rsid w:val="37A54EB9"/>
    <w:rsid w:val="37B86AAF"/>
    <w:rsid w:val="37BC7880"/>
    <w:rsid w:val="37C14982"/>
    <w:rsid w:val="37C44C8D"/>
    <w:rsid w:val="37DB3ACA"/>
    <w:rsid w:val="38082ACA"/>
    <w:rsid w:val="3810525E"/>
    <w:rsid w:val="381D6482"/>
    <w:rsid w:val="381E409C"/>
    <w:rsid w:val="38234CA6"/>
    <w:rsid w:val="383407C4"/>
    <w:rsid w:val="385E26EA"/>
    <w:rsid w:val="38684E80"/>
    <w:rsid w:val="3875617F"/>
    <w:rsid w:val="389573C2"/>
    <w:rsid w:val="38A00D60"/>
    <w:rsid w:val="38B52017"/>
    <w:rsid w:val="390521E1"/>
    <w:rsid w:val="390C65EA"/>
    <w:rsid w:val="39184F8F"/>
    <w:rsid w:val="39BC591B"/>
    <w:rsid w:val="39D24B04"/>
    <w:rsid w:val="39DF13C4"/>
    <w:rsid w:val="39E032E9"/>
    <w:rsid w:val="3A1E08C5"/>
    <w:rsid w:val="3A3A347C"/>
    <w:rsid w:val="3A6D1368"/>
    <w:rsid w:val="3A8332F9"/>
    <w:rsid w:val="3A914FF9"/>
    <w:rsid w:val="3AC94E98"/>
    <w:rsid w:val="3AD16E8E"/>
    <w:rsid w:val="3AD2258E"/>
    <w:rsid w:val="3AD62764"/>
    <w:rsid w:val="3AFA3A3A"/>
    <w:rsid w:val="3AFE1F63"/>
    <w:rsid w:val="3B035B6A"/>
    <w:rsid w:val="3B135B6F"/>
    <w:rsid w:val="3B2A71FC"/>
    <w:rsid w:val="3B455DE4"/>
    <w:rsid w:val="3B4B6B6F"/>
    <w:rsid w:val="3B4F1DA6"/>
    <w:rsid w:val="3B510544"/>
    <w:rsid w:val="3B6250F8"/>
    <w:rsid w:val="3B7003FD"/>
    <w:rsid w:val="3BAE7806"/>
    <w:rsid w:val="3BB16FD5"/>
    <w:rsid w:val="3BCF3DE2"/>
    <w:rsid w:val="3BFF5F92"/>
    <w:rsid w:val="3C022A83"/>
    <w:rsid w:val="3C342B36"/>
    <w:rsid w:val="3C3876DA"/>
    <w:rsid w:val="3C6E7B33"/>
    <w:rsid w:val="3C8F2735"/>
    <w:rsid w:val="3D697A4C"/>
    <w:rsid w:val="3DA637B6"/>
    <w:rsid w:val="3DC70DA6"/>
    <w:rsid w:val="3E4203B8"/>
    <w:rsid w:val="3E433531"/>
    <w:rsid w:val="3E524F05"/>
    <w:rsid w:val="3E8310FD"/>
    <w:rsid w:val="3E8D51C5"/>
    <w:rsid w:val="3E911ED8"/>
    <w:rsid w:val="3E9776C5"/>
    <w:rsid w:val="3E9B4698"/>
    <w:rsid w:val="3EF4070F"/>
    <w:rsid w:val="3F345912"/>
    <w:rsid w:val="3F456AA7"/>
    <w:rsid w:val="3F4A39C9"/>
    <w:rsid w:val="3FC76DC7"/>
    <w:rsid w:val="3FCC0881"/>
    <w:rsid w:val="3FE86074"/>
    <w:rsid w:val="404350E0"/>
    <w:rsid w:val="407549A4"/>
    <w:rsid w:val="40A33F45"/>
    <w:rsid w:val="40BE38AE"/>
    <w:rsid w:val="40E32281"/>
    <w:rsid w:val="413E57AF"/>
    <w:rsid w:val="414F176A"/>
    <w:rsid w:val="41694E7F"/>
    <w:rsid w:val="41AD3D25"/>
    <w:rsid w:val="41EC6FB9"/>
    <w:rsid w:val="42675C80"/>
    <w:rsid w:val="42857E42"/>
    <w:rsid w:val="429C3481"/>
    <w:rsid w:val="42AE426E"/>
    <w:rsid w:val="42F775E0"/>
    <w:rsid w:val="432934FC"/>
    <w:rsid w:val="433A3A5A"/>
    <w:rsid w:val="433B7B45"/>
    <w:rsid w:val="4346094B"/>
    <w:rsid w:val="43461DE8"/>
    <w:rsid w:val="43600284"/>
    <w:rsid w:val="43642BE7"/>
    <w:rsid w:val="43860D47"/>
    <w:rsid w:val="438F36C0"/>
    <w:rsid w:val="43943464"/>
    <w:rsid w:val="439D5CFD"/>
    <w:rsid w:val="442C26BD"/>
    <w:rsid w:val="44463ADF"/>
    <w:rsid w:val="447A4D50"/>
    <w:rsid w:val="44BA6EFA"/>
    <w:rsid w:val="44C70737"/>
    <w:rsid w:val="450862B9"/>
    <w:rsid w:val="452B429C"/>
    <w:rsid w:val="45442CA9"/>
    <w:rsid w:val="45525FCE"/>
    <w:rsid w:val="45AF7D25"/>
    <w:rsid w:val="45BA7421"/>
    <w:rsid w:val="45FA1F13"/>
    <w:rsid w:val="461036EB"/>
    <w:rsid w:val="4642740B"/>
    <w:rsid w:val="46603AD2"/>
    <w:rsid w:val="46621D09"/>
    <w:rsid w:val="466D2298"/>
    <w:rsid w:val="46896345"/>
    <w:rsid w:val="468F024E"/>
    <w:rsid w:val="46985A97"/>
    <w:rsid w:val="469F0A9E"/>
    <w:rsid w:val="46E23A2A"/>
    <w:rsid w:val="46E37CD8"/>
    <w:rsid w:val="47195F8F"/>
    <w:rsid w:val="47347438"/>
    <w:rsid w:val="475450F8"/>
    <w:rsid w:val="476C7959"/>
    <w:rsid w:val="4795557D"/>
    <w:rsid w:val="47A63299"/>
    <w:rsid w:val="47C737CE"/>
    <w:rsid w:val="4828256E"/>
    <w:rsid w:val="482E4477"/>
    <w:rsid w:val="48362D3C"/>
    <w:rsid w:val="48711FC6"/>
    <w:rsid w:val="487318F4"/>
    <w:rsid w:val="48E174F1"/>
    <w:rsid w:val="48F6071D"/>
    <w:rsid w:val="490E7AA5"/>
    <w:rsid w:val="494012EE"/>
    <w:rsid w:val="495C67D2"/>
    <w:rsid w:val="498948AA"/>
    <w:rsid w:val="49994D4E"/>
    <w:rsid w:val="49E04860"/>
    <w:rsid w:val="49F243DB"/>
    <w:rsid w:val="49FB156F"/>
    <w:rsid w:val="49FC5D5A"/>
    <w:rsid w:val="4A286E62"/>
    <w:rsid w:val="4A471230"/>
    <w:rsid w:val="4A780610"/>
    <w:rsid w:val="4A8E676D"/>
    <w:rsid w:val="4AC54194"/>
    <w:rsid w:val="4B0C433A"/>
    <w:rsid w:val="4B35476F"/>
    <w:rsid w:val="4B475260"/>
    <w:rsid w:val="4B5A07E8"/>
    <w:rsid w:val="4BA25344"/>
    <w:rsid w:val="4BDA4326"/>
    <w:rsid w:val="4BEB36BA"/>
    <w:rsid w:val="4BEF33B4"/>
    <w:rsid w:val="4C2F38A5"/>
    <w:rsid w:val="4C320988"/>
    <w:rsid w:val="4C331F8F"/>
    <w:rsid w:val="4C54044A"/>
    <w:rsid w:val="4C7306FC"/>
    <w:rsid w:val="4C7C5EF5"/>
    <w:rsid w:val="4CB57E51"/>
    <w:rsid w:val="4CEE0B24"/>
    <w:rsid w:val="4CF514BF"/>
    <w:rsid w:val="4D0F7FFF"/>
    <w:rsid w:val="4D1717E9"/>
    <w:rsid w:val="4D287306"/>
    <w:rsid w:val="4D3B2BA3"/>
    <w:rsid w:val="4D9E3AFA"/>
    <w:rsid w:val="4DC12B9F"/>
    <w:rsid w:val="4E233D62"/>
    <w:rsid w:val="4E962786"/>
    <w:rsid w:val="4ECF2AD4"/>
    <w:rsid w:val="4F195165"/>
    <w:rsid w:val="4F273FBE"/>
    <w:rsid w:val="4F2C6C47"/>
    <w:rsid w:val="4F2F65F9"/>
    <w:rsid w:val="4F31194C"/>
    <w:rsid w:val="4F506DD9"/>
    <w:rsid w:val="4F602AB3"/>
    <w:rsid w:val="4F6C34E7"/>
    <w:rsid w:val="500D6ABF"/>
    <w:rsid w:val="501C315F"/>
    <w:rsid w:val="502B5150"/>
    <w:rsid w:val="506505B6"/>
    <w:rsid w:val="5082298F"/>
    <w:rsid w:val="508A631B"/>
    <w:rsid w:val="50A867A1"/>
    <w:rsid w:val="50C231AF"/>
    <w:rsid w:val="50C64E79"/>
    <w:rsid w:val="51121E6C"/>
    <w:rsid w:val="5145397C"/>
    <w:rsid w:val="51C714B0"/>
    <w:rsid w:val="52085A22"/>
    <w:rsid w:val="52242D7E"/>
    <w:rsid w:val="52255532"/>
    <w:rsid w:val="52545EA1"/>
    <w:rsid w:val="527313D2"/>
    <w:rsid w:val="52A5133D"/>
    <w:rsid w:val="52AE4A26"/>
    <w:rsid w:val="52BA6550"/>
    <w:rsid w:val="52C36E5D"/>
    <w:rsid w:val="52D518F2"/>
    <w:rsid w:val="52F413F9"/>
    <w:rsid w:val="53162A7A"/>
    <w:rsid w:val="53466052"/>
    <w:rsid w:val="53693E4A"/>
    <w:rsid w:val="5393682D"/>
    <w:rsid w:val="53BF72F1"/>
    <w:rsid w:val="53C77F81"/>
    <w:rsid w:val="54013AED"/>
    <w:rsid w:val="542D56BA"/>
    <w:rsid w:val="54405E87"/>
    <w:rsid w:val="545C37CE"/>
    <w:rsid w:val="548825BE"/>
    <w:rsid w:val="548E488F"/>
    <w:rsid w:val="54AC0E74"/>
    <w:rsid w:val="54C10E48"/>
    <w:rsid w:val="54F3048A"/>
    <w:rsid w:val="55024FEE"/>
    <w:rsid w:val="557B1FBF"/>
    <w:rsid w:val="55910872"/>
    <w:rsid w:val="55C8213D"/>
    <w:rsid w:val="55D97B52"/>
    <w:rsid w:val="5624334F"/>
    <w:rsid w:val="56890087"/>
    <w:rsid w:val="56941399"/>
    <w:rsid w:val="56FE35BF"/>
    <w:rsid w:val="5704401B"/>
    <w:rsid w:val="575F7ED8"/>
    <w:rsid w:val="580D12D8"/>
    <w:rsid w:val="580F0E14"/>
    <w:rsid w:val="58175C92"/>
    <w:rsid w:val="582E1C82"/>
    <w:rsid w:val="583A640D"/>
    <w:rsid w:val="5855257E"/>
    <w:rsid w:val="58650B29"/>
    <w:rsid w:val="58907EDA"/>
    <w:rsid w:val="59142B31"/>
    <w:rsid w:val="592A00D8"/>
    <w:rsid w:val="59594278"/>
    <w:rsid w:val="595B7AB0"/>
    <w:rsid w:val="596040BD"/>
    <w:rsid w:val="59965D30"/>
    <w:rsid w:val="59C832BE"/>
    <w:rsid w:val="5A3D2DC3"/>
    <w:rsid w:val="5A5F5106"/>
    <w:rsid w:val="5A6951E1"/>
    <w:rsid w:val="5A6F70EB"/>
    <w:rsid w:val="5A8C2C8F"/>
    <w:rsid w:val="5ACB5EC5"/>
    <w:rsid w:val="5ADD34EB"/>
    <w:rsid w:val="5AF54CD9"/>
    <w:rsid w:val="5B0A558E"/>
    <w:rsid w:val="5B327420"/>
    <w:rsid w:val="5B45438C"/>
    <w:rsid w:val="5B5B06A3"/>
    <w:rsid w:val="5BAB33C9"/>
    <w:rsid w:val="5BDB7642"/>
    <w:rsid w:val="5C000D60"/>
    <w:rsid w:val="5C0564B8"/>
    <w:rsid w:val="5C1C1980"/>
    <w:rsid w:val="5C4202EB"/>
    <w:rsid w:val="5C487FF6"/>
    <w:rsid w:val="5C751D60"/>
    <w:rsid w:val="5C7B2FBB"/>
    <w:rsid w:val="5C9003EA"/>
    <w:rsid w:val="5CAF45D9"/>
    <w:rsid w:val="5CB8263D"/>
    <w:rsid w:val="5D09221E"/>
    <w:rsid w:val="5D494E95"/>
    <w:rsid w:val="5D525F29"/>
    <w:rsid w:val="5D704AEA"/>
    <w:rsid w:val="5DB56F1E"/>
    <w:rsid w:val="5DC32AF4"/>
    <w:rsid w:val="5DEB6E57"/>
    <w:rsid w:val="5E565A8E"/>
    <w:rsid w:val="5E5A675C"/>
    <w:rsid w:val="5E5F0DE7"/>
    <w:rsid w:val="5E7A598C"/>
    <w:rsid w:val="5E9F7C10"/>
    <w:rsid w:val="5EA41431"/>
    <w:rsid w:val="5EAF73F9"/>
    <w:rsid w:val="5ED715A9"/>
    <w:rsid w:val="5F3673C4"/>
    <w:rsid w:val="5F3B0796"/>
    <w:rsid w:val="5F463DDB"/>
    <w:rsid w:val="5F4D6FE9"/>
    <w:rsid w:val="5F563F98"/>
    <w:rsid w:val="5FB33FD2"/>
    <w:rsid w:val="5FBE1B5B"/>
    <w:rsid w:val="600D4872"/>
    <w:rsid w:val="602F47E9"/>
    <w:rsid w:val="604B0B39"/>
    <w:rsid w:val="607C288E"/>
    <w:rsid w:val="60A26D69"/>
    <w:rsid w:val="60C95C15"/>
    <w:rsid w:val="60DC2E87"/>
    <w:rsid w:val="61334426"/>
    <w:rsid w:val="61351088"/>
    <w:rsid w:val="61E53D27"/>
    <w:rsid w:val="622C0E17"/>
    <w:rsid w:val="62605093"/>
    <w:rsid w:val="62695C01"/>
    <w:rsid w:val="62775FD3"/>
    <w:rsid w:val="627E3805"/>
    <w:rsid w:val="62805827"/>
    <w:rsid w:val="62EC6490"/>
    <w:rsid w:val="63D01E3F"/>
    <w:rsid w:val="63E43B3C"/>
    <w:rsid w:val="640E4535"/>
    <w:rsid w:val="643A375C"/>
    <w:rsid w:val="64466AD2"/>
    <w:rsid w:val="644D74F4"/>
    <w:rsid w:val="646F78AA"/>
    <w:rsid w:val="6482678D"/>
    <w:rsid w:val="64AA5237"/>
    <w:rsid w:val="65253FDA"/>
    <w:rsid w:val="65300472"/>
    <w:rsid w:val="65347A1E"/>
    <w:rsid w:val="65452F82"/>
    <w:rsid w:val="65546A82"/>
    <w:rsid w:val="6560518B"/>
    <w:rsid w:val="65A11F4C"/>
    <w:rsid w:val="65B221E6"/>
    <w:rsid w:val="65DA79A0"/>
    <w:rsid w:val="65DB0E2C"/>
    <w:rsid w:val="6632293D"/>
    <w:rsid w:val="664A365E"/>
    <w:rsid w:val="669639D3"/>
    <w:rsid w:val="669D4225"/>
    <w:rsid w:val="66D47E98"/>
    <w:rsid w:val="672158C0"/>
    <w:rsid w:val="677B0314"/>
    <w:rsid w:val="677F6F74"/>
    <w:rsid w:val="67CA2A68"/>
    <w:rsid w:val="67DB2AF0"/>
    <w:rsid w:val="68A11FFC"/>
    <w:rsid w:val="693105D7"/>
    <w:rsid w:val="69386092"/>
    <w:rsid w:val="695119B2"/>
    <w:rsid w:val="69584DB0"/>
    <w:rsid w:val="69840267"/>
    <w:rsid w:val="69A407A8"/>
    <w:rsid w:val="69BF6BDD"/>
    <w:rsid w:val="69D31EB9"/>
    <w:rsid w:val="69D83EDA"/>
    <w:rsid w:val="6A192046"/>
    <w:rsid w:val="6A306175"/>
    <w:rsid w:val="6A526EE5"/>
    <w:rsid w:val="6AA560DB"/>
    <w:rsid w:val="6B0B1A2E"/>
    <w:rsid w:val="6B9D2F4E"/>
    <w:rsid w:val="6BA02A3F"/>
    <w:rsid w:val="6BA03046"/>
    <w:rsid w:val="6BC7249D"/>
    <w:rsid w:val="6BD04C6F"/>
    <w:rsid w:val="6BDC20C6"/>
    <w:rsid w:val="6BEB329A"/>
    <w:rsid w:val="6BF86C35"/>
    <w:rsid w:val="6C166F5C"/>
    <w:rsid w:val="6C1D5E3D"/>
    <w:rsid w:val="6C1E448D"/>
    <w:rsid w:val="6C783074"/>
    <w:rsid w:val="6C8C0190"/>
    <w:rsid w:val="6C9500C9"/>
    <w:rsid w:val="6C9F05FC"/>
    <w:rsid w:val="6CCD7110"/>
    <w:rsid w:val="6CFA617E"/>
    <w:rsid w:val="6D2D0302"/>
    <w:rsid w:val="6D760823"/>
    <w:rsid w:val="6D806BB4"/>
    <w:rsid w:val="6D894A65"/>
    <w:rsid w:val="6DD50E85"/>
    <w:rsid w:val="6DDD3F44"/>
    <w:rsid w:val="6DF10A88"/>
    <w:rsid w:val="6DF47A72"/>
    <w:rsid w:val="6DF76D93"/>
    <w:rsid w:val="6E2E1E7D"/>
    <w:rsid w:val="6E737672"/>
    <w:rsid w:val="6EA5282A"/>
    <w:rsid w:val="6EB04D47"/>
    <w:rsid w:val="6EC425A0"/>
    <w:rsid w:val="6EDD2A32"/>
    <w:rsid w:val="6F593630"/>
    <w:rsid w:val="6F620721"/>
    <w:rsid w:val="6F7076E4"/>
    <w:rsid w:val="6F9D176F"/>
    <w:rsid w:val="6FB04A89"/>
    <w:rsid w:val="6FCA78EF"/>
    <w:rsid w:val="6FE864B6"/>
    <w:rsid w:val="7040659E"/>
    <w:rsid w:val="704412F5"/>
    <w:rsid w:val="70CF2E0D"/>
    <w:rsid w:val="70F55BA8"/>
    <w:rsid w:val="70F57C3D"/>
    <w:rsid w:val="7148570A"/>
    <w:rsid w:val="714B6FA9"/>
    <w:rsid w:val="71551BD5"/>
    <w:rsid w:val="71785618"/>
    <w:rsid w:val="719173FA"/>
    <w:rsid w:val="71C63C72"/>
    <w:rsid w:val="71C965BE"/>
    <w:rsid w:val="727069B4"/>
    <w:rsid w:val="72AD133E"/>
    <w:rsid w:val="72F14A43"/>
    <w:rsid w:val="733E6754"/>
    <w:rsid w:val="734D525A"/>
    <w:rsid w:val="737D0B03"/>
    <w:rsid w:val="73BB0416"/>
    <w:rsid w:val="73D31E97"/>
    <w:rsid w:val="73E133AB"/>
    <w:rsid w:val="73E612C3"/>
    <w:rsid w:val="74674908"/>
    <w:rsid w:val="747D4685"/>
    <w:rsid w:val="74AF4CFD"/>
    <w:rsid w:val="7550560B"/>
    <w:rsid w:val="756845CD"/>
    <w:rsid w:val="757906F5"/>
    <w:rsid w:val="758E216C"/>
    <w:rsid w:val="762F1A8F"/>
    <w:rsid w:val="763A78B0"/>
    <w:rsid w:val="763C2FCD"/>
    <w:rsid w:val="7646191B"/>
    <w:rsid w:val="769E45BB"/>
    <w:rsid w:val="76D25BC0"/>
    <w:rsid w:val="77130569"/>
    <w:rsid w:val="77281135"/>
    <w:rsid w:val="77407237"/>
    <w:rsid w:val="7743475F"/>
    <w:rsid w:val="77503688"/>
    <w:rsid w:val="77F160D3"/>
    <w:rsid w:val="77F6629C"/>
    <w:rsid w:val="78212811"/>
    <w:rsid w:val="784D2C1B"/>
    <w:rsid w:val="78CC6C6A"/>
    <w:rsid w:val="79134850"/>
    <w:rsid w:val="791372BB"/>
    <w:rsid w:val="79B0623B"/>
    <w:rsid w:val="7A123748"/>
    <w:rsid w:val="7A2533FD"/>
    <w:rsid w:val="7A345D59"/>
    <w:rsid w:val="7A9E7923"/>
    <w:rsid w:val="7ADE32A3"/>
    <w:rsid w:val="7AEA32BE"/>
    <w:rsid w:val="7B2737E9"/>
    <w:rsid w:val="7B564EC8"/>
    <w:rsid w:val="7B5733E2"/>
    <w:rsid w:val="7B781151"/>
    <w:rsid w:val="7B9861E4"/>
    <w:rsid w:val="7BC57958"/>
    <w:rsid w:val="7BDF0A19"/>
    <w:rsid w:val="7C047802"/>
    <w:rsid w:val="7C0A3603"/>
    <w:rsid w:val="7C0B180E"/>
    <w:rsid w:val="7C3A18F2"/>
    <w:rsid w:val="7C3F770A"/>
    <w:rsid w:val="7C60423E"/>
    <w:rsid w:val="7C741AA9"/>
    <w:rsid w:val="7C7554D3"/>
    <w:rsid w:val="7CA659DB"/>
    <w:rsid w:val="7CB67C2D"/>
    <w:rsid w:val="7D7A0E23"/>
    <w:rsid w:val="7DDE371C"/>
    <w:rsid w:val="7E245210"/>
    <w:rsid w:val="7E345FE1"/>
    <w:rsid w:val="7E3B3A15"/>
    <w:rsid w:val="7E621509"/>
    <w:rsid w:val="7E7B38B3"/>
    <w:rsid w:val="7E9868C2"/>
    <w:rsid w:val="7F2A14D1"/>
    <w:rsid w:val="7F4852A7"/>
    <w:rsid w:val="7F614579"/>
    <w:rsid w:val="7F972282"/>
    <w:rsid w:val="7F9D1EA4"/>
    <w:rsid w:val="7FC505D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pPr>
    <w:rPr>
      <w:rFonts w:ascii="Times New Roman" w:hAnsi="Times New Roman" w:eastAsia="宋体" w:cs="Times New Roman"/>
      <w:kern w:val="2"/>
      <w:sz w:val="24"/>
      <w:szCs w:val="24"/>
      <w:lang w:val="en-US" w:eastAsia="zh-CN" w:bidi="ar-SA"/>
    </w:rPr>
  </w:style>
  <w:style w:type="paragraph" w:styleId="4">
    <w:name w:val="heading 1"/>
    <w:basedOn w:val="1"/>
    <w:next w:val="1"/>
    <w:link w:val="26"/>
    <w:qFormat/>
    <w:uiPriority w:val="0"/>
    <w:pPr>
      <w:keepNext/>
      <w:numPr>
        <w:ilvl w:val="0"/>
        <w:numId w:val="1"/>
      </w:numPr>
      <w:spacing w:beforeLines="100" w:afterLines="50"/>
      <w:outlineLvl w:val="0"/>
    </w:pPr>
    <w:rPr>
      <w:rFonts w:ascii="宋体" w:hAnsi="宋体"/>
      <w:b/>
      <w:bCs/>
      <w:kern w:val="24"/>
      <w:sz w:val="30"/>
      <w:u w:color="000000"/>
    </w:rPr>
  </w:style>
  <w:style w:type="paragraph" w:styleId="5">
    <w:name w:val="heading 2"/>
    <w:basedOn w:val="1"/>
    <w:next w:val="6"/>
    <w:qFormat/>
    <w:uiPriority w:val="0"/>
    <w:pPr>
      <w:keepNext/>
      <w:keepLines/>
      <w:spacing w:before="260" w:beforeLines="0" w:after="260" w:afterLines="0" w:line="416" w:lineRule="auto"/>
      <w:outlineLvl w:val="1"/>
    </w:pPr>
    <w:rPr>
      <w:rFonts w:ascii="Cambria" w:hAnsi="Cambria"/>
      <w:b/>
      <w:bCs/>
      <w:sz w:val="30"/>
      <w:szCs w:val="32"/>
    </w:rPr>
  </w:style>
  <w:style w:type="paragraph" w:styleId="7">
    <w:name w:val="heading 3"/>
    <w:basedOn w:val="1"/>
    <w:next w:val="1"/>
    <w:semiHidden/>
    <w:unhideWhenUsed/>
    <w:qFormat/>
    <w:uiPriority w:val="9"/>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rPr>
      <w:kern w:val="0"/>
      <w:sz w:val="20"/>
    </w:rPr>
  </w:style>
  <w:style w:type="paragraph" w:styleId="3">
    <w:name w:val="Title"/>
    <w:basedOn w:val="1"/>
    <w:next w:val="1"/>
    <w:qFormat/>
    <w:uiPriority w:val="0"/>
    <w:pPr>
      <w:spacing w:before="240" w:after="60"/>
      <w:jc w:val="center"/>
      <w:outlineLvl w:val="0"/>
    </w:pPr>
    <w:rPr>
      <w:rFonts w:ascii="Cambria" w:hAnsi="Cambria"/>
      <w:b/>
      <w:bCs/>
      <w:sz w:val="32"/>
      <w:szCs w:val="32"/>
    </w:rPr>
  </w:style>
  <w:style w:type="paragraph" w:styleId="6">
    <w:name w:val="Normal Indent"/>
    <w:basedOn w:val="1"/>
    <w:unhideWhenUsed/>
    <w:qFormat/>
    <w:uiPriority w:val="0"/>
    <w:pPr>
      <w:ind w:firstLine="420" w:firstLineChars="200"/>
    </w:pPr>
  </w:style>
  <w:style w:type="paragraph" w:styleId="8">
    <w:name w:val="caption"/>
    <w:basedOn w:val="1"/>
    <w:next w:val="1"/>
    <w:unhideWhenUsed/>
    <w:qFormat/>
    <w:uiPriority w:val="35"/>
    <w:rPr>
      <w:rFonts w:eastAsia="黑体" w:asciiTheme="majorHAnsi" w:hAnsiTheme="majorHAnsi" w:cstheme="majorBidi"/>
      <w:sz w:val="20"/>
      <w:szCs w:val="20"/>
    </w:rPr>
  </w:style>
  <w:style w:type="paragraph" w:styleId="9">
    <w:name w:val="Document Map"/>
    <w:basedOn w:val="1"/>
    <w:qFormat/>
    <w:uiPriority w:val="0"/>
    <w:pPr>
      <w:shd w:val="clear" w:color="auto" w:fill="000080"/>
    </w:pPr>
  </w:style>
  <w:style w:type="paragraph" w:styleId="10">
    <w:name w:val="annotation text"/>
    <w:basedOn w:val="1"/>
    <w:link w:val="28"/>
    <w:qFormat/>
    <w:uiPriority w:val="0"/>
  </w:style>
  <w:style w:type="paragraph" w:styleId="11">
    <w:name w:val="Plain Text"/>
    <w:basedOn w:val="1"/>
    <w:qFormat/>
    <w:uiPriority w:val="99"/>
    <w:rPr>
      <w:rFonts w:ascii="宋体" w:hAnsi="Courier New" w:cs="Courier New"/>
      <w:szCs w:val="21"/>
    </w:rPr>
  </w:style>
  <w:style w:type="paragraph" w:styleId="12">
    <w:name w:val="Balloon Text"/>
    <w:basedOn w:val="1"/>
    <w:link w:val="29"/>
    <w:qFormat/>
    <w:uiPriority w:val="0"/>
    <w:rPr>
      <w:sz w:val="18"/>
      <w:szCs w:val="18"/>
    </w:rPr>
  </w:style>
  <w:style w:type="paragraph" w:styleId="13">
    <w:name w:val="footer"/>
    <w:basedOn w:val="1"/>
    <w:link w:val="25"/>
    <w:qFormat/>
    <w:uiPriority w:val="0"/>
    <w:pPr>
      <w:tabs>
        <w:tab w:val="center" w:pos="4153"/>
        <w:tab w:val="right" w:pos="8306"/>
      </w:tabs>
      <w:snapToGrid w:val="0"/>
    </w:pPr>
    <w:rPr>
      <w:sz w:val="18"/>
    </w:rPr>
  </w:style>
  <w:style w:type="paragraph" w:styleId="14">
    <w:name w:val="header"/>
    <w:basedOn w:val="1"/>
    <w:link w:val="27"/>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unhideWhenUsed/>
    <w:qFormat/>
    <w:uiPriority w:val="39"/>
    <w:pPr>
      <w:spacing w:line="240" w:lineRule="auto"/>
      <w:ind w:firstLine="0" w:firstLineChars="0"/>
    </w:pPr>
    <w:rPr>
      <w:sz w:val="21"/>
    </w:rPr>
  </w:style>
  <w:style w:type="paragraph" w:styleId="16">
    <w:name w:val="toc 2"/>
    <w:basedOn w:val="1"/>
    <w:next w:val="1"/>
    <w:unhideWhenUsed/>
    <w:qFormat/>
    <w:uiPriority w:val="39"/>
    <w:pPr>
      <w:widowControl/>
      <w:spacing w:after="100" w:line="259" w:lineRule="auto"/>
      <w:ind w:left="220"/>
    </w:pPr>
    <w:rPr>
      <w:kern w:val="0"/>
      <w:sz w:val="22"/>
    </w:rPr>
  </w:style>
  <w:style w:type="paragraph" w:styleId="17">
    <w:name w:val="annotation subject"/>
    <w:basedOn w:val="10"/>
    <w:next w:val="10"/>
    <w:link w:val="30"/>
    <w:qFormat/>
    <w:uiPriority w:val="0"/>
    <w:rPr>
      <w:b/>
      <w:bCs/>
    </w:rPr>
  </w:style>
  <w:style w:type="table" w:styleId="19">
    <w:name w:val="Table Grid"/>
    <w:basedOn w:val="1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22"/>
    <w:rPr>
      <w:b/>
    </w:rPr>
  </w:style>
  <w:style w:type="character" w:styleId="22">
    <w:name w:val="page number"/>
    <w:semiHidden/>
    <w:qFormat/>
    <w:uiPriority w:val="0"/>
  </w:style>
  <w:style w:type="character" w:styleId="23">
    <w:name w:val="Hyperlink"/>
    <w:qFormat/>
    <w:uiPriority w:val="99"/>
    <w:rPr>
      <w:color w:val="0000FF"/>
      <w:u w:val="single"/>
    </w:rPr>
  </w:style>
  <w:style w:type="character" w:styleId="24">
    <w:name w:val="annotation reference"/>
    <w:qFormat/>
    <w:uiPriority w:val="0"/>
    <w:rPr>
      <w:sz w:val="21"/>
      <w:szCs w:val="21"/>
    </w:rPr>
  </w:style>
  <w:style w:type="character" w:customStyle="1" w:styleId="25">
    <w:name w:val="页脚 字符"/>
    <w:link w:val="13"/>
    <w:qFormat/>
    <w:uiPriority w:val="0"/>
    <w:rPr>
      <w:rFonts w:ascii="Times New Roman" w:hAnsi="Times New Roman" w:eastAsia="宋体" w:cs="Times New Roman"/>
      <w:sz w:val="18"/>
      <w:szCs w:val="24"/>
    </w:rPr>
  </w:style>
  <w:style w:type="character" w:customStyle="1" w:styleId="26">
    <w:name w:val="标题 1 字符"/>
    <w:link w:val="4"/>
    <w:qFormat/>
    <w:uiPriority w:val="0"/>
    <w:rPr>
      <w:rFonts w:ascii="宋体" w:hAnsi="宋体"/>
      <w:b/>
      <w:bCs/>
      <w:kern w:val="24"/>
      <w:sz w:val="30"/>
      <w:szCs w:val="24"/>
      <w:u w:color="000000"/>
    </w:rPr>
  </w:style>
  <w:style w:type="character" w:customStyle="1" w:styleId="27">
    <w:name w:val="页眉 字符"/>
    <w:link w:val="14"/>
    <w:qFormat/>
    <w:uiPriority w:val="0"/>
    <w:rPr>
      <w:rFonts w:ascii="Times New Roman" w:hAnsi="Times New Roman" w:eastAsia="宋体" w:cs="Times New Roman"/>
      <w:sz w:val="18"/>
      <w:szCs w:val="18"/>
    </w:rPr>
  </w:style>
  <w:style w:type="character" w:customStyle="1" w:styleId="28">
    <w:name w:val="批注文字 字符"/>
    <w:link w:val="10"/>
    <w:qFormat/>
    <w:uiPriority w:val="0"/>
    <w:rPr>
      <w:rFonts w:ascii="Times New Roman" w:hAnsi="Times New Roman"/>
      <w:kern w:val="2"/>
      <w:sz w:val="21"/>
      <w:szCs w:val="24"/>
    </w:rPr>
  </w:style>
  <w:style w:type="character" w:customStyle="1" w:styleId="29">
    <w:name w:val="批注框文本 字符"/>
    <w:link w:val="12"/>
    <w:qFormat/>
    <w:uiPriority w:val="0"/>
    <w:rPr>
      <w:rFonts w:ascii="Times New Roman" w:hAnsi="Times New Roman"/>
      <w:kern w:val="2"/>
      <w:sz w:val="18"/>
      <w:szCs w:val="18"/>
    </w:rPr>
  </w:style>
  <w:style w:type="character" w:customStyle="1" w:styleId="30">
    <w:name w:val="批注主题 字符"/>
    <w:link w:val="17"/>
    <w:qFormat/>
    <w:uiPriority w:val="0"/>
    <w:rPr>
      <w:rFonts w:ascii="Times New Roman" w:hAnsi="Times New Roman"/>
      <w:b/>
      <w:bCs/>
      <w:kern w:val="2"/>
      <w:sz w:val="21"/>
      <w:szCs w:val="24"/>
    </w:rPr>
  </w:style>
  <w:style w:type="paragraph" w:customStyle="1" w:styleId="31">
    <w:name w:val="修订1"/>
    <w:qFormat/>
    <w:uiPriority w:val="0"/>
    <w:rPr>
      <w:rFonts w:ascii="Times New Roman" w:hAnsi="Times New Roman" w:eastAsia="宋体" w:cs="Times New Roman"/>
      <w:kern w:val="2"/>
      <w:sz w:val="21"/>
      <w:szCs w:val="24"/>
      <w:lang w:val="en-US" w:eastAsia="zh-CN" w:bidi="ar-SA"/>
    </w:rPr>
  </w:style>
  <w:style w:type="paragraph" w:customStyle="1" w:styleId="32">
    <w:name w:val="ZHR标题2"/>
    <w:qFormat/>
    <w:uiPriority w:val="0"/>
    <w:pPr>
      <w:spacing w:beforeLines="50" w:afterLines="50" w:line="360" w:lineRule="auto"/>
      <w:outlineLvl w:val="1"/>
    </w:pPr>
    <w:rPr>
      <w:rFonts w:ascii="Times New Roman" w:hAnsi="Times New Roman" w:eastAsia="宋体" w:cs="Times New Roman"/>
      <w:b/>
      <w:kern w:val="2"/>
      <w:sz w:val="24"/>
      <w:szCs w:val="24"/>
      <w:lang w:val="en-US" w:eastAsia="zh-CN" w:bidi="ar-SA"/>
    </w:rPr>
  </w:style>
  <w:style w:type="paragraph" w:customStyle="1" w:styleId="3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4">
    <w:name w:val="修订2"/>
    <w:hidden/>
    <w:unhideWhenUsed/>
    <w:qFormat/>
    <w:uiPriority w:val="99"/>
    <w:rPr>
      <w:rFonts w:ascii="Times New Roman" w:hAnsi="Times New Roman" w:eastAsia="宋体" w:cs="Times New Roman"/>
      <w:kern w:val="2"/>
      <w:sz w:val="24"/>
      <w:szCs w:val="24"/>
      <w:lang w:val="en-US" w:eastAsia="zh-CN" w:bidi="ar-SA"/>
    </w:rPr>
  </w:style>
  <w:style w:type="paragraph" w:customStyle="1" w:styleId="35">
    <w:name w:val="WPSOffice手动目录 1"/>
    <w:qFormat/>
    <w:uiPriority w:val="0"/>
    <w:rPr>
      <w:rFonts w:ascii="Times New Roman" w:hAnsi="Times New Roman" w:eastAsia="宋体" w:cs="Times New Roman"/>
      <w:lang w:val="en-US" w:eastAsia="zh-CN" w:bidi="ar-SA"/>
    </w:rPr>
  </w:style>
  <w:style w:type="paragraph" w:customStyle="1" w:styleId="36">
    <w:name w:val="Revision"/>
    <w:hidden/>
    <w:unhideWhenUsed/>
    <w:qFormat/>
    <w:uiPriority w:val="99"/>
    <w:rPr>
      <w:rFonts w:ascii="Times New Roman" w:hAnsi="Times New Roman" w:eastAsia="宋体" w:cs="Times New Roman"/>
      <w:kern w:val="2"/>
      <w:sz w:val="24"/>
      <w:szCs w:val="24"/>
      <w:lang w:val="en-US" w:eastAsia="zh-CN" w:bidi="ar-SA"/>
    </w:rPr>
  </w:style>
  <w:style w:type="paragraph" w:customStyle="1" w:styleId="37">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38">
    <w:name w:val="首行缩进"/>
    <w:basedOn w:val="1"/>
    <w:qFormat/>
    <w:uiPriority w:val="0"/>
    <w:pPr>
      <w:spacing w:line="300" w:lineRule="auto"/>
      <w:ind w:firstLine="420" w:firstLineChars="200"/>
    </w:pPr>
    <w:rPr>
      <w:rFonts w:eastAsia="方正书宋简体" w:cs="宋体"/>
      <w:kern w:val="2"/>
      <w:sz w:val="21"/>
      <w:lang w:val="en-US" w:eastAsia="zh-CN" w:bidi="ar-SA"/>
    </w:rPr>
  </w:style>
  <w:style w:type="paragraph" w:customStyle="1" w:styleId="39">
    <w:name w:val="正文首先缩进"/>
    <w:basedOn w:val="1"/>
    <w:qFormat/>
    <w:uiPriority w:val="0"/>
    <w:pPr>
      <w:spacing w:line="360" w:lineRule="auto"/>
      <w:ind w:firstLine="420" w:firstLineChars="200"/>
    </w:pPr>
  </w:style>
  <w:style w:type="paragraph" w:customStyle="1" w:styleId="40">
    <w:name w:val="Bg"/>
    <w:basedOn w:val="1"/>
    <w:qFormat/>
    <w:uiPriority w:val="0"/>
    <w:pPr>
      <w:topLinePunct/>
      <w:snapToGrid w:val="0"/>
      <w:spacing w:before="60" w:after="60"/>
      <w:contextualSpacing/>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7.xml"/><Relationship Id="rId17" Type="http://schemas.openxmlformats.org/officeDocument/2006/relationships/header" Target="head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B3E7A-6C58-421D-A3C7-862D2BF5EF1F}">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10</Pages>
  <Words>9835</Words>
  <Characters>10821</Characters>
  <Lines>128</Lines>
  <Paragraphs>114</Paragraphs>
  <TotalTime>2</TotalTime>
  <ScaleCrop>false</ScaleCrop>
  <LinksUpToDate>false</LinksUpToDate>
  <CharactersWithSpaces>10963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2025-03-19T16:10:00Z</dcterms:created>
  <dc:creator>Chen Xiangyu</dc:creator>
  <cp:lastModifiedBy>bsjgy15</cp:lastModifiedBy>
  <cp:lastPrinted>2025-03-06T07:48:00Z</cp:lastPrinted>
  <dcterms:modified xsi:type="dcterms:W3CDTF">2026-07-01T01:06:16Z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A0B2A299633843678BD0A62F51E5C39E</vt:lpwstr>
  </property>
  <property fmtid="{D5CDD505-2E9C-101B-9397-08002B2CF9AE}" pid="4" name="KSOTemplateDocerSaveRecord">
    <vt:lpwstr>eyJoZGlkIjoiZjVhNGJiMWVmZTg4ZjFhYWZhYWFiMzBkODkwYWRkZmUiLCJ1c2VySWQiOiIyNjMwNzY1ODMifQ==</vt:lpwstr>
  </property>
</Properties>
</file>