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6DD059">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14:paraId="715AD301">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14:paraId="715AD301">
                      <w:pPr>
                        <w:spacing w:before="156"/>
                        <w:rPr>
                          <w:rFonts w:ascii="Times New Roman" w:hAnsi="Times New Roman"/>
                          <w:szCs w:val="24"/>
                        </w:rPr>
                      </w:pPr>
                    </w:p>
                  </w:txbxContent>
                </v:textbox>
              </v:rect>
            </w:pict>
          </mc:Fallback>
        </mc:AlternateContent>
      </w:r>
    </w:p>
    <w:p w14:paraId="6623884B">
      <w:pPr>
        <w:adjustRightInd w:val="0"/>
        <w:snapToGrid w:val="0"/>
        <w:spacing w:before="156"/>
        <w:rPr>
          <w:rFonts w:ascii="宋体" w:hAnsi="宋体"/>
          <w:color w:val="auto"/>
          <w:highlight w:val="none"/>
        </w:rPr>
      </w:pPr>
    </w:p>
    <w:p w14:paraId="2618D5F4">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0ED1A7C3">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14:paraId="652EAC6B">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14:paraId="0ED1A7C3">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14:paraId="652EAC6B">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14:paraId="3A5AFDE4">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超高压输电公司昆明局2026年普洱换流站液压机构动态滤油零星采购项目</w:t>
      </w:r>
    </w:p>
    <w:p w14:paraId="4BC37BB1">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14:paraId="4557E300">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14:paraId="6F90A77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14:paraId="2DC8452A">
      <w:pPr>
        <w:adjustRightInd w:val="0"/>
        <w:snapToGrid w:val="0"/>
        <w:spacing w:before="156" w:beforeLines="50" w:line="360" w:lineRule="auto"/>
        <w:ind w:firstLine="560" w:firstLineChars="200"/>
        <w:outlineLvl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根据</w:t>
      </w:r>
      <w:r>
        <w:rPr>
          <w:rFonts w:hint="eastAsia" w:ascii="宋体" w:hAnsi="宋体" w:cs="宋体"/>
          <w:color w:val="auto"/>
          <w:sz w:val="28"/>
          <w:szCs w:val="28"/>
          <w:highlight w:val="none"/>
          <w:lang w:val="en-US" w:eastAsia="zh-CN"/>
        </w:rPr>
        <w:t>上级文件要求</w:t>
      </w:r>
      <w:r>
        <w:rPr>
          <w:rFonts w:hint="eastAsia" w:ascii="宋体" w:hAnsi="宋体" w:eastAsia="宋体" w:cs="宋体"/>
          <w:color w:val="auto"/>
          <w:sz w:val="28"/>
          <w:szCs w:val="28"/>
          <w:highlight w:val="none"/>
          <w:lang w:val="en-US" w:eastAsia="zh-CN"/>
        </w:rPr>
        <w:t>需对普洱换流站交流滤波器断路器液压机构开展1次动态滤油工作，并在动态滤油后开展机构保压试验。</w:t>
      </w:r>
    </w:p>
    <w:p w14:paraId="6960CEEC">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14:paraId="194936D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2.1实施内容：采购一台液压机构动态滤油服务，机构型号为HMB-8.12</w:t>
      </w:r>
      <w:r>
        <w:rPr>
          <w:rFonts w:hint="eastAsia" w:ascii="宋体" w:hAnsi="宋体" w:cs="宋体"/>
          <w:color w:val="auto"/>
          <w:sz w:val="28"/>
          <w:szCs w:val="28"/>
          <w:highlight w:val="none"/>
          <w:lang w:val="en-US" w:eastAsia="zh-CN"/>
        </w:rPr>
        <w:t>。</w:t>
      </w:r>
    </w:p>
    <w:p w14:paraId="220F3E94">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b w:val="0"/>
          <w:bCs/>
          <w:color w:val="auto"/>
          <w:sz w:val="28"/>
          <w:szCs w:val="28"/>
          <w:highlight w:val="none"/>
          <w:u w:val="single"/>
          <w:lang w:val="en-US" w:eastAsia="zh-CN"/>
        </w:rPr>
        <w:t>成交之日起</w:t>
      </w:r>
      <w:r>
        <w:rPr>
          <w:rFonts w:hint="eastAsia" w:ascii="宋体" w:hAnsi="宋体" w:cs="宋体"/>
          <w:b w:val="0"/>
          <w:bCs/>
          <w:color w:val="auto"/>
          <w:sz w:val="28"/>
          <w:szCs w:val="28"/>
          <w:highlight w:val="none"/>
          <w:u w:val="single"/>
          <w:lang w:val="en-US" w:eastAsia="zh-CN"/>
        </w:rPr>
        <w:t>3</w:t>
      </w:r>
      <w:r>
        <w:rPr>
          <w:rFonts w:hint="eastAsia" w:ascii="宋体" w:hAnsi="宋体" w:eastAsia="宋体" w:cs="宋体"/>
          <w:b w:val="0"/>
          <w:bCs/>
          <w:color w:val="auto"/>
          <w:sz w:val="28"/>
          <w:szCs w:val="28"/>
          <w:highlight w:val="none"/>
          <w:u w:val="single"/>
          <w:lang w:val="en-US" w:eastAsia="zh-CN"/>
        </w:rPr>
        <w:t>个月</w:t>
      </w:r>
      <w:r>
        <w:rPr>
          <w:rFonts w:hint="eastAsia" w:ascii="宋体" w:hAnsi="宋体" w:cs="宋体"/>
          <w:b w:val="0"/>
          <w:bCs/>
          <w:color w:val="auto"/>
          <w:sz w:val="28"/>
          <w:szCs w:val="28"/>
          <w:highlight w:val="none"/>
          <w:u w:val="single"/>
          <w:lang w:val="en-US" w:eastAsia="zh-CN"/>
        </w:rPr>
        <w:t>。</w:t>
      </w:r>
    </w:p>
    <w:p w14:paraId="731C880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液压机构存放于云南省普洱市思茅区龙潭乡±800kV普洱换流站，可运输至厂内开展服务</w:t>
      </w:r>
      <w:r>
        <w:rPr>
          <w:rFonts w:hint="eastAsia" w:ascii="宋体" w:hAnsi="宋体" w:eastAsia="宋体" w:cs="宋体"/>
          <w:color w:val="auto"/>
          <w:sz w:val="28"/>
          <w:szCs w:val="28"/>
          <w:highlight w:val="none"/>
          <w:u w:val="single"/>
          <w:lang w:val="en-US" w:eastAsia="zh-CN"/>
        </w:rPr>
        <w:t>。</w:t>
      </w:r>
    </w:p>
    <w:p w14:paraId="770C3D5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cs="宋体"/>
          <w:color w:val="auto"/>
          <w:sz w:val="28"/>
          <w:szCs w:val="28"/>
          <w:highlight w:val="none"/>
          <w:u w:val="single"/>
          <w:lang w:val="en-US" w:eastAsia="zh-CN"/>
        </w:rPr>
        <w:t>无。</w:t>
      </w:r>
    </w:p>
    <w:p w14:paraId="7B5A7904">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14:paraId="01DB413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14:paraId="4430DDA6">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14:paraId="7E48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14:paraId="68C7C0D1">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14:paraId="074B14D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14:paraId="5D9978E9">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14:paraId="265F8F51">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14:paraId="1758678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14:paraId="7D34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14:paraId="378B505C">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14:paraId="3F3BA8A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14:paraId="7A14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14:paraId="2FCDE77B">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14:paraId="44F2365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14:paraId="2CD17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14:paraId="050F7AA4">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14:paraId="198419D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14:paraId="61AFFCDD">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14:paraId="54D7FEC8">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14:paraId="00F0474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14:paraId="44A600C0">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14:paraId="5732856B">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14:paraId="77F0DA79">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14:paraId="52F833D1">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14:paraId="3739D27E">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14:paraId="7BED0E8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无。</w:t>
      </w:r>
      <w:r>
        <w:rPr>
          <w:rFonts w:hint="eastAsia" w:ascii="宋体" w:hAnsi="宋体" w:eastAsia="宋体" w:cs="宋体"/>
          <w:color w:val="auto"/>
          <w:sz w:val="28"/>
          <w:szCs w:val="28"/>
          <w:highlight w:val="none"/>
          <w:u w:val="single"/>
          <w:lang w:val="en-US" w:eastAsia="zh-CN"/>
        </w:rPr>
        <w:t xml:space="preserve"> </w:t>
      </w:r>
    </w:p>
    <w:p w14:paraId="21E7E4A8">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14:paraId="6F9C9E3C">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14:paraId="633A6EF4">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14:paraId="0B46A9A7">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14:paraId="69B23917">
      <w:pPr>
        <w:wordWrap/>
        <w:spacing w:line="360" w:lineRule="auto"/>
        <w:jc w:val="center"/>
        <w:rPr>
          <w:rFonts w:hint="eastAsia" w:ascii="宋体" w:hAnsi="宋体" w:cs="宋体"/>
          <w:color w:val="auto"/>
          <w:spacing w:val="-1"/>
          <w:szCs w:val="21"/>
          <w:highlight w:val="none"/>
          <w:lang w:val="en-US" w:eastAsia="zh-CN"/>
        </w:rPr>
      </w:pPr>
      <w:r>
        <w:rPr>
          <w:rFonts w:hint="eastAsia" w:ascii="宋体" w:hAnsi="宋体" w:cs="宋体"/>
          <w:color w:val="auto"/>
          <w:sz w:val="21"/>
          <w:szCs w:val="21"/>
          <w:highlight w:val="none"/>
          <w:lang w:val="en-US" w:eastAsia="zh-CN"/>
        </w:rPr>
        <w:t xml:space="preserve">  </w:t>
      </w:r>
    </w:p>
    <w:p w14:paraId="46D2E1A4">
      <w:pPr>
        <w:adjustRightInd w:val="0"/>
        <w:snapToGrid w:val="0"/>
        <w:spacing w:before="156" w:line="360" w:lineRule="auto"/>
        <w:jc w:val="left"/>
        <w:outlineLvl w:val="0"/>
        <w:rPr>
          <w:rFonts w:hint="eastAsia" w:ascii="宋体" w:hAnsi="宋体" w:cs="宋体"/>
          <w:color w:val="auto"/>
          <w:spacing w:val="-1"/>
          <w:szCs w:val="21"/>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p w14:paraId="5C7F41D9">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0"/>
        <w:gridCol w:w="1987"/>
        <w:gridCol w:w="1075"/>
        <w:gridCol w:w="3735"/>
        <w:gridCol w:w="2732"/>
      </w:tblGrid>
      <w:tr w14:paraId="35C3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6" w:hRule="atLeast"/>
        </w:trPr>
        <w:tc>
          <w:tcPr>
            <w:tcW w:w="700" w:type="dxa"/>
            <w:shd w:val="clear" w:color="auto" w:fill="auto"/>
            <w:noWrap w:val="0"/>
            <w:vAlign w:val="center"/>
          </w:tcPr>
          <w:p w14:paraId="2099E747">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shd w:val="clear" w:color="auto" w:fill="auto"/>
            <w:noWrap w:val="0"/>
            <w:vAlign w:val="center"/>
          </w:tcPr>
          <w:p w14:paraId="5032C4AA">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shd w:val="clear" w:color="auto" w:fill="auto"/>
            <w:noWrap w:val="0"/>
            <w:vAlign w:val="center"/>
          </w:tcPr>
          <w:p w14:paraId="46D88258">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shd w:val="clear" w:color="auto" w:fill="auto"/>
            <w:noWrap w:val="0"/>
            <w:vAlign w:val="center"/>
          </w:tcPr>
          <w:p w14:paraId="7740F37D">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shd w:val="clear" w:color="auto" w:fill="auto"/>
            <w:noWrap w:val="0"/>
            <w:vAlign w:val="center"/>
          </w:tcPr>
          <w:p w14:paraId="076D0760">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14:paraId="0666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shd w:val="clear" w:color="auto" w:fill="auto"/>
            <w:noWrap w:val="0"/>
            <w:vAlign w:val="center"/>
          </w:tcPr>
          <w:p w14:paraId="16C1B929">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shd w:val="clear" w:color="auto" w:fill="auto"/>
            <w:noWrap w:val="0"/>
            <w:vAlign w:val="center"/>
          </w:tcPr>
          <w:p w14:paraId="4AF00900">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cs="宋体"/>
                <w:b/>
                <w:i w:val="0"/>
                <w:color w:val="auto"/>
                <w:kern w:val="0"/>
                <w:sz w:val="18"/>
                <w:szCs w:val="18"/>
                <w:highlight w:val="none"/>
                <w:u w:val="none"/>
                <w:lang w:val="en-US" w:eastAsia="zh-CN" w:bidi="ar"/>
              </w:rPr>
              <w:t>液压机构滤油服务</w:t>
            </w:r>
          </w:p>
        </w:tc>
        <w:tc>
          <w:tcPr>
            <w:tcW w:w="1075" w:type="dxa"/>
            <w:shd w:val="clear" w:color="auto" w:fill="auto"/>
            <w:noWrap w:val="0"/>
            <w:vAlign w:val="center"/>
          </w:tcPr>
          <w:p w14:paraId="25E8038B">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default" w:ascii="宋体" w:hAnsi="宋体" w:eastAsia="宋体" w:cs="宋体"/>
                <w:b/>
                <w:i w:val="0"/>
                <w:color w:val="auto"/>
                <w:kern w:val="0"/>
                <w:sz w:val="18"/>
                <w:szCs w:val="18"/>
                <w:highlight w:val="none"/>
                <w:u w:val="none"/>
                <w:lang w:val="en-US" w:eastAsia="zh-CN" w:bidi="ar"/>
              </w:rPr>
              <w:t>HMB-8.12</w:t>
            </w:r>
          </w:p>
        </w:tc>
        <w:tc>
          <w:tcPr>
            <w:tcW w:w="3735" w:type="dxa"/>
            <w:shd w:val="clear" w:color="auto" w:fill="auto"/>
            <w:noWrap w:val="0"/>
            <w:vAlign w:val="center"/>
          </w:tcPr>
          <w:p w14:paraId="2C8F721C">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drawing>
                <wp:inline distT="0" distB="0" distL="114300" distR="114300">
                  <wp:extent cx="2220595" cy="3681730"/>
                  <wp:effectExtent l="0" t="0" r="8255" b="13970"/>
                  <wp:docPr id="10" name="图片 10" descr="IMG_20260601_15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0260601_153743"/>
                          <pic:cNvPicPr>
                            <a:picLocks noChangeAspect="1"/>
                          </pic:cNvPicPr>
                        </pic:nvPicPr>
                        <pic:blipFill>
                          <a:blip r:embed="rId10"/>
                          <a:stretch>
                            <a:fillRect/>
                          </a:stretch>
                        </pic:blipFill>
                        <pic:spPr>
                          <a:xfrm>
                            <a:off x="0" y="0"/>
                            <a:ext cx="2220595" cy="3681730"/>
                          </a:xfrm>
                          <a:prstGeom prst="rect">
                            <a:avLst/>
                          </a:prstGeom>
                        </pic:spPr>
                      </pic:pic>
                    </a:graphicData>
                  </a:graphic>
                </wp:inline>
              </w:drawing>
            </w:r>
          </w:p>
        </w:tc>
        <w:tc>
          <w:tcPr>
            <w:tcW w:w="2732" w:type="dxa"/>
            <w:shd w:val="clear" w:color="auto" w:fill="auto"/>
            <w:noWrap w:val="0"/>
            <w:vAlign w:val="center"/>
          </w:tcPr>
          <w:p w14:paraId="5FDD7A5D">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报价视为含往返运输费。</w:t>
            </w:r>
          </w:p>
        </w:tc>
      </w:tr>
    </w:tbl>
    <w:p w14:paraId="6702FF37">
      <w:pPr>
        <w:rPr>
          <w:highlight w:val="none"/>
        </w:rPr>
      </w:pPr>
      <w:bookmarkStart w:id="3" w:name="_GoBack"/>
      <w:bookmarkEnd w:id="3"/>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0A568">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F6CF0A">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69F6CF0A">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14:paraId="004FA006">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DC982">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053BAFC">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1053BAFC">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2E60F">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6F5956C">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14:paraId="26F5956C">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222C66">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15222C66">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62F05AD4">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14:paraId="62F05AD4">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07699">
    <w:pPr>
      <w:pStyle w:val="6"/>
      <w:pBdr>
        <w:bottom w:val="none" w:color="auto" w:sz="0" w:space="0"/>
      </w:pBdr>
    </w:pPr>
  </w:p>
  <w:p w14:paraId="0F477F2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53FBB"/>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0D57CA"/>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3524F"/>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CC17DF"/>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66BF2"/>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517F1"/>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15</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8A95ABB2A23E4EE0871AD19BFF64E3A4</cp:lastModifiedBy>
  <dcterms:modified xsi:type="dcterms:W3CDTF">2026-06-09T01:37:10Z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957425569360430094DEC598F4AD0D29_13</vt:lpwstr>
  </property>
</Properties>
</file>