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FFE8F">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spacing w:val="10"/>
          <w:kern w:val="0"/>
          <w:sz w:val="28"/>
          <w:szCs w:val="21"/>
          <w:lang w:val="en-US" w:eastAsia="zh-CN" w:bidi="ar"/>
        </w:rPr>
      </w:pPr>
      <w:r>
        <w:rPr>
          <w:rFonts w:hint="eastAsia" w:asciiTheme="minorEastAsia" w:hAnsiTheme="minorEastAsia" w:eastAsiaTheme="minorEastAsia" w:cstheme="minorEastAsia"/>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Theme="minorEastAsia" w:hAnsiTheme="minorEastAsia" w:eastAsiaTheme="minorEastAsia" w:cstheme="minorEastAsia"/>
          <w:spacing w:val="10"/>
          <w:kern w:val="0"/>
          <w:sz w:val="28"/>
          <w:szCs w:val="21"/>
          <w:lang w:val="en-US" w:eastAsia="zh-CN" w:bidi="ar"/>
        </w:rPr>
        <w:t xml:space="preserve">                 </w:t>
      </w:r>
    </w:p>
    <w:p w14:paraId="7748CEFF">
      <w:pPr>
        <w:jc w:val="center"/>
        <w:rPr>
          <w:rFonts w:hint="eastAsia" w:asciiTheme="minorEastAsia" w:hAnsiTheme="minorEastAsia" w:eastAsiaTheme="minorEastAsia" w:cstheme="minorEastAsia"/>
          <w:b/>
          <w:bCs/>
          <w:color w:val="auto"/>
          <w:sz w:val="52"/>
          <w:szCs w:val="52"/>
          <w:highlight w:val="none"/>
          <w:lang w:val="en-US" w:eastAsia="zh-CN"/>
        </w:rPr>
      </w:pPr>
      <w:r>
        <w:rPr>
          <w:rFonts w:hint="eastAsia" w:asciiTheme="minorEastAsia" w:hAnsiTheme="minorEastAsia" w:eastAsiaTheme="minorEastAsia" w:cstheme="minorEastAsia"/>
          <w:b/>
          <w:bCs/>
          <w:color w:val="auto"/>
          <w:sz w:val="52"/>
          <w:szCs w:val="52"/>
          <w:highlight w:val="none"/>
          <w:lang w:val="en-US" w:eastAsia="zh-CN"/>
        </w:rPr>
        <w:t>安顺西秀供电局职工子女暑期托管活动</w:t>
      </w:r>
    </w:p>
    <w:p w14:paraId="03C204A7">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技术规范书</w:t>
      </w:r>
    </w:p>
    <w:p w14:paraId="3C1005F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Theme="minorEastAsia" w:hAnsiTheme="minorEastAsia" w:eastAsiaTheme="minorEastAsia" w:cstheme="minorEastAsia"/>
          <w:b/>
          <w:bCs w:val="0"/>
          <w:spacing w:val="10"/>
          <w:kern w:val="0"/>
          <w:sz w:val="36"/>
          <w:szCs w:val="20"/>
          <w:lang w:val="en-US" w:eastAsia="zh-CN" w:bidi="ar"/>
        </w:rPr>
      </w:pPr>
    </w:p>
    <w:p w14:paraId="3C86B922">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z w:val="36"/>
          <w:szCs w:val="20"/>
          <w:lang w:val="en-US"/>
        </w:rPr>
      </w:pPr>
    </w:p>
    <w:p w14:paraId="2A8D5419">
      <w:pPr>
        <w:pStyle w:val="4"/>
        <w:rPr>
          <w:rFonts w:hint="eastAsia" w:asciiTheme="minorEastAsia" w:hAnsiTheme="minorEastAsia" w:eastAsiaTheme="minorEastAsia" w:cstheme="minorEastAsia"/>
          <w:b/>
          <w:bCs w:val="0"/>
          <w:sz w:val="36"/>
          <w:szCs w:val="20"/>
          <w:lang w:val="en-US"/>
        </w:rPr>
      </w:pPr>
    </w:p>
    <w:p w14:paraId="27C565B3">
      <w:pPr>
        <w:pStyle w:val="5"/>
        <w:rPr>
          <w:rFonts w:hint="eastAsia" w:asciiTheme="minorEastAsia" w:hAnsiTheme="minorEastAsia" w:eastAsiaTheme="minorEastAsia" w:cstheme="minorEastAsia"/>
          <w:b/>
          <w:bCs w:val="0"/>
          <w:sz w:val="36"/>
          <w:szCs w:val="20"/>
          <w:lang w:val="en-US"/>
        </w:rPr>
      </w:pPr>
    </w:p>
    <w:p w14:paraId="16AC90B0">
      <w:pPr>
        <w:rPr>
          <w:rFonts w:hint="eastAsia" w:asciiTheme="minorEastAsia" w:hAnsiTheme="minorEastAsia" w:eastAsiaTheme="minorEastAsia" w:cstheme="minorEastAsia"/>
          <w:b/>
          <w:bCs w:val="0"/>
          <w:sz w:val="36"/>
          <w:szCs w:val="20"/>
          <w:lang w:val="en-US"/>
        </w:rPr>
      </w:pPr>
    </w:p>
    <w:p w14:paraId="5567A0D8">
      <w:pPr>
        <w:pStyle w:val="4"/>
        <w:rPr>
          <w:rFonts w:hint="eastAsia" w:asciiTheme="minorEastAsia" w:hAnsiTheme="minorEastAsia" w:eastAsiaTheme="minorEastAsia" w:cstheme="minorEastAsia"/>
          <w:b/>
          <w:bCs w:val="0"/>
          <w:sz w:val="36"/>
          <w:szCs w:val="20"/>
          <w:lang w:val="en-US"/>
        </w:rPr>
      </w:pPr>
    </w:p>
    <w:p w14:paraId="297342C4">
      <w:pPr>
        <w:pStyle w:val="5"/>
        <w:jc w:val="both"/>
        <w:rPr>
          <w:rFonts w:hint="eastAsia" w:asciiTheme="minorEastAsia" w:hAnsiTheme="minorEastAsia" w:eastAsiaTheme="minorEastAsia" w:cstheme="minorEastAsia"/>
          <w:lang w:val="en-US"/>
        </w:rPr>
      </w:pPr>
    </w:p>
    <w:p w14:paraId="006EFEA2">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pacing w:val="20"/>
          <w:w w:val="135"/>
          <w:sz w:val="30"/>
          <w:szCs w:val="20"/>
          <w:lang w:val="en-US"/>
        </w:rPr>
      </w:pPr>
      <w:r>
        <w:rPr>
          <w:rFonts w:hint="eastAsia" w:asciiTheme="minorEastAsia" w:hAnsiTheme="minorEastAsia" w:eastAsiaTheme="minorEastAsia" w:cstheme="minorEastAsia"/>
          <w:b/>
          <w:bCs w:val="0"/>
          <w:spacing w:val="20"/>
          <w:w w:val="135"/>
          <w:kern w:val="0"/>
          <w:sz w:val="30"/>
          <w:szCs w:val="20"/>
          <w:lang w:val="en-US" w:eastAsia="zh-CN" w:bidi="ar"/>
        </w:rPr>
        <w:t>贵州电网有限责任公司</w:t>
      </w:r>
    </w:p>
    <w:p w14:paraId="49A9AFC6">
      <w:pPr>
        <w:keepNext w:val="0"/>
        <w:keepLines w:val="0"/>
        <w:widowControl w:val="0"/>
        <w:suppressLineNumbers w:val="0"/>
        <w:spacing w:before="0" w:beforeAutospacing="0" w:after="0" w:afterAutospacing="0" w:line="360" w:lineRule="auto"/>
        <w:ind w:left="0" w:right="0" w:firstLine="0" w:firstLineChars="0"/>
        <w:jc w:val="center"/>
        <w:rPr>
          <w:rFonts w:hint="eastAsia" w:asciiTheme="minorEastAsia" w:hAnsiTheme="minorEastAsia" w:eastAsiaTheme="minorEastAsia" w:cstheme="minorEastAsia"/>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Theme="minorEastAsia" w:hAnsiTheme="minorEastAsia" w:eastAsiaTheme="minorEastAsia" w:cstheme="minorEastAsia"/>
          <w:b/>
          <w:bCs w:val="0"/>
          <w:spacing w:val="20"/>
          <w:w w:val="135"/>
          <w:kern w:val="0"/>
          <w:sz w:val="30"/>
          <w:szCs w:val="20"/>
          <w:lang w:val="en-US" w:eastAsia="zh-CN" w:bidi="ar"/>
        </w:rPr>
        <w:t>2026年7月</w:t>
      </w:r>
    </w:p>
    <w:p w14:paraId="117689BB">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宋体" w:hAnsi="宋体" w:eastAsia="宋体" w:cs="宋体"/>
          <w:color w:val="000000"/>
          <w:sz w:val="28"/>
          <w:szCs w:val="28"/>
        </w:rPr>
        <w:t>积极响应“健康南网”行动，健全完善员工多维关怀机制，做到切实为职工办实事、解难题，帮助员工解决后顾之忧，提升员工幸福指数，</w:t>
      </w:r>
      <w:r>
        <w:rPr>
          <w:rFonts w:hint="eastAsia" w:asciiTheme="minorEastAsia" w:hAnsiTheme="minorEastAsia" w:eastAsiaTheme="minorEastAsia" w:cstheme="minorEastAsia"/>
          <w:sz w:val="28"/>
          <w:szCs w:val="28"/>
          <w:lang w:val="en-US" w:eastAsia="zh-CN"/>
        </w:rPr>
        <w:t>组织开展职工子女暑期托管活动，现将活动组织服务委托第三方进行。相关要求如下：</w:t>
      </w:r>
    </w:p>
    <w:p w14:paraId="4F7FAA3B">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基本情况</w:t>
      </w:r>
    </w:p>
    <w:p w14:paraId="01D94295">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1.1地点：服务商提供不低于120平米的室内托管场地，同时具备不低于200平米户外活动场地。室内场地需具备教室、午休床铺、食堂、室内活动场所。服务地点需在距离安顺西秀供电局2.5公里内。</w:t>
      </w:r>
    </w:p>
    <w:p w14:paraId="1DE4F82B">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1.2对象：在册在岗职工及职工子女（职工子女需年龄在6周岁以上、14周岁以下）。</w:t>
      </w:r>
    </w:p>
    <w:p w14:paraId="21782DD0">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1.3时间：</w:t>
      </w:r>
      <w:r>
        <w:rPr>
          <w:rFonts w:hint="eastAsia" w:asciiTheme="minorEastAsia" w:hAnsiTheme="minorEastAsia" w:cstheme="minorEastAsia"/>
          <w:b w:val="0"/>
          <w:bCs/>
          <w:sz w:val="28"/>
          <w:szCs w:val="28"/>
          <w:lang w:val="en-US" w:eastAsia="zh-CN"/>
        </w:rPr>
        <w:t>2026年7月20日—2026年8月14日</w:t>
      </w:r>
    </w:p>
    <w:p w14:paraId="4924F197">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1.4项目澄清联系电话：0851-32277111（工作日9:00-11:30 ，14:30-17:00）</w:t>
      </w:r>
    </w:p>
    <w:p w14:paraId="6F7F4A93">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服务内容</w:t>
      </w:r>
    </w:p>
    <w:p w14:paraId="29237F59">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2.1课程安排（可根据实际情况进行小部分调整）：</w:t>
      </w:r>
    </w:p>
    <w:p w14:paraId="50E76A26">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drawing>
          <wp:anchor distT="0" distB="0" distL="114300" distR="114300" simplePos="0" relativeHeight="251660288" behindDoc="1" locked="0" layoutInCell="1" allowOverlap="1">
            <wp:simplePos x="0" y="0"/>
            <wp:positionH relativeFrom="column">
              <wp:posOffset>9525</wp:posOffset>
            </wp:positionH>
            <wp:positionV relativeFrom="paragraph">
              <wp:posOffset>108585</wp:posOffset>
            </wp:positionV>
            <wp:extent cx="5273040" cy="2990215"/>
            <wp:effectExtent l="0" t="0" r="3810" b="635"/>
            <wp:wrapNone/>
            <wp:docPr id="3" name="图片 3" descr="WXWorkLocal_17833102119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XWorkLocal_17833102119962"/>
                    <pic:cNvPicPr>
                      <a:picLocks noChangeAspect="1"/>
                    </pic:cNvPicPr>
                  </pic:nvPicPr>
                  <pic:blipFill>
                    <a:blip r:embed="rId6"/>
                    <a:stretch>
                      <a:fillRect/>
                    </a:stretch>
                  </pic:blipFill>
                  <pic:spPr>
                    <a:xfrm>
                      <a:off x="0" y="0"/>
                      <a:ext cx="5273040" cy="2990215"/>
                    </a:xfrm>
                    <a:prstGeom prst="rect">
                      <a:avLst/>
                    </a:prstGeom>
                  </pic:spPr>
                </pic:pic>
              </a:graphicData>
            </a:graphic>
          </wp:anchor>
        </w:drawing>
      </w:r>
    </w:p>
    <w:p w14:paraId="61759EC7">
      <w:pPr>
        <w:pStyle w:val="4"/>
        <w:rPr>
          <w:rFonts w:hint="eastAsia" w:asciiTheme="minorEastAsia" w:hAnsiTheme="minorEastAsia" w:eastAsiaTheme="minorEastAsia" w:cstheme="minorEastAsia"/>
          <w:lang w:val="en-US" w:eastAsia="zh-CN"/>
        </w:rPr>
      </w:pPr>
    </w:p>
    <w:p w14:paraId="79933CD9">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textWrapping"/>
      </w:r>
    </w:p>
    <w:p w14:paraId="09F821AF">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362A02B4">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47849E7B">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DFA5026">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6C776C7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p>
    <w:p w14:paraId="5D7BB72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drawing>
          <wp:anchor distT="0" distB="0" distL="114300" distR="114300" simplePos="0" relativeHeight="251663360" behindDoc="1" locked="0" layoutInCell="1" allowOverlap="1">
            <wp:simplePos x="0" y="0"/>
            <wp:positionH relativeFrom="column">
              <wp:posOffset>-15875</wp:posOffset>
            </wp:positionH>
            <wp:positionV relativeFrom="paragraph">
              <wp:posOffset>55880</wp:posOffset>
            </wp:positionV>
            <wp:extent cx="5266055" cy="2763520"/>
            <wp:effectExtent l="0" t="0" r="10795" b="17780"/>
            <wp:wrapNone/>
            <wp:docPr id="7" name="图片 7" descr="WXWorkLocal_1783310604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WXWorkLocal_17833106044828"/>
                    <pic:cNvPicPr>
                      <a:picLocks noChangeAspect="1"/>
                    </pic:cNvPicPr>
                  </pic:nvPicPr>
                  <pic:blipFill>
                    <a:blip r:embed="rId7"/>
                    <a:stretch>
                      <a:fillRect/>
                    </a:stretch>
                  </pic:blipFill>
                  <pic:spPr>
                    <a:xfrm>
                      <a:off x="0" y="0"/>
                      <a:ext cx="5266055" cy="2763520"/>
                    </a:xfrm>
                    <a:prstGeom prst="rect">
                      <a:avLst/>
                    </a:prstGeom>
                  </pic:spPr>
                </pic:pic>
              </a:graphicData>
            </a:graphic>
          </wp:anchor>
        </w:drawing>
      </w:r>
    </w:p>
    <w:p w14:paraId="3DE65A57">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0F3E6E32">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AD9392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347E0F6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9F531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511A87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4B080664">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0C7C94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drawing>
          <wp:anchor distT="0" distB="0" distL="114300" distR="114300" simplePos="0" relativeHeight="251661312" behindDoc="1" locked="0" layoutInCell="1" allowOverlap="1">
            <wp:simplePos x="0" y="0"/>
            <wp:positionH relativeFrom="column">
              <wp:posOffset>-6350</wp:posOffset>
            </wp:positionH>
            <wp:positionV relativeFrom="paragraph">
              <wp:posOffset>84455</wp:posOffset>
            </wp:positionV>
            <wp:extent cx="5271135" cy="2666365"/>
            <wp:effectExtent l="0" t="0" r="5715" b="635"/>
            <wp:wrapNone/>
            <wp:docPr id="5" name="图片 5" descr="WXWorkLocal_1783310293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XWorkLocal_17833102932996"/>
                    <pic:cNvPicPr>
                      <a:picLocks noChangeAspect="1"/>
                    </pic:cNvPicPr>
                  </pic:nvPicPr>
                  <pic:blipFill>
                    <a:blip r:embed="rId8"/>
                    <a:stretch>
                      <a:fillRect/>
                    </a:stretch>
                  </pic:blipFill>
                  <pic:spPr>
                    <a:xfrm>
                      <a:off x="0" y="0"/>
                      <a:ext cx="5271135" cy="2666365"/>
                    </a:xfrm>
                    <a:prstGeom prst="rect">
                      <a:avLst/>
                    </a:prstGeom>
                  </pic:spPr>
                </pic:pic>
              </a:graphicData>
            </a:graphic>
          </wp:anchor>
        </w:drawing>
      </w:r>
    </w:p>
    <w:p w14:paraId="62B5B97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435845AF">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p>
    <w:p w14:paraId="0212D311">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p>
    <w:p w14:paraId="717CFC19">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BCE5D78">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22FBC8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533C875B">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B6829F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drawing>
          <wp:anchor distT="0" distB="0" distL="114300" distR="114300" simplePos="0" relativeHeight="251662336" behindDoc="1" locked="0" layoutInCell="1" allowOverlap="1">
            <wp:simplePos x="0" y="0"/>
            <wp:positionH relativeFrom="column">
              <wp:posOffset>-6350</wp:posOffset>
            </wp:positionH>
            <wp:positionV relativeFrom="paragraph">
              <wp:posOffset>93980</wp:posOffset>
            </wp:positionV>
            <wp:extent cx="5267325" cy="2658110"/>
            <wp:effectExtent l="0" t="0" r="9525" b="8890"/>
            <wp:wrapNone/>
            <wp:docPr id="6" name="图片 6" descr="WXWorkLocal_1783310334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WXWorkLocal_17833103341943"/>
                    <pic:cNvPicPr>
                      <a:picLocks noChangeAspect="1"/>
                    </pic:cNvPicPr>
                  </pic:nvPicPr>
                  <pic:blipFill>
                    <a:blip r:embed="rId9"/>
                    <a:stretch>
                      <a:fillRect/>
                    </a:stretch>
                  </pic:blipFill>
                  <pic:spPr>
                    <a:xfrm>
                      <a:off x="0" y="0"/>
                      <a:ext cx="5267325" cy="2658110"/>
                    </a:xfrm>
                    <a:prstGeom prst="rect">
                      <a:avLst/>
                    </a:prstGeom>
                  </pic:spPr>
                </pic:pic>
              </a:graphicData>
            </a:graphic>
          </wp:anchor>
        </w:drawing>
      </w:r>
    </w:p>
    <w:p w14:paraId="0AD40B7D">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p>
    <w:p w14:paraId="10D8B7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F214E70">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eastAsia="zh-CN"/>
        </w:rPr>
      </w:pPr>
    </w:p>
    <w:p w14:paraId="46D642B2">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24A7DB77">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D79CE40">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60A84704">
      <w:pPr>
        <w:keepNext w:val="0"/>
        <w:keepLines w:val="0"/>
        <w:pageBreakBefore w:val="0"/>
        <w:numPr>
          <w:ilvl w:val="0"/>
          <w:numId w:val="0"/>
        </w:numPr>
        <w:kinsoku/>
        <w:wordWrap/>
        <w:overflowPunct/>
        <w:topLinePunct w:val="0"/>
        <w:autoSpaceDE/>
        <w:autoSpaceDN/>
        <w:bidi w:val="0"/>
        <w:adjustRightInd w:val="0"/>
        <w:snapToGrid w:val="0"/>
        <w:spacing w:line="560" w:lineRule="exact"/>
        <w:jc w:val="left"/>
        <w:textAlignment w:val="auto"/>
        <w:rPr>
          <w:rFonts w:hint="eastAsia" w:asciiTheme="minorEastAsia" w:hAnsiTheme="minorEastAsia" w:eastAsiaTheme="minorEastAsia" w:cstheme="minorEastAsia"/>
          <w:sz w:val="28"/>
          <w:szCs w:val="28"/>
        </w:rPr>
      </w:pPr>
    </w:p>
    <w:p w14:paraId="5949243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sz w:val="28"/>
          <w:szCs w:val="28"/>
          <w:lang w:val="en-US" w:eastAsia="zh-CN"/>
        </w:rPr>
        <w:t>2.2  提供职工子女暑期托管课程必备的师资、课堂管理、课程所需耗材（手工课程须确保每人独立一份</w:t>
      </w:r>
      <w:r>
        <w:rPr>
          <w:rFonts w:hint="eastAsia" w:asciiTheme="minorEastAsia" w:hAnsiTheme="minorEastAsia" w:eastAsiaTheme="minorEastAsia" w:cstheme="minorEastAsia"/>
          <w:color w:val="auto"/>
          <w:sz w:val="28"/>
          <w:szCs w:val="28"/>
          <w:lang w:val="en-US" w:eastAsia="zh-CN"/>
        </w:rPr>
        <w:t>）。</w:t>
      </w:r>
    </w:p>
    <w:p w14:paraId="414912E6">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2.2.1 在托管班的每日，对有辅导暑假作业需求的学员，服务商必须安排老师辅导学员的暑期作业，并督促完成。</w:t>
      </w:r>
    </w:p>
    <w:p w14:paraId="0A6EF9F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3  服务商每日提供午餐自助标准按2荤2素1汤。</w:t>
      </w:r>
    </w:p>
    <w:p w14:paraId="7D543ACD">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4</w:t>
      </w:r>
      <w:r>
        <w:rPr>
          <w:rFonts w:hint="eastAsia" w:asciiTheme="minorEastAsia" w:hAnsiTheme="minorEastAsia" w:eastAsiaTheme="minorEastAsia" w:cstheme="minorEastAsia"/>
          <w:color w:val="auto"/>
          <w:sz w:val="28"/>
          <w:szCs w:val="28"/>
          <w:lang w:val="en-US" w:eastAsia="zh-CN"/>
        </w:rPr>
        <w:t>.1 班级固定配备3名班级管理老师，管理老师需提供每日签到服务。每日托管课程结束后待家长全部接完参加活动的职工子女后才可离开。</w:t>
      </w:r>
    </w:p>
    <w:p w14:paraId="6D2D3E2F">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default" w:asciiTheme="minorEastAsia" w:hAnsiTheme="minorEastAsia" w:eastAsiaTheme="minorEastAsia" w:cstheme="minorEastAsia"/>
          <w:color w:val="auto"/>
          <w:sz w:val="28"/>
          <w:szCs w:val="28"/>
          <w:highlight w:val="yellow"/>
          <w:lang w:val="en-US" w:eastAsia="zh-CN"/>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highlight w:val="none"/>
          <w:lang w:val="en-US" w:eastAsia="zh-CN"/>
        </w:rPr>
        <w:t xml:space="preserve">.4.2 </w:t>
      </w:r>
      <w:r>
        <w:rPr>
          <w:rFonts w:hint="eastAsia" w:asciiTheme="minorEastAsia" w:hAnsiTheme="minorEastAsia" w:eastAsiaTheme="minorEastAsia" w:cstheme="minorEastAsia"/>
          <w:sz w:val="28"/>
          <w:szCs w:val="28"/>
          <w:lang w:val="en-US" w:eastAsia="zh-CN"/>
        </w:rPr>
        <w:t>服务商需提供活动每日汇报、每周汇报、结束总结报告，在家长群中发布。</w:t>
      </w:r>
    </w:p>
    <w:p w14:paraId="2FF5C66F">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lang w:val="en-US" w:eastAsia="zh-CN"/>
        </w:rPr>
        <w:t>.3 服务商需全程确保活动参与者安全，按照工会提供的参加人员信息，必须为参与者购买每日在托管时间内的安全保险，保障内容需包含意外伤害险（赔付金额不低于15万元/人）、骨折津贴、意外住院津贴、紧急医疗运送、意外医疗险（赔付金额不低于3万元/人）等险种服务。</w:t>
      </w:r>
    </w:p>
    <w:p w14:paraId="6374DBBA">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2.4.4 服务商在活动全部结束后提供剪辑完成的活动视频、通讯新闻稿、照片。</w:t>
      </w:r>
    </w:p>
    <w:p w14:paraId="34722B4D">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2.4.5  服务商需固定配备一名持有相应资质证书的医护人员，确保每日在岗，随时响应学员突发疾病状况，负责突发情况应急处理。</w:t>
      </w:r>
    </w:p>
    <w:p w14:paraId="1DD56E18">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2.4.6  托管服务开展前，服务商应接受一次工会人员场地检查，对涉及安全隐患的地方进行整改，确保场地安全性。</w:t>
      </w:r>
    </w:p>
    <w:p w14:paraId="6D1A1A85">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lang w:val="en-US" w:eastAsia="zh-CN"/>
        </w:rPr>
        <w:t xml:space="preserve">  安全预案：依据活动安全管理要求，制定针对性的安全卫生应急预案。</w:t>
      </w:r>
    </w:p>
    <w:p w14:paraId="66A5F820">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2.6  服务商应具备校外拓展服务营业执照、服务场所满足消防验收、厨房达标，从事供餐服务人员持有健康证，满足工商、卫健、教育等管理要求。</w:t>
      </w:r>
    </w:p>
    <w:p w14:paraId="28AE1423">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2.7  服务场地</w:t>
      </w:r>
      <w:bookmarkStart w:id="0" w:name="_GoBack"/>
      <w:bookmarkEnd w:id="0"/>
      <w:r>
        <w:rPr>
          <w:rFonts w:hint="eastAsia" w:asciiTheme="minorEastAsia" w:hAnsiTheme="minorEastAsia" w:eastAsiaTheme="minorEastAsia" w:cstheme="minorEastAsia"/>
          <w:sz w:val="28"/>
          <w:szCs w:val="28"/>
          <w:lang w:val="en-US" w:eastAsia="zh-CN"/>
        </w:rPr>
        <w:t>须远离工厂、污染源、危险源。</w:t>
      </w:r>
    </w:p>
    <w:p w14:paraId="0F71E3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2.8  管理老师需有托管经验、体育、舞蹈等老师需提供相应的专业资质证书。</w:t>
      </w:r>
    </w:p>
    <w:p w14:paraId="0C0A1B04">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费用与支付</w:t>
      </w:r>
    </w:p>
    <w:p w14:paraId="0BDC993F">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u w:val="none"/>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val="en-US" w:eastAsia="zh-CN"/>
        </w:rPr>
        <w:t>职工子女暑期活动服务期限4周，服务商仅周一至周五提供服务，参加人数每日会略有波动。单日最高参加人数不超过20人。</w:t>
      </w:r>
    </w:p>
    <w:p w14:paraId="20D6094E">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2活动按一次性报价，如遇单日参与人数超过20人，服务商应按活动要求提供服务且结算价格不变。</w:t>
      </w:r>
    </w:p>
    <w:p w14:paraId="44C5CB2B">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 权利义务</w:t>
      </w:r>
    </w:p>
    <w:p w14:paraId="2CEBF154">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因服务</w:t>
      </w:r>
      <w:r>
        <w:rPr>
          <w:rFonts w:hint="eastAsia" w:asciiTheme="minorEastAsia" w:hAnsiTheme="minorEastAsia" w:eastAsiaTheme="minorEastAsia" w:cstheme="minorEastAsia"/>
          <w:sz w:val="28"/>
          <w:szCs w:val="28"/>
        </w:rPr>
        <w:t>活动造成他人财产或人身损害的，产生的法律责任由</w:t>
      </w:r>
      <w:r>
        <w:rPr>
          <w:rFonts w:hint="eastAsia" w:asciiTheme="minorEastAsia" w:hAnsiTheme="minorEastAsia" w:eastAsiaTheme="minorEastAsia" w:cstheme="minorEastAsia"/>
          <w:sz w:val="28"/>
          <w:szCs w:val="28"/>
          <w:lang w:val="en-US" w:eastAsia="zh-CN"/>
        </w:rPr>
        <w:t>服务方</w:t>
      </w:r>
      <w:r>
        <w:rPr>
          <w:rFonts w:hint="eastAsia" w:asciiTheme="minorEastAsia" w:hAnsiTheme="minorEastAsia" w:eastAsiaTheme="minorEastAsia" w:cstheme="minorEastAsia"/>
          <w:sz w:val="28"/>
          <w:szCs w:val="28"/>
        </w:rPr>
        <w:t>承担。</w:t>
      </w:r>
    </w:p>
    <w:p w14:paraId="5E6C0ED5">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32"/>
          <w:szCs w:val="40"/>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不得将</w:t>
      </w:r>
      <w:r>
        <w:rPr>
          <w:rFonts w:hint="eastAsia" w:asciiTheme="minorEastAsia" w:hAnsiTheme="minorEastAsia" w:eastAsiaTheme="minorEastAsia" w:cstheme="minorEastAsia"/>
          <w:sz w:val="28"/>
          <w:szCs w:val="28"/>
          <w:lang w:val="en-US" w:eastAsia="zh-CN"/>
        </w:rPr>
        <w:t>本次</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工作转包或违法分包给第三方</w:t>
      </w:r>
      <w:r>
        <w:rPr>
          <w:rFonts w:hint="eastAsia" w:asciiTheme="minorEastAsia" w:hAnsiTheme="minorEastAsia" w:eastAsiaTheme="minorEastAsia" w:cstheme="minorEastAsia"/>
          <w:sz w:val="28"/>
          <w:szCs w:val="28"/>
          <w:lang w:eastAsia="zh-CN"/>
        </w:rPr>
        <w:t>。</w:t>
      </w:r>
    </w:p>
    <w:p w14:paraId="3ACCECBF">
      <w:pPr>
        <w:rPr>
          <w:rFonts w:hint="eastAsia" w:asciiTheme="minorEastAsia" w:hAnsiTheme="minorEastAsia" w:eastAsiaTheme="minorEastAsia" w:cstheme="minorEastAsia"/>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6D445">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6D6E1B">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A6D6E1B">
                    <w:pPr>
                      <w:pStyle w:val="6"/>
                      <w:rPr>
                        <w:rFonts w:hint="eastAsia" w:eastAsia="宋体"/>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3269"/>
    <w:rsid w:val="017E2A82"/>
    <w:rsid w:val="02866F06"/>
    <w:rsid w:val="0315429A"/>
    <w:rsid w:val="05B538EA"/>
    <w:rsid w:val="05BB4F82"/>
    <w:rsid w:val="06E27909"/>
    <w:rsid w:val="071D1D74"/>
    <w:rsid w:val="07D02290"/>
    <w:rsid w:val="089C542F"/>
    <w:rsid w:val="09A432A2"/>
    <w:rsid w:val="0A3F28CB"/>
    <w:rsid w:val="0B004B5E"/>
    <w:rsid w:val="0B176B66"/>
    <w:rsid w:val="0C3676BC"/>
    <w:rsid w:val="0C5B233E"/>
    <w:rsid w:val="0D0C06B6"/>
    <w:rsid w:val="0D5D26C8"/>
    <w:rsid w:val="0D6A0C74"/>
    <w:rsid w:val="0F0A3BA7"/>
    <w:rsid w:val="0F182768"/>
    <w:rsid w:val="0F697B22"/>
    <w:rsid w:val="0F74096A"/>
    <w:rsid w:val="146E63D0"/>
    <w:rsid w:val="16F94282"/>
    <w:rsid w:val="17147CB9"/>
    <w:rsid w:val="17195CD5"/>
    <w:rsid w:val="174B32AD"/>
    <w:rsid w:val="17852965"/>
    <w:rsid w:val="18616F2E"/>
    <w:rsid w:val="187B1E53"/>
    <w:rsid w:val="19297320"/>
    <w:rsid w:val="194155AD"/>
    <w:rsid w:val="19B914D3"/>
    <w:rsid w:val="1AC76089"/>
    <w:rsid w:val="1B1B5D90"/>
    <w:rsid w:val="1B6F57D5"/>
    <w:rsid w:val="1B8710E7"/>
    <w:rsid w:val="1BCD51DB"/>
    <w:rsid w:val="1BDE776D"/>
    <w:rsid w:val="1C422AEE"/>
    <w:rsid w:val="1C57790E"/>
    <w:rsid w:val="1C5B31C6"/>
    <w:rsid w:val="1D5C3464"/>
    <w:rsid w:val="1DBC53E5"/>
    <w:rsid w:val="1E006691"/>
    <w:rsid w:val="1EA43EF7"/>
    <w:rsid w:val="1EE61F6E"/>
    <w:rsid w:val="1FCC2438"/>
    <w:rsid w:val="1FE4784A"/>
    <w:rsid w:val="1FEE3FA3"/>
    <w:rsid w:val="209E0DB8"/>
    <w:rsid w:val="211F6437"/>
    <w:rsid w:val="213A031C"/>
    <w:rsid w:val="23361110"/>
    <w:rsid w:val="236D2C2B"/>
    <w:rsid w:val="23E629DD"/>
    <w:rsid w:val="24AF4B14"/>
    <w:rsid w:val="24DE3A8A"/>
    <w:rsid w:val="253051D6"/>
    <w:rsid w:val="25431230"/>
    <w:rsid w:val="258424AE"/>
    <w:rsid w:val="25842B3C"/>
    <w:rsid w:val="25A073CB"/>
    <w:rsid w:val="25A95A70"/>
    <w:rsid w:val="25F7075F"/>
    <w:rsid w:val="261C766C"/>
    <w:rsid w:val="27075144"/>
    <w:rsid w:val="27F82CDF"/>
    <w:rsid w:val="282835C4"/>
    <w:rsid w:val="28370B73"/>
    <w:rsid w:val="29A65F61"/>
    <w:rsid w:val="2A9A28C1"/>
    <w:rsid w:val="2B48702A"/>
    <w:rsid w:val="2BDB6BA0"/>
    <w:rsid w:val="2C0734F1"/>
    <w:rsid w:val="2C631425"/>
    <w:rsid w:val="2D545280"/>
    <w:rsid w:val="2D73279F"/>
    <w:rsid w:val="2E51752C"/>
    <w:rsid w:val="2E6E76B6"/>
    <w:rsid w:val="2E840698"/>
    <w:rsid w:val="2F291866"/>
    <w:rsid w:val="2FC66896"/>
    <w:rsid w:val="301146F1"/>
    <w:rsid w:val="303371EB"/>
    <w:rsid w:val="304B42F4"/>
    <w:rsid w:val="30EF1E8C"/>
    <w:rsid w:val="313E5997"/>
    <w:rsid w:val="3188488B"/>
    <w:rsid w:val="31BA3584"/>
    <w:rsid w:val="31E7605F"/>
    <w:rsid w:val="32C43EEA"/>
    <w:rsid w:val="32E97DF4"/>
    <w:rsid w:val="33365E13"/>
    <w:rsid w:val="336F6D43"/>
    <w:rsid w:val="33BA42D6"/>
    <w:rsid w:val="33E96339"/>
    <w:rsid w:val="34D36CAD"/>
    <w:rsid w:val="351362C8"/>
    <w:rsid w:val="36E0150E"/>
    <w:rsid w:val="371828C1"/>
    <w:rsid w:val="37300AB5"/>
    <w:rsid w:val="37E868CC"/>
    <w:rsid w:val="38106B5C"/>
    <w:rsid w:val="38114D8C"/>
    <w:rsid w:val="382656EA"/>
    <w:rsid w:val="3998008B"/>
    <w:rsid w:val="39F728F0"/>
    <w:rsid w:val="3B696B9D"/>
    <w:rsid w:val="3C8A2C84"/>
    <w:rsid w:val="3CAD5E20"/>
    <w:rsid w:val="3D6E104D"/>
    <w:rsid w:val="3DB01C3A"/>
    <w:rsid w:val="3DBD4357"/>
    <w:rsid w:val="3DE9514C"/>
    <w:rsid w:val="3ED008FB"/>
    <w:rsid w:val="3F157E0B"/>
    <w:rsid w:val="40020CDF"/>
    <w:rsid w:val="401144E6"/>
    <w:rsid w:val="403E2FD1"/>
    <w:rsid w:val="4077045D"/>
    <w:rsid w:val="418E526C"/>
    <w:rsid w:val="426113AB"/>
    <w:rsid w:val="42722655"/>
    <w:rsid w:val="431B5F63"/>
    <w:rsid w:val="432D5ADB"/>
    <w:rsid w:val="43664B49"/>
    <w:rsid w:val="44351DC1"/>
    <w:rsid w:val="44801C3A"/>
    <w:rsid w:val="451B5BEA"/>
    <w:rsid w:val="454926E3"/>
    <w:rsid w:val="45882FF7"/>
    <w:rsid w:val="45EF52CA"/>
    <w:rsid w:val="45FA1C7B"/>
    <w:rsid w:val="469C6E6D"/>
    <w:rsid w:val="46DB6172"/>
    <w:rsid w:val="479E411C"/>
    <w:rsid w:val="496474E2"/>
    <w:rsid w:val="4A2D71EF"/>
    <w:rsid w:val="4AB93E6B"/>
    <w:rsid w:val="4B242AAD"/>
    <w:rsid w:val="4B366C1D"/>
    <w:rsid w:val="4BB53473"/>
    <w:rsid w:val="4C1B27DC"/>
    <w:rsid w:val="4C3900A5"/>
    <w:rsid w:val="4C961417"/>
    <w:rsid w:val="4CFA4C80"/>
    <w:rsid w:val="4D26487B"/>
    <w:rsid w:val="4D3F6B37"/>
    <w:rsid w:val="4D7D67AE"/>
    <w:rsid w:val="4EE179C4"/>
    <w:rsid w:val="4FBB0051"/>
    <w:rsid w:val="50E87AF5"/>
    <w:rsid w:val="52483D98"/>
    <w:rsid w:val="52C01DA2"/>
    <w:rsid w:val="531F6EC4"/>
    <w:rsid w:val="53EC1C84"/>
    <w:rsid w:val="54035150"/>
    <w:rsid w:val="54476FDE"/>
    <w:rsid w:val="550A20F9"/>
    <w:rsid w:val="5519584B"/>
    <w:rsid w:val="551D5F8B"/>
    <w:rsid w:val="56343CD6"/>
    <w:rsid w:val="57015597"/>
    <w:rsid w:val="57716938"/>
    <w:rsid w:val="58FA34C2"/>
    <w:rsid w:val="590B3253"/>
    <w:rsid w:val="592D7ADB"/>
    <w:rsid w:val="59BD2651"/>
    <w:rsid w:val="59D55C59"/>
    <w:rsid w:val="5A3B313B"/>
    <w:rsid w:val="5B10566E"/>
    <w:rsid w:val="5C3A3B06"/>
    <w:rsid w:val="5CB1582C"/>
    <w:rsid w:val="5CC63BC1"/>
    <w:rsid w:val="5CEF75F7"/>
    <w:rsid w:val="5CF80AB0"/>
    <w:rsid w:val="5D3A5F4F"/>
    <w:rsid w:val="5D725B22"/>
    <w:rsid w:val="5E655CD1"/>
    <w:rsid w:val="5EAE5485"/>
    <w:rsid w:val="5F3C4471"/>
    <w:rsid w:val="5F5C70D4"/>
    <w:rsid w:val="5FEE1A48"/>
    <w:rsid w:val="611B7105"/>
    <w:rsid w:val="624A58C1"/>
    <w:rsid w:val="62AA49F7"/>
    <w:rsid w:val="62CE5C07"/>
    <w:rsid w:val="64731615"/>
    <w:rsid w:val="64EB5B9C"/>
    <w:rsid w:val="65341937"/>
    <w:rsid w:val="65384140"/>
    <w:rsid w:val="656A3361"/>
    <w:rsid w:val="66001F98"/>
    <w:rsid w:val="67BD022C"/>
    <w:rsid w:val="686D4100"/>
    <w:rsid w:val="68870616"/>
    <w:rsid w:val="68873869"/>
    <w:rsid w:val="689C6793"/>
    <w:rsid w:val="68A45DBE"/>
    <w:rsid w:val="68B24D52"/>
    <w:rsid w:val="69B34E10"/>
    <w:rsid w:val="69C61397"/>
    <w:rsid w:val="6A3A2708"/>
    <w:rsid w:val="6AA43FC4"/>
    <w:rsid w:val="6AB93BCD"/>
    <w:rsid w:val="6BB362CE"/>
    <w:rsid w:val="6BBF3861"/>
    <w:rsid w:val="6C4B668A"/>
    <w:rsid w:val="6C657BD0"/>
    <w:rsid w:val="6D5C2995"/>
    <w:rsid w:val="6E30177C"/>
    <w:rsid w:val="6F4B06C3"/>
    <w:rsid w:val="6F8F6BD9"/>
    <w:rsid w:val="70284131"/>
    <w:rsid w:val="702A58C5"/>
    <w:rsid w:val="70980188"/>
    <w:rsid w:val="71103F3B"/>
    <w:rsid w:val="712E0BB6"/>
    <w:rsid w:val="713C0B14"/>
    <w:rsid w:val="715C6CBE"/>
    <w:rsid w:val="71665B90"/>
    <w:rsid w:val="72A40476"/>
    <w:rsid w:val="730F35A5"/>
    <w:rsid w:val="73885472"/>
    <w:rsid w:val="73A772CD"/>
    <w:rsid w:val="743131FA"/>
    <w:rsid w:val="747C0088"/>
    <w:rsid w:val="74BD0990"/>
    <w:rsid w:val="75B15EA3"/>
    <w:rsid w:val="76277B42"/>
    <w:rsid w:val="781B066C"/>
    <w:rsid w:val="781E0F73"/>
    <w:rsid w:val="78342545"/>
    <w:rsid w:val="78C60FB3"/>
    <w:rsid w:val="7AD0445A"/>
    <w:rsid w:val="7B3A7937"/>
    <w:rsid w:val="7B5C738E"/>
    <w:rsid w:val="7B80455E"/>
    <w:rsid w:val="7C507B69"/>
    <w:rsid w:val="7C54371D"/>
    <w:rsid w:val="7C65240E"/>
    <w:rsid w:val="7CAC1243"/>
    <w:rsid w:val="7D6464C5"/>
    <w:rsid w:val="7D734561"/>
    <w:rsid w:val="7FC75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Body Text"/>
    <w:basedOn w:val="5"/>
    <w:next w:val="5"/>
    <w:semiHidden/>
    <w:unhideWhenUsed/>
    <w:qFormat/>
    <w:uiPriority w:val="99"/>
    <w:pPr>
      <w:spacing w:after="120" w:afterLines="0" w:afterAutospacing="0"/>
    </w:pPr>
  </w:style>
  <w:style w:type="paragraph" w:styleId="5">
    <w:name w:val="Title"/>
    <w:basedOn w:val="1"/>
    <w:next w:val="1"/>
    <w:qFormat/>
    <w:uiPriority w:val="10"/>
    <w:pPr>
      <w:ind w:firstLine="0" w:firstLineChars="0"/>
      <w:jc w:val="center"/>
    </w:pPr>
    <w:rPr>
      <w:rFonts w:ascii="等线 Light" w:hAnsi="等线 Light" w:eastAsia="宋体"/>
      <w:b/>
      <w:bCs/>
      <w:kern w:val="0"/>
      <w:sz w:val="48"/>
      <w:szCs w:val="32"/>
    </w:r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961</Words>
  <Characters>1039</Characters>
  <Lines>0</Lines>
  <Paragraphs>0</Paragraphs>
  <TotalTime>33</TotalTime>
  <ScaleCrop>false</ScaleCrop>
  <LinksUpToDate>false</LinksUpToDate>
  <CharactersWithSpaces>1076</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陈丹</cp:lastModifiedBy>
  <cp:lastPrinted>2026-07-06T02:40:00Z</cp:lastPrinted>
  <dcterms:modified xsi:type="dcterms:W3CDTF">2026-07-08T03:05:44Z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063287C5FA5746E9AEEC866DCCA89502_13</vt:lpwstr>
  </property>
  <property fmtid="{D5CDD505-2E9C-101B-9397-08002B2CF9AE}" pid="4" name="KSOTemplateDocerSaveRecord">
    <vt:lpwstr>eyJoZGlkIjoiYWJmNTAxYTA0NTllZTU0OWY5NWY0MWNlMzBjNGU2OTYiLCJ1c2VySWQiOiI0NDgxODA1ODkifQ==</vt:lpwstr>
  </property>
</Properties>
</file>