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FE808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4"/>
          <w:szCs w:val="24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4"/>
          <w:szCs w:val="24"/>
          <w:highlight w:val="none"/>
          <w:u w:val="single"/>
          <w:lang w:val="en-US" w:eastAsia="zh-CN"/>
        </w:rPr>
        <w:t>附件A-项目信息清单</w:t>
      </w:r>
    </w:p>
    <w:p w14:paraId="55A4FA4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  <w:t xml:space="preserve">标的名称：韶关供电局通济巡维中心技术业务用房工程监理 </w:t>
      </w:r>
    </w:p>
    <w:p w14:paraId="7471EDB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  <w:t xml:space="preserve">标段名称： 韶关供电局通济巡维中心技术业务用房工程监理 </w:t>
      </w:r>
    </w:p>
    <w:p w14:paraId="573678C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 w14:paraId="64E30879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0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2226"/>
        <w:gridCol w:w="5455"/>
      </w:tblGrid>
      <w:tr w14:paraId="63A69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4245F74F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 w14:paraId="5C50AA9D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1" w:type="pct"/>
            <w:vAlign w:val="center"/>
          </w:tcPr>
          <w:p w14:paraId="703DF9C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 w14:paraId="532E3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2B3251E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</w:tcPr>
          <w:p w14:paraId="54ECB81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201" w:type="pct"/>
            <w:vAlign w:val="center"/>
          </w:tcPr>
          <w:p w14:paraId="37F32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韶供电计〔2025〕4号</w:t>
            </w:r>
          </w:p>
        </w:tc>
      </w:tr>
      <w:tr w14:paraId="5CF71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52FF866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</w:tcPr>
          <w:p w14:paraId="38FE560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项目备案文号</w:t>
            </w:r>
          </w:p>
        </w:tc>
        <w:tc>
          <w:tcPr>
            <w:tcW w:w="3201" w:type="pct"/>
            <w:vAlign w:val="center"/>
          </w:tcPr>
          <w:p w14:paraId="6FE9C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2505-440232-04-01-385381</w:t>
            </w:r>
          </w:p>
        </w:tc>
      </w:tr>
      <w:tr w14:paraId="7E67C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47D3D628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</w:tcPr>
          <w:p w14:paraId="0D3E8EC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3201" w:type="pct"/>
            <w:vAlign w:val="center"/>
          </w:tcPr>
          <w:p w14:paraId="088C3D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韶供电建〔2025〕41号</w:t>
            </w:r>
          </w:p>
        </w:tc>
      </w:tr>
      <w:tr w14:paraId="12C6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2EE16FF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306" w:type="pct"/>
          </w:tcPr>
          <w:p w14:paraId="551D044A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201" w:type="pct"/>
            <w:vAlign w:val="center"/>
          </w:tcPr>
          <w:p w14:paraId="5B795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广电计财〔2026〕4号</w:t>
            </w:r>
          </w:p>
        </w:tc>
      </w:tr>
      <w:tr w14:paraId="467CC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74610F3D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306" w:type="pct"/>
          </w:tcPr>
          <w:p w14:paraId="7954E0E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施工图预算批复文号</w:t>
            </w:r>
          </w:p>
        </w:tc>
        <w:tc>
          <w:tcPr>
            <w:tcW w:w="3201" w:type="pct"/>
            <w:vAlign w:val="center"/>
          </w:tcPr>
          <w:p w14:paraId="2EE5A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韶供电建〔2025〕4号</w:t>
            </w:r>
          </w:p>
        </w:tc>
      </w:tr>
      <w:tr w14:paraId="0B2DE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067BEEC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306" w:type="pct"/>
          </w:tcPr>
          <w:p w14:paraId="0616879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201" w:type="pct"/>
            <w:vAlign w:val="center"/>
          </w:tcPr>
          <w:p w14:paraId="46FD8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广东电网有限责任公司韶关供电局</w:t>
            </w:r>
          </w:p>
        </w:tc>
      </w:tr>
      <w:tr w14:paraId="63098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2" w:type="pct"/>
          </w:tcPr>
          <w:p w14:paraId="67475FC4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306" w:type="pct"/>
          </w:tcPr>
          <w:p w14:paraId="5F6A36A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201" w:type="pct"/>
            <w:vAlign w:val="center"/>
          </w:tcPr>
          <w:p w14:paraId="5A8BA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left"/>
              <w:textAlignment w:val="center"/>
              <w:outlineLvl w:val="9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韶关市乳源瑶族自治县</w:t>
            </w:r>
          </w:p>
        </w:tc>
      </w:tr>
    </w:tbl>
    <w:p w14:paraId="55AA099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7570415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（一）项目概况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：</w:t>
      </w:r>
      <w:bookmarkEnd w:id="0"/>
      <w:bookmarkStart w:id="1" w:name="_Toc28718"/>
      <w:bookmarkStart w:id="2" w:name="_Toc13498"/>
      <w:bookmarkStart w:id="3" w:name="_Toc4755"/>
    </w:p>
    <w:bookmarkEnd w:id="1"/>
    <w:bookmarkEnd w:id="2"/>
    <w:bookmarkEnd w:id="3"/>
    <w:p w14:paraId="6F310039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  <w:t>韶关供电局通济巡维中心技术业务用房，建设地点位于韶关市乳源瑶族自治县乳城镇220千伏通济站旁，总用地面积1555.3平方米，总建筑面积1396.75平方米，其中：地上建筑面积1396.75平方米，层高3层，建筑高度12.7米，无地下室。具体建设规模以施工图为准。</w:t>
      </w:r>
    </w:p>
    <w:p w14:paraId="7D58E41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color w:val="auto"/>
          <w:kern w:val="0"/>
          <w:sz w:val="24"/>
          <w:szCs w:val="24"/>
          <w:highlight w:val="none"/>
          <w:u w:val="none"/>
          <w:lang w:val="en-US" w:eastAsia="zh-CN"/>
        </w:rPr>
        <w:t>（二）监理采购范围：</w:t>
      </w:r>
    </w:p>
    <w:p w14:paraId="36CDB34A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施工准备（含三通一平）、施工、竣工结算、缺陷责任期、电子化移交的过程监理。按照建设单位要求使用工程信息管理系统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。</w:t>
      </w:r>
    </w:p>
    <w:p w14:paraId="6DEDD663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（三）报价表</w:t>
      </w:r>
    </w:p>
    <w:tbl>
      <w:tblPr>
        <w:tblStyle w:val="9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9"/>
        <w:gridCol w:w="3685"/>
        <w:gridCol w:w="1364"/>
        <w:gridCol w:w="975"/>
        <w:gridCol w:w="1142"/>
        <w:gridCol w:w="687"/>
      </w:tblGrid>
      <w:tr w14:paraId="499F77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9C3D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基建监理报价表</w:t>
            </w:r>
          </w:p>
        </w:tc>
      </w:tr>
      <w:tr w14:paraId="40D3B1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39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95242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162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333C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工程或费用名称</w:t>
            </w:r>
          </w:p>
        </w:tc>
        <w:tc>
          <w:tcPr>
            <w:tcW w:w="80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ADCAD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最高限价（万元）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3608F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响应费率（%）</w:t>
            </w:r>
          </w:p>
        </w:tc>
        <w:tc>
          <w:tcPr>
            <w:tcW w:w="67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01F55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响应报价（万元）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85C7D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备注</w:t>
            </w:r>
          </w:p>
        </w:tc>
      </w:tr>
      <w:tr w14:paraId="4B3470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39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1B790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21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BC95E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 xml:space="preserve"> 韶关供电局通济巡维中心技术业务用房监理</w:t>
            </w:r>
          </w:p>
        </w:tc>
        <w:tc>
          <w:tcPr>
            <w:tcW w:w="8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94E7E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kern w:val="0"/>
                <w:szCs w:val="21"/>
                <w:highlight w:val="none"/>
                <w:lang w:val="en-US" w:eastAsia="zh-CN" w:bidi="ar"/>
              </w:rPr>
              <w:t>15.37</w:t>
            </w:r>
          </w:p>
        </w:tc>
        <w:tc>
          <w:tcPr>
            <w:tcW w:w="572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1809A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5833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0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109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0C047D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55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1F648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合计（小写）：</w:t>
            </w:r>
          </w:p>
        </w:tc>
        <w:tc>
          <w:tcPr>
            <w:tcW w:w="8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5CB27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kern w:val="0"/>
                <w:szCs w:val="21"/>
                <w:highlight w:val="none"/>
                <w:lang w:val="en-US" w:eastAsia="zh-CN" w:bidi="ar"/>
              </w:rPr>
              <w:t>15.37</w:t>
            </w:r>
          </w:p>
        </w:tc>
        <w:tc>
          <w:tcPr>
            <w:tcW w:w="572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AB779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01BD5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0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84540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3BBF1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5" w:hRule="atLeast"/>
          <w:jc w:val="center"/>
        </w:trPr>
        <w:tc>
          <w:tcPr>
            <w:tcW w:w="5000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6F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360" w:lineRule="auto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报价要求：</w:t>
            </w:r>
          </w:p>
          <w:p w14:paraId="496DCE1B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（1）采用响应费率方式（保留两位小数，如：99.99%），同时填报响应金额报价；供应商报价不超出最高限价为有效报价，如供应商的报价超出最高限价，采购工作组应当否决其响应；响应费率＝响应报价/最高限价×100%（保留两位小数）。当响应金额报价与响应费率计算结果不一致时，以响应费率为准，按上述公式修订固定金额报价。</w:t>
            </w:r>
            <w:bookmarkStart w:id="4" w:name="_GoBack"/>
            <w:bookmarkEnd w:id="4"/>
          </w:p>
          <w:p w14:paraId="4806E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（2）为避免恶意竞争，不得低于成本价报价，响应报价低于最高限价规定的比例（详见采购文件的比例要求）的必须附详细的成本分析报告（成本分析报告需充分说明单价和费用的组成、降低成本的合理措施及在其他工程中应用过的经验，未提供成本分析报告视为原则性不响应采购文件要求）。</w:t>
            </w:r>
          </w:p>
        </w:tc>
      </w:tr>
    </w:tbl>
    <w:p w14:paraId="0E30B35C"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 w14:paraId="3CA244B1">
      <w:pPr>
        <w:bidi w:val="0"/>
        <w:rPr>
          <w:rFonts w:hint="eastAsia" w:ascii="Calibri" w:hAnsi="Calibri" w:eastAsia="宋体" w:cs="Times New Roman"/>
          <w:kern w:val="2"/>
          <w:sz w:val="21"/>
          <w:szCs w:val="22"/>
          <w:lang w:val="en-US" w:eastAsia="zh-CN" w:bidi="ar-SA"/>
        </w:rPr>
      </w:pPr>
    </w:p>
    <w:p w14:paraId="436E07EE">
      <w:pPr>
        <w:bidi w:val="0"/>
        <w:rPr>
          <w:rFonts w:hint="eastAsia"/>
          <w:lang w:val="en-US" w:eastAsia="zh-CN"/>
        </w:rPr>
      </w:pPr>
    </w:p>
    <w:p w14:paraId="1A296819">
      <w:pPr>
        <w:bidi w:val="0"/>
        <w:rPr>
          <w:rFonts w:hint="eastAsia"/>
          <w:lang w:val="en-US" w:eastAsia="zh-CN"/>
        </w:rPr>
      </w:pPr>
    </w:p>
    <w:p w14:paraId="07098261">
      <w:pPr>
        <w:bidi w:val="0"/>
        <w:rPr>
          <w:rFonts w:hint="eastAsia"/>
          <w:lang w:val="en-US" w:eastAsia="zh-CN"/>
        </w:rPr>
      </w:pPr>
    </w:p>
    <w:p w14:paraId="0825D8A1">
      <w:pPr>
        <w:bidi w:val="0"/>
        <w:rPr>
          <w:rFonts w:hint="eastAsia"/>
          <w:lang w:val="en-US" w:eastAsia="zh-CN"/>
        </w:rPr>
      </w:pPr>
    </w:p>
    <w:p w14:paraId="7CB04C62">
      <w:pPr>
        <w:bidi w:val="0"/>
        <w:rPr>
          <w:rFonts w:hint="eastAsia"/>
          <w:lang w:val="en-US" w:eastAsia="zh-CN"/>
        </w:rPr>
      </w:pPr>
    </w:p>
    <w:p w14:paraId="455001CD">
      <w:pPr>
        <w:bidi w:val="0"/>
        <w:rPr>
          <w:rFonts w:hint="eastAsia"/>
          <w:lang w:val="en-US" w:eastAsia="zh-CN"/>
        </w:rPr>
      </w:pPr>
    </w:p>
    <w:p w14:paraId="589B1B96">
      <w:pPr>
        <w:bidi w:val="0"/>
        <w:rPr>
          <w:rFonts w:hint="eastAsia"/>
          <w:lang w:val="en-US" w:eastAsia="zh-CN"/>
        </w:rPr>
      </w:pPr>
    </w:p>
    <w:p w14:paraId="4EE20646">
      <w:pPr>
        <w:bidi w:val="0"/>
        <w:rPr>
          <w:rFonts w:hint="eastAsia"/>
          <w:lang w:val="en-US" w:eastAsia="zh-CN"/>
        </w:rPr>
      </w:pPr>
    </w:p>
    <w:p w14:paraId="75CE2FE2">
      <w:pPr>
        <w:bidi w:val="0"/>
        <w:rPr>
          <w:rFonts w:hint="eastAsia"/>
          <w:lang w:val="en-US" w:eastAsia="zh-CN"/>
        </w:rPr>
      </w:pPr>
    </w:p>
    <w:p w14:paraId="76E4FF4B">
      <w:pPr>
        <w:bidi w:val="0"/>
        <w:rPr>
          <w:rFonts w:hint="eastAsia"/>
          <w:lang w:val="en-US" w:eastAsia="zh-CN"/>
        </w:rPr>
      </w:pPr>
    </w:p>
    <w:p w14:paraId="1BDB0CC0">
      <w:pPr>
        <w:bidi w:val="0"/>
        <w:rPr>
          <w:rFonts w:hint="eastAsia"/>
          <w:lang w:val="en-US" w:eastAsia="zh-CN"/>
        </w:rPr>
      </w:pPr>
    </w:p>
    <w:p w14:paraId="42182E2D">
      <w:pPr>
        <w:bidi w:val="0"/>
        <w:rPr>
          <w:rFonts w:hint="eastAsia"/>
          <w:lang w:val="en-US" w:eastAsia="zh-CN"/>
        </w:rPr>
      </w:pPr>
    </w:p>
    <w:p w14:paraId="433B3277">
      <w:pPr>
        <w:bidi w:val="0"/>
        <w:rPr>
          <w:rFonts w:hint="eastAsia"/>
          <w:lang w:val="en-US" w:eastAsia="zh-CN"/>
        </w:rPr>
      </w:pPr>
    </w:p>
    <w:p w14:paraId="7C4B81C4">
      <w:pPr>
        <w:bidi w:val="0"/>
        <w:rPr>
          <w:rFonts w:hint="eastAsia"/>
          <w:lang w:val="en-US" w:eastAsia="zh-CN"/>
        </w:rPr>
      </w:pPr>
    </w:p>
    <w:p w14:paraId="4B2FD98A">
      <w:pPr>
        <w:bidi w:val="0"/>
        <w:rPr>
          <w:rFonts w:hint="eastAsia"/>
          <w:lang w:val="en-US" w:eastAsia="zh-CN"/>
        </w:rPr>
      </w:pPr>
    </w:p>
    <w:p w14:paraId="3F04B099">
      <w:pPr>
        <w:bidi w:val="0"/>
        <w:rPr>
          <w:rFonts w:hint="eastAsia"/>
          <w:lang w:val="en-US" w:eastAsia="zh-CN"/>
        </w:rPr>
      </w:pPr>
    </w:p>
    <w:p w14:paraId="6E7ABA48">
      <w:pPr>
        <w:bidi w:val="0"/>
        <w:rPr>
          <w:rFonts w:hint="eastAsia"/>
          <w:lang w:val="en-US" w:eastAsia="zh-CN"/>
        </w:rPr>
      </w:pPr>
    </w:p>
    <w:p w14:paraId="494EC757">
      <w:pPr>
        <w:bidi w:val="0"/>
        <w:rPr>
          <w:rFonts w:hint="eastAsia"/>
          <w:lang w:val="en-US" w:eastAsia="zh-CN"/>
        </w:rPr>
      </w:pPr>
    </w:p>
    <w:p w14:paraId="3F35648D">
      <w:pPr>
        <w:bidi w:val="0"/>
        <w:rPr>
          <w:rFonts w:hint="eastAsia"/>
          <w:lang w:val="en-US" w:eastAsia="zh-CN"/>
        </w:rPr>
      </w:pPr>
    </w:p>
    <w:p w14:paraId="28FC1FD1">
      <w:pPr>
        <w:bidi w:val="0"/>
        <w:rPr>
          <w:rFonts w:hint="eastAsia"/>
          <w:lang w:val="en-US" w:eastAsia="zh-CN"/>
        </w:rPr>
      </w:pPr>
    </w:p>
    <w:p w14:paraId="3FD45919">
      <w:pPr>
        <w:bidi w:val="0"/>
        <w:rPr>
          <w:rFonts w:hint="eastAsia"/>
          <w:lang w:val="en-US" w:eastAsia="zh-CN"/>
        </w:rPr>
      </w:pPr>
    </w:p>
    <w:p w14:paraId="63BA82F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Theme="minorEastAsia" w:hAnsiTheme="minorEastAsia" w:eastAsiaTheme="minorEastAsia" w:cstheme="minorEastAsia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3B74BD9"/>
    <w:rsid w:val="04A24F71"/>
    <w:rsid w:val="05BC2D83"/>
    <w:rsid w:val="077245BB"/>
    <w:rsid w:val="0BC07002"/>
    <w:rsid w:val="0C2170B2"/>
    <w:rsid w:val="0F060336"/>
    <w:rsid w:val="0F152C78"/>
    <w:rsid w:val="10DB1755"/>
    <w:rsid w:val="116419AD"/>
    <w:rsid w:val="11DF6CFE"/>
    <w:rsid w:val="12133065"/>
    <w:rsid w:val="14440D4B"/>
    <w:rsid w:val="15056A61"/>
    <w:rsid w:val="1872432F"/>
    <w:rsid w:val="18E57496"/>
    <w:rsid w:val="196633D1"/>
    <w:rsid w:val="1B663F82"/>
    <w:rsid w:val="1C3B419A"/>
    <w:rsid w:val="1C532707"/>
    <w:rsid w:val="1D746848"/>
    <w:rsid w:val="1EA41670"/>
    <w:rsid w:val="20B31431"/>
    <w:rsid w:val="216F4D5B"/>
    <w:rsid w:val="21E60529"/>
    <w:rsid w:val="24F737D8"/>
    <w:rsid w:val="262B31FA"/>
    <w:rsid w:val="29CF038A"/>
    <w:rsid w:val="2A5F3B88"/>
    <w:rsid w:val="2C200BF3"/>
    <w:rsid w:val="2CF2002C"/>
    <w:rsid w:val="2EEB458A"/>
    <w:rsid w:val="2FF65FF8"/>
    <w:rsid w:val="300D195C"/>
    <w:rsid w:val="30BF37B5"/>
    <w:rsid w:val="32A50AA2"/>
    <w:rsid w:val="32E86094"/>
    <w:rsid w:val="3596247A"/>
    <w:rsid w:val="35E82038"/>
    <w:rsid w:val="361736AD"/>
    <w:rsid w:val="36D200CF"/>
    <w:rsid w:val="38382DC3"/>
    <w:rsid w:val="38C65B34"/>
    <w:rsid w:val="38DE045C"/>
    <w:rsid w:val="39957106"/>
    <w:rsid w:val="3B0979B2"/>
    <w:rsid w:val="3C4A35F1"/>
    <w:rsid w:val="43AE10BD"/>
    <w:rsid w:val="44D414C9"/>
    <w:rsid w:val="46472D5E"/>
    <w:rsid w:val="4696565B"/>
    <w:rsid w:val="481C622D"/>
    <w:rsid w:val="49900741"/>
    <w:rsid w:val="4B3A1BDA"/>
    <w:rsid w:val="4C93212D"/>
    <w:rsid w:val="507B3005"/>
    <w:rsid w:val="52E734B9"/>
    <w:rsid w:val="54FA7165"/>
    <w:rsid w:val="55C3156A"/>
    <w:rsid w:val="55D83F27"/>
    <w:rsid w:val="578D15B1"/>
    <w:rsid w:val="5C845E51"/>
    <w:rsid w:val="608606DE"/>
    <w:rsid w:val="62CF33A7"/>
    <w:rsid w:val="668107DE"/>
    <w:rsid w:val="66C35559"/>
    <w:rsid w:val="67BD76D9"/>
    <w:rsid w:val="694766FF"/>
    <w:rsid w:val="699A143B"/>
    <w:rsid w:val="6A287B5E"/>
    <w:rsid w:val="6B303A1A"/>
    <w:rsid w:val="6C9C0EC0"/>
    <w:rsid w:val="6CB04D38"/>
    <w:rsid w:val="6DAA2FDF"/>
    <w:rsid w:val="6DBE0E87"/>
    <w:rsid w:val="6E121228"/>
    <w:rsid w:val="6F247264"/>
    <w:rsid w:val="6F686493"/>
    <w:rsid w:val="70D1495F"/>
    <w:rsid w:val="71254B0C"/>
    <w:rsid w:val="73651863"/>
    <w:rsid w:val="73982E36"/>
    <w:rsid w:val="7443214A"/>
    <w:rsid w:val="7A541D52"/>
    <w:rsid w:val="7C7E7062"/>
    <w:rsid w:val="7E3420E0"/>
    <w:rsid w:val="7E72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5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陈成坚</cp:lastModifiedBy>
  <dcterms:modified xsi:type="dcterms:W3CDTF">2026-07-09T11:24:07Z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F0FD40EC7DAC4B15BEC3D66F603FFABA</vt:lpwstr>
  </property>
</Properties>
</file>