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C05A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 w14:paraId="2FF5726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标的名称：韶关供电局通济巡维中心技术业务用房工程质量检测服务</w:t>
      </w:r>
    </w:p>
    <w:p w14:paraId="558B5985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标段名称： 韶关供电局通济巡维中心技术业务用房工程质量检测服务</w:t>
      </w:r>
    </w:p>
    <w:p w14:paraId="46B556C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 w14:paraId="71B75F3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2226"/>
        <w:gridCol w:w="5455"/>
      </w:tblGrid>
      <w:tr w14:paraId="795CD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4C7824A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 w14:paraId="04BF4B34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1" w:type="pct"/>
            <w:vAlign w:val="center"/>
          </w:tcPr>
          <w:p w14:paraId="4F0C85B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21812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73185A16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</w:tcPr>
          <w:p w14:paraId="3C87D94B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201" w:type="pct"/>
            <w:vAlign w:val="center"/>
          </w:tcPr>
          <w:p w14:paraId="23963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\</w:t>
            </w:r>
          </w:p>
        </w:tc>
      </w:tr>
      <w:tr w14:paraId="6F6CA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494D72EC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</w:tcPr>
          <w:p w14:paraId="035AF34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3201" w:type="pct"/>
            <w:vAlign w:val="center"/>
          </w:tcPr>
          <w:p w14:paraId="799E8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\</w:t>
            </w:r>
          </w:p>
        </w:tc>
      </w:tr>
      <w:tr w14:paraId="1D3B8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77C88DC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</w:tcPr>
          <w:p w14:paraId="4D9737E4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3201" w:type="pct"/>
            <w:vAlign w:val="center"/>
          </w:tcPr>
          <w:p w14:paraId="6757B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\</w:t>
            </w:r>
          </w:p>
        </w:tc>
      </w:tr>
      <w:tr w14:paraId="2B38A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6ECF8B3C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06" w:type="pct"/>
          </w:tcPr>
          <w:p w14:paraId="0C95ABE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201" w:type="pct"/>
            <w:vAlign w:val="center"/>
          </w:tcPr>
          <w:p w14:paraId="4DA3E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\</w:t>
            </w:r>
          </w:p>
        </w:tc>
      </w:tr>
      <w:tr w14:paraId="4DDF4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0645140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306" w:type="pct"/>
          </w:tcPr>
          <w:p w14:paraId="2D45B5C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施工图预算批复文号</w:t>
            </w:r>
          </w:p>
        </w:tc>
        <w:tc>
          <w:tcPr>
            <w:tcW w:w="3201" w:type="pct"/>
            <w:vAlign w:val="center"/>
          </w:tcPr>
          <w:p w14:paraId="10F42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\</w:t>
            </w:r>
          </w:p>
        </w:tc>
      </w:tr>
      <w:tr w14:paraId="4C550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3446C827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306" w:type="pct"/>
          </w:tcPr>
          <w:p w14:paraId="2B78BF27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1" w:type="pct"/>
            <w:vAlign w:val="center"/>
          </w:tcPr>
          <w:p w14:paraId="731FD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广东电网有限责任公司韶关供电局</w:t>
            </w:r>
          </w:p>
        </w:tc>
      </w:tr>
      <w:tr w14:paraId="029F3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132F848A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306" w:type="pct"/>
          </w:tcPr>
          <w:p w14:paraId="78E5AAC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1" w:type="pct"/>
            <w:vAlign w:val="center"/>
          </w:tcPr>
          <w:p w14:paraId="20438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韶关市</w:t>
            </w:r>
            <w:r>
              <w:rPr>
                <w:rFonts w:hint="eastAsia" w:ascii="宋体" w:hAnsi="宋体" w:cs="宋体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乳源瑶族自治县</w:t>
            </w:r>
          </w:p>
        </w:tc>
      </w:tr>
    </w:tbl>
    <w:p w14:paraId="09992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 w14:paraId="496C3B9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4755"/>
      <w:bookmarkStart w:id="2" w:name="_Toc28718"/>
      <w:bookmarkStart w:id="3" w:name="_Toc13498"/>
    </w:p>
    <w:bookmarkEnd w:id="1"/>
    <w:bookmarkEnd w:id="2"/>
    <w:bookmarkEnd w:id="3"/>
    <w:p w14:paraId="782AFD92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韶关供电局通济巡维中心技术业务用房，建设地点位于韶关市乳源瑶族自治县乳城镇220千伏通济站旁，总用地面积1555.3平方米，总建筑面积1396.75平方米，其中：地上建筑面积1396.75平方米，层高3层，建筑高度12.7米，无地下室。具体建设规模以施工图为准。</w:t>
      </w:r>
    </w:p>
    <w:p w14:paraId="6577FD38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 w14:paraId="56F2573A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开展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韶关供电局通济巡维中心技术业务用房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工程质量检测和监测服务，包括但不限于：</w:t>
      </w:r>
    </w:p>
    <w:p w14:paraId="294967AF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1、按照建设工程质量检测相关标准和建设单位检测需求，制定相应的检测方案，按方案开展检测工作；</w:t>
      </w:r>
    </w:p>
    <w:p w14:paraId="011EFA41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2、检测和监测的内容包括：沉降观测 、室内环境质量检测、结构实体检测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土壤氡检测、地基基础检测、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建筑材料与节能、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防雷检测、消防检测、白蚁防治。详见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《韶关供电局通济巡维中心技术业务用房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工程质量检测清单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》</w:t>
      </w:r>
    </w:p>
    <w:p w14:paraId="2B9204D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default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3、其他检测</w:t>
      </w:r>
      <w:r>
        <w:rPr>
          <w:rFonts w:hint="eastAsia" w:ascii="宋体" w:hAnsi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和监测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项目按行政主管部门有要求开展检测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，如需行政主管部门验收备案则按要求完成。</w:t>
      </w:r>
    </w:p>
    <w:p w14:paraId="3EEBD914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（三）结算方式：</w:t>
      </w:r>
    </w:p>
    <w:p w14:paraId="231CA3FE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Times New Roman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iCs/>
          <w:kern w:val="0"/>
          <w:sz w:val="21"/>
          <w:szCs w:val="21"/>
          <w:highlight w:val="none"/>
          <w:lang w:val="en-US" w:eastAsia="zh-CN" w:bidi="ar"/>
        </w:rPr>
        <w:t>工程质量检测服务采取总价包干，</w:t>
      </w:r>
      <w:r>
        <w:rPr>
          <w:rFonts w:hint="eastAsia" w:hAnsi="宋体" w:cs="宋体"/>
          <w:iCs/>
          <w:kern w:val="0"/>
          <w:sz w:val="21"/>
          <w:szCs w:val="21"/>
          <w:highlight w:val="none"/>
          <w:lang w:val="en-US" w:eastAsia="zh-CN" w:bidi="ar"/>
        </w:rPr>
        <w:t>成交</w:t>
      </w:r>
      <w:r>
        <w:rPr>
          <w:rFonts w:hint="eastAsia" w:ascii="宋体" w:hAnsi="宋体" w:eastAsia="宋体" w:cs="宋体"/>
          <w:iCs/>
          <w:kern w:val="0"/>
          <w:sz w:val="21"/>
          <w:szCs w:val="21"/>
          <w:highlight w:val="none"/>
          <w:lang w:val="en-US" w:eastAsia="zh-CN" w:bidi="ar"/>
        </w:rPr>
        <w:t>单位依据检测要求，满足住建管理部门验收标准完成所需检测项目，整个工程检测费用以</w:t>
      </w:r>
      <w:r>
        <w:rPr>
          <w:rFonts w:hint="eastAsia" w:hAnsi="宋体" w:cs="宋体"/>
          <w:iCs/>
          <w:kern w:val="0"/>
          <w:sz w:val="21"/>
          <w:szCs w:val="21"/>
          <w:highlight w:val="none"/>
          <w:lang w:val="en-US" w:eastAsia="zh-CN" w:bidi="ar"/>
        </w:rPr>
        <w:t>最高限价</w:t>
      </w:r>
      <w:r>
        <w:rPr>
          <w:rFonts w:hint="eastAsia" w:ascii="宋体" w:hAnsi="宋体" w:eastAsia="宋体" w:cs="宋体"/>
          <w:iCs/>
          <w:kern w:val="0"/>
          <w:sz w:val="21"/>
          <w:szCs w:val="21"/>
          <w:highlight w:val="none"/>
          <w:lang w:val="en-US" w:eastAsia="zh-CN" w:bidi="ar"/>
        </w:rPr>
        <w:t>乘以</w:t>
      </w:r>
      <w:r>
        <w:rPr>
          <w:rFonts w:hint="eastAsia" w:hAnsi="宋体" w:cs="宋体"/>
          <w:iCs/>
          <w:kern w:val="0"/>
          <w:sz w:val="21"/>
          <w:szCs w:val="21"/>
          <w:highlight w:val="none"/>
          <w:lang w:val="en-US" w:eastAsia="zh-CN" w:bidi="ar"/>
        </w:rPr>
        <w:t>成交</w:t>
      </w:r>
      <w:r>
        <w:rPr>
          <w:rFonts w:hint="eastAsia" w:ascii="宋体" w:hAnsi="宋体" w:eastAsia="宋体" w:cs="宋体"/>
          <w:iCs/>
          <w:kern w:val="0"/>
          <w:sz w:val="21"/>
          <w:szCs w:val="21"/>
          <w:highlight w:val="none"/>
          <w:lang w:val="en-US" w:eastAsia="zh-CN" w:bidi="ar"/>
        </w:rPr>
        <w:t>费率后作为包干价格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36A7F758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（四）报价表：</w:t>
      </w:r>
    </w:p>
    <w:p w14:paraId="41E0D243">
      <w:pP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tbl>
      <w:tblPr>
        <w:tblStyle w:val="10"/>
        <w:tblW w:w="5000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0"/>
        <w:gridCol w:w="3887"/>
        <w:gridCol w:w="1343"/>
        <w:gridCol w:w="793"/>
        <w:gridCol w:w="1142"/>
        <w:gridCol w:w="687"/>
      </w:tblGrid>
      <w:tr w14:paraId="079BA3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1A77B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 w14:paraId="50205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E58B7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28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D6070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  <w:t>工程或费用名称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8624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最高限价（万元）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CFDA3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响应费率（%）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84A4A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响应报价（万元）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DD892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备注</w:t>
            </w:r>
          </w:p>
        </w:tc>
      </w:tr>
      <w:tr w14:paraId="6B3BE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6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8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FB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韶关供电局通济巡维中心技术业务用房工程质量检测服务</w:t>
            </w:r>
          </w:p>
        </w:tc>
        <w:tc>
          <w:tcPr>
            <w:tcW w:w="78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1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Cs/>
                <w:kern w:val="0"/>
                <w:sz w:val="21"/>
                <w:szCs w:val="21"/>
                <w:highlight w:val="none"/>
                <w:lang w:val="en-US" w:eastAsia="zh-CN" w:bidi="ar"/>
              </w:rPr>
              <w:t>15.88</w:t>
            </w:r>
          </w:p>
        </w:tc>
        <w:tc>
          <w:tcPr>
            <w:tcW w:w="465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AE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BC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43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5B34E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673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03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78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EF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Cs/>
                <w:kern w:val="0"/>
                <w:sz w:val="21"/>
                <w:szCs w:val="21"/>
                <w:highlight w:val="none"/>
                <w:lang w:val="en-US" w:eastAsia="zh-CN" w:bidi="ar"/>
              </w:rPr>
              <w:t>15.88</w:t>
            </w:r>
          </w:p>
        </w:tc>
        <w:tc>
          <w:tcPr>
            <w:tcW w:w="465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7C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B0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0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 w14:paraId="443B39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FF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360" w:lineRule="auto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报价要求：</w:t>
            </w:r>
          </w:p>
          <w:p w14:paraId="7AE936D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（1）采用响应费率方式（保留两位小数，如：99.99%），同时填报响应金额报价；供应商报价不超出最高限价为有效报价，如供应商的报价超出最高限价，采购工作组应当否决其响应；响应费率＝响应报价/最高限价×100%（保留两位小数）。当响应金额报价与响应费率计算结果不一致时，以响应费率为准，按上述公式修订固定金额报价。</w:t>
            </w:r>
            <w:bookmarkStart w:id="4" w:name="_GoBack"/>
            <w:bookmarkEnd w:id="4"/>
          </w:p>
          <w:p w14:paraId="088F5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（2）为避免恶意竞争，不得低于成本价报价，响应报价低于最高限价规定的比例（详见采购文件的比例要求）的必须附详细的成本分析报告（成本分析报告需充分说明单价和费用的组成、降低成本的合理措施及在其他工程中应用过的经验，未提供成本分析报告视为原则性不响应采购文件要求）。</w:t>
            </w:r>
          </w:p>
        </w:tc>
      </w:tr>
    </w:tbl>
    <w:p w14:paraId="11FB6DFD">
      <w:pPr>
        <w:pStyle w:val="9"/>
        <w:ind w:left="0" w:leftChars="0" w:firstLine="0" w:firstLineChars="0"/>
        <w:rPr>
          <w:rFonts w:hint="eastAsia"/>
          <w:lang w:val="en-US" w:eastAsia="zh-CN"/>
        </w:rPr>
      </w:pPr>
    </w:p>
    <w:p w14:paraId="67983EAD">
      <w:pPr>
        <w:bidi w:val="0"/>
        <w:rPr>
          <w:rFonts w:hint="eastAsia"/>
          <w:lang w:val="en-US" w:eastAsia="zh-CN"/>
        </w:rPr>
      </w:pPr>
    </w:p>
    <w:p w14:paraId="2E50B834">
      <w:pPr>
        <w:bidi w:val="0"/>
        <w:rPr>
          <w:rFonts w:hint="eastAsia"/>
          <w:lang w:val="en-US" w:eastAsia="zh-CN"/>
        </w:rPr>
      </w:pPr>
    </w:p>
    <w:p w14:paraId="2F1D7C4F">
      <w:pPr>
        <w:bidi w:val="0"/>
        <w:rPr>
          <w:rFonts w:hint="eastAsia"/>
          <w:lang w:val="en-US" w:eastAsia="zh-CN"/>
        </w:rPr>
      </w:pPr>
    </w:p>
    <w:p w14:paraId="0119DEFD">
      <w:pPr>
        <w:bidi w:val="0"/>
        <w:rPr>
          <w:rFonts w:hint="eastAsia"/>
          <w:lang w:val="en-US" w:eastAsia="zh-CN"/>
        </w:rPr>
      </w:pPr>
    </w:p>
    <w:p w14:paraId="1FBEF047">
      <w:pPr>
        <w:bidi w:val="0"/>
        <w:rPr>
          <w:rFonts w:hint="eastAsia"/>
          <w:lang w:val="en-US" w:eastAsia="zh-CN"/>
        </w:rPr>
      </w:pPr>
    </w:p>
    <w:p w14:paraId="3C520F6F">
      <w:pPr>
        <w:bidi w:val="0"/>
        <w:rPr>
          <w:rFonts w:hint="eastAsia"/>
          <w:lang w:val="en-US" w:eastAsia="zh-CN"/>
        </w:rPr>
      </w:pPr>
    </w:p>
    <w:p w14:paraId="29FC5183">
      <w:pPr>
        <w:tabs>
          <w:tab w:val="left" w:pos="3060"/>
        </w:tabs>
        <w:bidi w:val="0"/>
        <w:jc w:val="left"/>
        <w:rPr>
          <w:rFonts w:hint="eastAsia"/>
          <w:lang w:val="en-US" w:eastAsia="zh-CN"/>
        </w:rPr>
      </w:pPr>
    </w:p>
    <w:p w14:paraId="34815DE8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1F6997AF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D377A8A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40806AE6">
      <w:pPr>
        <w:jc w:val="center"/>
      </w:pPr>
      <w:r>
        <w:rPr>
          <w:rFonts w:hint="eastAsia" w:ascii="宋体" w:hAnsi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韶关供电局通济巡维中心技术业务用房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工程质量检测清单</w:t>
      </w:r>
    </w:p>
    <w:p w14:paraId="58085F7B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703"/>
        <w:gridCol w:w="1361"/>
        <w:gridCol w:w="2146"/>
        <w:gridCol w:w="2886"/>
      </w:tblGrid>
      <w:tr w14:paraId="492ED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F9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一、沉降观测</w:t>
            </w:r>
          </w:p>
        </w:tc>
      </w:tr>
      <w:tr w14:paraId="768E2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1C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（一）监测项目制作</w:t>
            </w:r>
          </w:p>
        </w:tc>
      </w:tr>
      <w:tr w14:paraId="36077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A2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A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E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埋设次数</w:t>
            </w:r>
          </w:p>
        </w:tc>
        <w:tc>
          <w:tcPr>
            <w:tcW w:w="1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56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埋设工作量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（个）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80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14C9D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66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B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高程基准网点及沉降观测点埋设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6D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6F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E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A91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（二）监测点测量</w:t>
            </w:r>
          </w:p>
        </w:tc>
      </w:tr>
      <w:tr w14:paraId="1B13E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8C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7C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3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观测次数</w:t>
            </w:r>
          </w:p>
        </w:tc>
        <w:tc>
          <w:tcPr>
            <w:tcW w:w="1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48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观测工作量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（个）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B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4BEB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4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72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基准点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（沉降）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E9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D3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8D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257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1A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51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韶关供电局通济巡维中心技术业务用房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本体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4A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02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B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66BEA79E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二、室内环境质量检测</w:t>
      </w:r>
    </w:p>
    <w:tbl>
      <w:tblPr>
        <w:tblStyle w:val="10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271"/>
        <w:gridCol w:w="4406"/>
        <w:gridCol w:w="1140"/>
        <w:gridCol w:w="1238"/>
      </w:tblGrid>
      <w:tr w14:paraId="1589F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C6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7A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检测参数</w:t>
            </w:r>
          </w:p>
        </w:tc>
        <w:tc>
          <w:tcPr>
            <w:tcW w:w="2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35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检测依据及抽检原则（频次）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B1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6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17CC6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7B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A3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氡气</w:t>
            </w:r>
          </w:p>
        </w:tc>
        <w:tc>
          <w:tcPr>
            <w:tcW w:w="258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6CF05"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民用建筑工程验收时,应抽检每个建筑单体有代表性的房间室内环境污染物浓度,氢、甲醛、氨、苯、甲苯、二甲苯、TVOC的抽检量不得少于房间总数的5%,每个建筑单体不得少于3间，当房间总数少于3间时,应全数检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2、室内环境污染物浓度检测点数设置如下：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房间使用面积小于50平方米的设1个检测点；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房间使用面积为50～100平方米的设2个检测点；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房间使用面积为100～500平方米的设不少于3个检测点；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房间使用面积为500～1000平方米的设不少于5个检测点；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房间使用面积大于1000平方米的，大于1000平方米的部分，每增加1000平方米增设1个检测点，增加面积不足1000平方米室按1000平方米计算。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B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66B97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40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53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甲醛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457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A9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A4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06C04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25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06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氨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4BB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42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9E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1DD10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B2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17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苯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EE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2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19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0FDCC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E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0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甲苯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F32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74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F3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71FA8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C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1F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二甲苯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86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B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D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  <w:tr w14:paraId="21DDC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19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0C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TVOC</w:t>
            </w:r>
          </w:p>
        </w:tc>
        <w:tc>
          <w:tcPr>
            <w:tcW w:w="25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AB6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F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F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</w:tr>
    </w:tbl>
    <w:p w14:paraId="77FF0157"/>
    <w:p w14:paraId="6F9D1D95"/>
    <w:tbl>
      <w:tblPr>
        <w:tblStyle w:val="10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1166"/>
        <w:gridCol w:w="1268"/>
        <w:gridCol w:w="941"/>
        <w:gridCol w:w="1323"/>
        <w:gridCol w:w="2018"/>
        <w:gridCol w:w="1388"/>
      </w:tblGrid>
      <w:tr w14:paraId="1DC05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BB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、地基基础检测</w:t>
            </w:r>
          </w:p>
        </w:tc>
      </w:tr>
      <w:tr w14:paraId="716EF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5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1B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子项目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B6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基础类型</w:t>
            </w:r>
          </w:p>
        </w:tc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0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总桩数</w:t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A8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1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B5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C9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0A119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2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B9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1B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韶关供电局通济巡维中心技术业务用房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本体</w:t>
            </w:r>
          </w:p>
        </w:tc>
        <w:tc>
          <w:tcPr>
            <w:tcW w:w="7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39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桩基础（预应力管桩）</w:t>
            </w:r>
          </w:p>
        </w:tc>
        <w:tc>
          <w:tcPr>
            <w:tcW w:w="55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5A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28根</w:t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85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低应变</w:t>
            </w:r>
          </w:p>
        </w:tc>
        <w:tc>
          <w:tcPr>
            <w:tcW w:w="1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91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F1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61937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E2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12D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45A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09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8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静载</w:t>
            </w:r>
          </w:p>
        </w:tc>
        <w:tc>
          <w:tcPr>
            <w:tcW w:w="11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1F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F6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</w:tbl>
    <w:p w14:paraId="65C2A8B6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1202"/>
        <w:gridCol w:w="9"/>
        <w:gridCol w:w="1224"/>
        <w:gridCol w:w="2671"/>
        <w:gridCol w:w="61"/>
        <w:gridCol w:w="748"/>
        <w:gridCol w:w="187"/>
        <w:gridCol w:w="2003"/>
      </w:tblGrid>
      <w:tr w14:paraId="79B1B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A3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及节能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检测</w:t>
            </w:r>
          </w:p>
        </w:tc>
      </w:tr>
      <w:tr w14:paraId="25ADC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F0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16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检测对象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80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检测参数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44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73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6773A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F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70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钢筋原材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C8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屈服强度、抗拉强度、断后伸长率、弯曲、重量偏差、强屈比/超强比、最大力下总伸长率、反向(反复)弯曲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13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C3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7425A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3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FD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钢筋焊接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86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抗拉强度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73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B5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7E6FE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4F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C5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机械连接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1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抗拉强度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B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3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47326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99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C98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2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残余变形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11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E9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5835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A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99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混凝土试块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0A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抗压强度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5A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36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</w:tr>
      <w:tr w14:paraId="5F459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22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18D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混凝土抗渗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4A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35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DA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6555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62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6B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混凝土氯离子含量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9E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试块送检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0E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51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CA00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F6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2D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混凝土配合比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78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验证配合比（坍落度、表观密度、抗压强度）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7A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3E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3F35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91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F6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砂浆配合比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92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验证配合比（稠度、保水率、抗压强度）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2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27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B53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A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2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预拌砂浆性能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1D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稠度、抗压强度、保水性、表观密度、拉伸粘结强度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EA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9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89E8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29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F8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硅酸盐水泥/其他硅酸盐水泥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凝结时间、标准稠度用水量、安定性（沸煮法）、胶砂强度、比表面积/细度、密度/胶砂流动度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5E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8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6429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7B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F3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59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筛分析、表观密度、堆积密度、紧密密度、含泥量/石粉含量、泥块含量、氯离子含量、亚甲蓝值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96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65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F45D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B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F3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5E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筛分析、表观密度、堆积密度、紧密密度、含泥量、泥块含量、针片状颗粒含量、压碎指标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F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F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CAC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C2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F5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粉煤灰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7E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细度、含水量、需水量比、强度活性指数/28天抗压强度比、烧失量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3B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F6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E11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F6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6C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外加剂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B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减水率、抗压强度比、含固量、密度、pH值、总碱量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BC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B4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6022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C3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5D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砂浆试块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F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抗压强度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D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55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6B89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DB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F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砌墙砖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F1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抗压强度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、吸水率、密度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1E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B4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7C3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8A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38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PP-R给水管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2A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尺寸、纵向回缩率、简支梁冲击、静液压试验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0A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C5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E0D0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56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74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PP-R给水管件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9F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尺寸、静液压试验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1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5B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A76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66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8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PVC排水管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EE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尺寸、拉伸屈服强度、断裂伸长率、维卡软化温度、落锤冲击、纵向回缩率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57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D7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90B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D7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D0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PVC排水管件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B0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尺寸、维卡软化温度、烘箱试验、坠落试验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9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C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F7EF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80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9C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防水涂料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0A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固体含量、拉伸强度、低温柔性、不透水性、耐热性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F2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93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53A9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9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E7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15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结构尺寸检查、导体直流电阻、绝缘电阻、电压试验、单根电线或电缆燃烧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E4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组/芯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2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2B87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E6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E6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防水卷材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05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可溶物含量、拉伸性能、不透水性、耐热性、低温柔性/低温弯折性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CB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A3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D9A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B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F3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腻子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B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容器中状态、施工性、干燥时间（表干）、打磨性、粘结强度（标准状态）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94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5B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C35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23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4D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1E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标志检验、防触电保护、温升试验、电气间隙、爬电距离、工频耐压、绝缘电阻、插头拔出力、灼热丝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49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1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5376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5D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F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5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标志检验、防触电保护、温升试验、电气间隙、爬电距离、耐潮、工频耐压、绝缘电阻、灼热丝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E9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D9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EED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D9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85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电工套管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F2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尺寸、抗压性能、电气性能、跌落性能、耐热性能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3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EB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760A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97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15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电工套管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配件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09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跌落性能、电气性能、耐热性能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22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0B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DE6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F1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4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防水砂浆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EE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抗压强度、抗折强度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0B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43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BD2D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8F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4A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陶瓷砖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吸水率、破坏强度、断裂模数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E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49D9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18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CE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3A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气密性能、水密性能、抗风压性能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18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6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4D1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6B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54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铝合金型材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3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壁厚/铝材厚度、基材硬度、抗拉强度、伸长率、膜厚、涂层厚度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BD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69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54E4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3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5A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A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可见光透射比、遮阳系数、传热系数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22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1D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5A85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6D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9F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蒸压加气混凝土砌块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F10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体积密度、导热系数、抗压强度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DB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7B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83A0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8C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E9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外墙节能构造钻芯</w:t>
            </w:r>
          </w:p>
        </w:tc>
        <w:tc>
          <w:tcPr>
            <w:tcW w:w="23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2E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保温层厚度</w:t>
            </w:r>
          </w:p>
        </w:tc>
        <w:tc>
          <w:tcPr>
            <w:tcW w:w="54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F1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1D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9FD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391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、防雷检测</w:t>
            </w:r>
          </w:p>
        </w:tc>
      </w:tr>
      <w:tr w14:paraId="5930E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1D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D6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检测产品/对象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99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检测项目/参数</w:t>
            </w:r>
          </w:p>
        </w:tc>
        <w:tc>
          <w:tcPr>
            <w:tcW w:w="1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93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抽检频率</w:t>
            </w:r>
          </w:p>
        </w:tc>
        <w:tc>
          <w:tcPr>
            <w:tcW w:w="4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AD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8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7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6244C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62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31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防雷装置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F0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防雷检测</w:t>
            </w:r>
          </w:p>
        </w:tc>
        <w:tc>
          <w:tcPr>
            <w:tcW w:w="1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47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21431-2015 全数检测。</w:t>
            </w:r>
          </w:p>
        </w:tc>
        <w:tc>
          <w:tcPr>
            <w:tcW w:w="4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5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28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64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1396.75</w:t>
            </w:r>
          </w:p>
        </w:tc>
      </w:tr>
    </w:tbl>
    <w:p w14:paraId="13014BBC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1213"/>
        <w:gridCol w:w="1223"/>
        <w:gridCol w:w="2911"/>
        <w:gridCol w:w="1040"/>
        <w:gridCol w:w="1718"/>
      </w:tblGrid>
      <w:tr w14:paraId="307AE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6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、土壤氡检测</w:t>
            </w:r>
          </w:p>
        </w:tc>
      </w:tr>
      <w:tr w14:paraId="260E0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A4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1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8F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A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检测方法</w:t>
            </w:r>
          </w:p>
        </w:tc>
        <w:tc>
          <w:tcPr>
            <w:tcW w:w="170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49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检测频率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CD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2B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275C8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5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D2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土壤氡放射性</w:t>
            </w:r>
          </w:p>
        </w:tc>
        <w:tc>
          <w:tcPr>
            <w:tcW w:w="71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AA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土壤氡浓度</w:t>
            </w:r>
          </w:p>
        </w:tc>
        <w:tc>
          <w:tcPr>
            <w:tcW w:w="170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C3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在工程地质勘察范围内布点时，应以间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距 10m 作网格，各网格点即为测试点（当遇较大石块时，可偏离±2m），但布点数不应少于 16 个。布点位置应覆盖基础工程范围.该项目以10m网格测量取样，布点位置应覆盖基础工程范围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C9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E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</w:tbl>
    <w:p w14:paraId="20C3B555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1696"/>
        <w:gridCol w:w="1703"/>
        <w:gridCol w:w="1742"/>
        <w:gridCol w:w="2729"/>
      </w:tblGrid>
      <w:tr w14:paraId="799EE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191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、消防检测</w:t>
            </w:r>
          </w:p>
        </w:tc>
      </w:tr>
      <w:tr w14:paraId="2C217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60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BE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检测产品/对象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89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抽检频率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AF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7B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560E4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D2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7C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消防检测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CC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全数检测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FE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C9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1396.75</w:t>
            </w:r>
          </w:p>
        </w:tc>
      </w:tr>
    </w:tbl>
    <w:p w14:paraId="4AAA8A2F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1727"/>
        <w:gridCol w:w="1779"/>
        <w:gridCol w:w="1928"/>
        <w:gridCol w:w="2362"/>
      </w:tblGrid>
      <w:tr w14:paraId="718D6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458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、白蚁防治</w:t>
            </w:r>
          </w:p>
        </w:tc>
      </w:tr>
      <w:tr w14:paraId="4F4AA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B5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33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检测产品/对象</w:t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8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抽检频率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40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B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检测数量</w:t>
            </w:r>
          </w:p>
        </w:tc>
      </w:tr>
      <w:tr w14:paraId="56AFA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71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39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白蚁防治</w:t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80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全数检测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FF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3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6C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1396.75</w:t>
            </w:r>
          </w:p>
        </w:tc>
      </w:tr>
    </w:tbl>
    <w:p w14:paraId="4D87F7ED"/>
    <w:tbl>
      <w:tblPr>
        <w:tblStyle w:val="10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1129"/>
        <w:gridCol w:w="1436"/>
        <w:gridCol w:w="3259"/>
        <w:gridCol w:w="822"/>
        <w:gridCol w:w="1439"/>
      </w:tblGrid>
      <w:tr w14:paraId="34A85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4FAA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、结构实体检测</w:t>
            </w:r>
          </w:p>
        </w:tc>
      </w:tr>
      <w:tr w14:paraId="3A0D7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08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9E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8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CD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检测方法、内容</w:t>
            </w:r>
          </w:p>
        </w:tc>
        <w:tc>
          <w:tcPr>
            <w:tcW w:w="191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67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检测频率</w:t>
            </w:r>
          </w:p>
        </w:tc>
        <w:tc>
          <w:tcPr>
            <w:tcW w:w="4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05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F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检测数量</w:t>
            </w:r>
          </w:p>
        </w:tc>
      </w:tr>
      <w:tr w14:paraId="7AEC1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2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3F37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637F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CD00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1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4DFD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47C8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930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673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05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（一）主体结构实体检测部分</w:t>
            </w:r>
          </w:p>
        </w:tc>
      </w:tr>
      <w:tr w14:paraId="4FA60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AA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0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实体结构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保护层厚度检测</w:t>
            </w:r>
          </w:p>
        </w:tc>
        <w:tc>
          <w:tcPr>
            <w:tcW w:w="1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743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1、对非悬挑梁板灰构件，应各抽取构件数量的2%且不少于5个构件进行检验。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2、对悬挑梁，应抽取构件数量的5%且不少于10个构件进行检验；当悬挑梁数少于10个时，应全数检验。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3、对悬挑板，应抽取构件数量的10%且不少于20个构件进行检验；当悬挑板数量少于20个时，应全数检验。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1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</w:t>
            </w:r>
          </w:p>
        </w:tc>
        <w:tc>
          <w:tcPr>
            <w:tcW w:w="8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7B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3F7E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DB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E1D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A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回弹法检测混凝土强度（基础回弹）</w:t>
            </w:r>
          </w:p>
        </w:tc>
        <w:tc>
          <w:tcPr>
            <w:tcW w:w="1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8A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10%不少于3个点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7D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</w:t>
            </w:r>
          </w:p>
        </w:tc>
        <w:tc>
          <w:tcPr>
            <w:tcW w:w="8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C9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D140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C9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8F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9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回弹法检测混凝土强度（主体回弹）</w:t>
            </w:r>
          </w:p>
        </w:tc>
        <w:tc>
          <w:tcPr>
            <w:tcW w:w="1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6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30%不少于10个构件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FA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</w:t>
            </w:r>
          </w:p>
        </w:tc>
        <w:tc>
          <w:tcPr>
            <w:tcW w:w="8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25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68366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D9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C9C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C5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楼板（梯板）厚度检测</w:t>
            </w:r>
          </w:p>
        </w:tc>
        <w:tc>
          <w:tcPr>
            <w:tcW w:w="1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78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每个单位工程检测不少于3个楼板和3个梯板的构件，每个构件的检测点不少于3个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64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</w:t>
            </w:r>
          </w:p>
        </w:tc>
        <w:tc>
          <w:tcPr>
            <w:tcW w:w="8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79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147B5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44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E9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后锚固件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99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植筋抗拔试验</w:t>
            </w:r>
          </w:p>
        </w:tc>
        <w:tc>
          <w:tcPr>
            <w:tcW w:w="1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3B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每单位工程、每规格抽检0.1%，植筋且不少于3根，螺栓不少于5根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3D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C4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</w:tbl>
    <w:p w14:paraId="71EE27DB"/>
    <w:p w14:paraId="5CBCB574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1526ABB"/>
    <w:rsid w:val="03B74BD9"/>
    <w:rsid w:val="04A24F71"/>
    <w:rsid w:val="064833D7"/>
    <w:rsid w:val="0A164C9A"/>
    <w:rsid w:val="0BC07002"/>
    <w:rsid w:val="0C2170B2"/>
    <w:rsid w:val="0E0F581F"/>
    <w:rsid w:val="0E7A4ECE"/>
    <w:rsid w:val="10DB1755"/>
    <w:rsid w:val="116419AD"/>
    <w:rsid w:val="11DF6CFE"/>
    <w:rsid w:val="12133065"/>
    <w:rsid w:val="1438443B"/>
    <w:rsid w:val="14440D4B"/>
    <w:rsid w:val="15056A61"/>
    <w:rsid w:val="16371982"/>
    <w:rsid w:val="17622859"/>
    <w:rsid w:val="179C6CCA"/>
    <w:rsid w:val="1872432F"/>
    <w:rsid w:val="18E57496"/>
    <w:rsid w:val="196633D1"/>
    <w:rsid w:val="196C7E88"/>
    <w:rsid w:val="1A8041DB"/>
    <w:rsid w:val="1B663F82"/>
    <w:rsid w:val="1C3B419A"/>
    <w:rsid w:val="1D3B1205"/>
    <w:rsid w:val="1D746848"/>
    <w:rsid w:val="1E325F1A"/>
    <w:rsid w:val="1EA41670"/>
    <w:rsid w:val="1F31003B"/>
    <w:rsid w:val="216F4D5B"/>
    <w:rsid w:val="22D20532"/>
    <w:rsid w:val="24F737D8"/>
    <w:rsid w:val="26906CD3"/>
    <w:rsid w:val="298B7936"/>
    <w:rsid w:val="2AB26C91"/>
    <w:rsid w:val="2CF2002C"/>
    <w:rsid w:val="2FF65FF8"/>
    <w:rsid w:val="300D195C"/>
    <w:rsid w:val="304F484B"/>
    <w:rsid w:val="30BF37B5"/>
    <w:rsid w:val="311F3225"/>
    <w:rsid w:val="31BC4939"/>
    <w:rsid w:val="345D6EFA"/>
    <w:rsid w:val="3525563E"/>
    <w:rsid w:val="35522C8A"/>
    <w:rsid w:val="361736AD"/>
    <w:rsid w:val="36D200CF"/>
    <w:rsid w:val="38382DC3"/>
    <w:rsid w:val="38DE045C"/>
    <w:rsid w:val="395850A3"/>
    <w:rsid w:val="39957106"/>
    <w:rsid w:val="3BD37B92"/>
    <w:rsid w:val="3C4A35F1"/>
    <w:rsid w:val="3C4F72FF"/>
    <w:rsid w:val="3EB36EBE"/>
    <w:rsid w:val="3F1D3C1A"/>
    <w:rsid w:val="407B3AFB"/>
    <w:rsid w:val="42E16BFC"/>
    <w:rsid w:val="44D414C9"/>
    <w:rsid w:val="46472D5E"/>
    <w:rsid w:val="47E66932"/>
    <w:rsid w:val="49900741"/>
    <w:rsid w:val="4B3A1BDA"/>
    <w:rsid w:val="4B831003"/>
    <w:rsid w:val="507B3005"/>
    <w:rsid w:val="50BB4691"/>
    <w:rsid w:val="519A6EA5"/>
    <w:rsid w:val="51D058C8"/>
    <w:rsid w:val="52E734B9"/>
    <w:rsid w:val="546D3F92"/>
    <w:rsid w:val="54FA7165"/>
    <w:rsid w:val="55C3156A"/>
    <w:rsid w:val="57247968"/>
    <w:rsid w:val="5C845E51"/>
    <w:rsid w:val="5FF73241"/>
    <w:rsid w:val="608606DE"/>
    <w:rsid w:val="61C763F8"/>
    <w:rsid w:val="625F0FFD"/>
    <w:rsid w:val="628407A6"/>
    <w:rsid w:val="62FE3EF7"/>
    <w:rsid w:val="63301F64"/>
    <w:rsid w:val="64AB288F"/>
    <w:rsid w:val="65C53405"/>
    <w:rsid w:val="66C35559"/>
    <w:rsid w:val="67600C28"/>
    <w:rsid w:val="6762412B"/>
    <w:rsid w:val="699A143B"/>
    <w:rsid w:val="6A287B5E"/>
    <w:rsid w:val="6A63251A"/>
    <w:rsid w:val="6B303A1A"/>
    <w:rsid w:val="6CB04D38"/>
    <w:rsid w:val="6D935BD4"/>
    <w:rsid w:val="6DAA2FDF"/>
    <w:rsid w:val="6E121228"/>
    <w:rsid w:val="6F247264"/>
    <w:rsid w:val="6F686493"/>
    <w:rsid w:val="70D1495F"/>
    <w:rsid w:val="715F4991"/>
    <w:rsid w:val="73982E36"/>
    <w:rsid w:val="754F6E04"/>
    <w:rsid w:val="7A541D52"/>
    <w:rsid w:val="7E3420E0"/>
    <w:rsid w:val="7FAA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5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9">
    <w:name w:val="Body Text First Indent"/>
    <w:basedOn w:val="2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4">
    <w:name w:val="font12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15">
    <w:name w:val="font4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陈成坚</cp:lastModifiedBy>
  <dcterms:modified xsi:type="dcterms:W3CDTF">2026-07-09T11:26:41Z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74CD9AD61CCC46BABE6A479A48313E7D_13</vt:lpwstr>
  </property>
</Properties>
</file>