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1"/>
        <w:widowControl/>
        <w:rPr>
          <w:rFonts w:hint="eastAsia" w:ascii="方正小标宋_GBK" w:hAnsi="方正小标宋_GBK" w:eastAsia="方正小标宋_GBK" w:cs="方正小标宋_GBK"/>
        </w:rPr>
      </w:pPr>
      <w:r>
        <w:rPr>
          <w:rFonts w:hint="eastAsia" w:ascii="方正小标宋_GBK" w:hAnsi="方正小标宋_GBK" w:eastAsia="方正小标宋_GBK" w:cs="方正小标宋_GBK"/>
          <w:lang w:val="en-US" w:eastAsia="zh-CN"/>
        </w:rPr>
        <w:t>110kV电缆修复</w:t>
      </w:r>
      <w:r>
        <w:rPr>
          <w:rFonts w:hint="eastAsia" w:ascii="方正小标宋_GBK" w:hAnsi="方正小标宋_GBK" w:eastAsia="方正小标宋_GBK" w:cs="方正小标宋_GBK"/>
        </w:rPr>
        <w:t>技术服务规范书</w:t>
      </w:r>
    </w:p>
    <w:p>
      <w:pPr>
        <w:pStyle w:val="19"/>
        <w:bidi w:val="0"/>
        <w:spacing w:beforeAutospacing="0" w:afterAutospacing="0" w:line="300" w:lineRule="exact"/>
        <w:rPr>
          <w:rFonts w:hint="eastAsia"/>
          <w:lang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第一章 总则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 项目概况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修复对象：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110kV振华（生药园）送变电工程</w:t>
      </w:r>
      <w:r>
        <w:rPr>
          <w:rStyle w:val="133"/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110kV 单芯 XLPE 绝缘电力电缆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电缆敷设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电缆保护管内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2处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电缆外护套破损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铝波纹护套损伤，破损点位于保护管内部，无法直接露天作业，需局部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开挖路面并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扩开保护管、顶升电缆后完成铝护套补焊 / 包覆修复、外护套绝缘防水整体恢复。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范围：故障点复测定位、保护管局部破除与恢复、电缆顶升支撑、铝金属护套损伤修复、外护套绝缘密封修复、全线护层绝缘试验、现场安全文明施工、余渣外运、竣工资料移交全流程施工。</w:t>
      </w:r>
      <w:bookmarkStart w:id="0" w:name="_GoBack"/>
      <w:bookmarkEnd w:id="0"/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破损现状：外护套穿孔破损、铝波纹护套局部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损伤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，未伤及电缆主绝缘；破损点埋于保护管内腔，空间狭小，潮湿环境，修复需高强度防水、耐腐蚀、耐土壤机械应力结构。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 编制依据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GB 50217-2018《电力工程电缆设计标准》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GB 50168-2018《电气装置安装工程 电缆线路施工及验收标准》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DL/T 596-2021《电力设备预防性试验规程》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GB/T 12706.2-2020《额定电压 1kV 到 35kV 挤包绝缘电力电缆及附件 第 2 部分：110kV 电缆》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DL/T 1070-2014《110kV～220kV 交联聚乙烯绝缘电缆金属护套修复技术导则》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GB 26859《电力安全工作规程 电力线路部分》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 投标单位通用资质要求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具备电力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设施的安装、维护和试验资质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；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 xml:space="preserve">近 3 年内完成不少于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项 110kV 及以上单芯电缆铝护套破损修复业绩；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配备持证高压电缆接头工、电缆故障测试工、高空 / 有限空间作业持证人员；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自有全套电缆护层测试仪、电缆顶升工装、铝护套焊补工具、热 / 冷缩修复套件。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 工作边界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业主提供：电缆线路路径图纸、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故障点附近的路面开挖、现场围挡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； 中标单位负责：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电缆故障点的精确定位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、保护管破除与复原、电缆防护、修复施工、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前后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试验检测、弃渣外运、竣工图纸及试验报告编制。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第二章 现场勘察与前期作业技术要求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 故障复测定位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中标单位进场 24h 内采用跨步电压法 + 脉冲反射法复测破损精确点位，复核破损范围、铝护套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损坏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长度；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记录破损点埋深、保护管管径、管内积水、土壤腐蚀类型，形成《电缆破损现场勘察记录》，经业主现场代表确认后方可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。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若复测发现多处隐蔽破损，需书面上报业主，明确新增修复工程量及方案。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 有限空间（保护管 / 电缆井）作业强制要求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破除保护管后先强制通风≥30min，持续检测管内氧气、有害气体；积水全部抽排干净，管内烘干处理；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狭小空间作业配备专职监护人，电缆金属护套存在工频感应电压，作业人员全套绝缘靴、绝缘手套、防静电工装；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管内湿度＞80% 禁止开展绝缘包覆修复，需采用热风持续烘干至露点合格。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 保护管破除与电缆顶升防护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仅对破损点前后各 1.0m 范围局部破除混凝土保护管，不得大范围破坏原有管线结构；破碎作业严禁冲击锤直接撞击电缆本体；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使用木质 / 绝缘弧形托举工装平缓顶升电缆，单点支撑间距≤500mm，杜绝铝护套二次弯折、撕裂；电缆下方铺垫橡胶缓冲垫层；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临时裸露电缆段全程包裹防雨塑料膜，避免泥土、积水污染铝护套与外护套界面。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 </w:t>
      </w:r>
      <w:r>
        <w:rPr>
          <w:rFonts w:hint="eastAsia"/>
          <w:color w:val="000000"/>
          <w:sz w:val="28"/>
          <w:szCs w:val="28"/>
          <w:lang w:val="en-US" w:eastAsia="zh-CN"/>
        </w:rPr>
        <w:t>现场材料、土方</w:t>
      </w:r>
      <w:r>
        <w:rPr>
          <w:color w:val="000000"/>
          <w:sz w:val="28"/>
          <w:szCs w:val="28"/>
        </w:rPr>
        <w:t>处置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现场材料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分区堆放，做好围挡防尘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和雨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；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修复完成、保护管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恢复后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，多余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废弃物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外运至合规弃土场，现场无遗留淤泥、建筑垃圾。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第三章 铝波纹金属护套修复核心工艺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 预处理工序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以破损中心向两侧各延伸 200mm 范围，彻底刮除电缆外护套表面石墨半导电涂层；无水酒精 + 丙酮双向擦拭铝护套表面沥青、油污、泥土，热风烘干至完全无水汽；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打磨铝护套撕裂边缘，去除毛刺、尖角，防止刺破后续密封层；轻微变形波纹校圆，无法校圆的损伤段按规范局部包覆加强铝衬套。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 铝护套修复两种合格方案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方案 A：铝合金衬套包覆 + 低温封铅（推荐埋管潮湿环境）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匹配电缆外径专用铝合金衬套，衬套长度覆盖破损点两端各≥150mm，衬套壁厚≥1.2mm；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衬套贴合铝护套圆周，接缝采用低温铝锡合金封铅密封，封铅均匀无气孔、裂缝，保证金属护套电气连续、防水阻隔；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衬套两端内侧填充环氧阻水密封泥，阻断地下水沿护套缝隙渗入电缆内部。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方案 B：铝薄板氩弧焊补焊（适用于撕裂长度＜50mm 小损伤）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采用同材质铝薄板匹配波纹弧度，氩弧焊满焊破损区域，焊缝连续无砂眼、裂纹；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焊后打磨焊缝平整，涂刷金属防腐防锈涂层，两端增设阻水密封胶圈。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 金属护套修复验收标准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铝护套电气连通完整，无间断、无高阻接头；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修复衬套 / 焊区无渗水通道，可长期浸泡地下水土；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修复完成后金属护套表面无尖锐凸起，不划伤外层绝缘修复结构。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第四章 外护套绝缘、防水、机械防护修复工艺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铝护套修复完成并冷却干燥后，分层恢复外护套绝缘结构，由内至外分层施工，每一层搭接宽度、厚度严格执行：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 第一层：阻水缓冲层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以修复区域为中心，两侧各延伸≥200mm，半叠绕包高膨胀阻水缓冲带 4 层，拉伸率控制 100%，完全包覆金属修复段，阻断毛细渗水。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 第二层：高压绝缘主修复层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采用 69kV 级高压乙丙橡胶自粘绝缘带，半叠绕包 8 层，拉伸 200% 均匀缠绕；整体绝缘厚度不低于原电缆外护套厚度；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缠绕范围超出铝护套修复边缘≥150mm，两端形成平滑锥形过渡，无台阶、尖</w:t>
      </w:r>
      <w:r>
        <w:rPr>
          <w:color w:val="000000"/>
          <w:sz w:val="24"/>
          <w:szCs w:val="24"/>
        </w:rPr>
        <w:t>角。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 第三层：外半导电恢复层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半叠绕包半导电自粘带 2 层，两端与原有电缆石墨半导电层可靠搭接，恢复外护套电场均匀性，避免局部电场集中击穿。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 第四层：整体密封防水加强层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采用配套冷缩修复套管（或双层厚壁热缩防水护套，内壁带热熔密封胶），套管长度覆盖绝缘修复区域两端各≥100mm；加热收缩均匀，无气泡、起皱、脱胶，两端热熔胶溢出形成永久防水密封。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 第五层：土壤机械防护层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外层缠绕高强度聚氨酯铠装防水带 4 层，半叠绕包，抵御保护管回填碎石、土壤挤压、外力穿刺；最外层缠绕 PVC 标识保护带固定。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 材料硬性要求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所有修复材料（阻水带、绝缘自粘带、冷 / 热缩套管、封铅、环氧泥、铠装带）必须匹配 110kV 高压电缆埋地潮湿工况，投标时提供原厂型式试验报告、出厂合格证；严禁回收料、低压简易修补胶带替代。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第五章 保护管恢复与土方回填技术要求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铝护套、外护套全部修复并试验合格后，方可恢复混凝土保护管；采用微膨胀防水混凝土浇筑局部破损管段，内部预留 20mm 缓冲间隙，避免挤压电缆修复区；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回填分层厚度≤200mm，每层夯实，电缆上下 300mm 范围内采用细砂回填，禁止直接回填石块、硬质建筑垃圾；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地面恢复原状，硬化路面同步复原，排水坡度与原有地面保持一致，无积水坑洼。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第六章 试验检测验收标准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修复后单点位局部试验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修复部位冷却固化 24h 后开展：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外护套绝缘电阻试验：25kV 兆欧表，绝缘电阻≥50MΩ；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外护套直流耐压试验：试验电压 25kV，耐压 1min 无击穿、无闪络；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火花检漏试验：沿修复套管全线移动，无放电击穿点。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 整条电缆全线护层试验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三相护层环流在线监测比对：修复完成送电后连续 24h 采集护层环流，三相环流差值符合线路正常运行标准，无异常突增；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全线外护套分段绝缘测试，确认除本次修复点外无新增隐蔽破损；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试验全程业主旁站，所有试验波形、数据、照片整理入竣工资料。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 竣工外观验收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修复段圆整平滑，分层缠绕无褶皱、开裂、脱胶；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保护管浇筑密实、路面完整，现场无弃土、建筑垃圾遗留；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电缆路径标识、警示桩恢复到位。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第七章 安全文明施工要求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施工前编制专项有限空间作业方案、电缆动火（封铅 / 氩弧焊）专项方案、交通疏导方案，报业主审批；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沟槽周边连续硬质围挡，夜间警示灯、反光标识齐全；土方全覆盖防尘网；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动火作业配备灭火器材，远离电缆绝缘层，专人监护；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施工废水、泥浆集中沉淀处理，不得直排市政管网；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施工全过程影像留存：开挖前、电缆顶升、铝护套修复、分层包覆、保护管复原、试验全过程拍照录像。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第八章 工期、资料与质保要求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8.1 工期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中标单位需在合同签订后</w:t>
      </w:r>
      <w:r>
        <w:rPr>
          <w:rStyle w:val="133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3 个工作日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进场，整体修复、试验、场地复原总工期不超过 5 日历天；遇雨天、地下水位暴涨工期顺延需提前书面报备。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8.2 竣工资料移交（一式 4 份纸质 + 1 份电子档）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现场勘察记录、故障复测定位报告；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修复材料合格证、型式试验报告、出厂检测报告；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铝护套修复、外护套包覆全过程施工照片、视频；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保护管破除 / 恢复隐蔽工程验收记录；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修复前后外护套绝缘电阻、直流耐压、火花试验完整试验报告；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竣工竣工图（标注修复点位、长度、修复工艺）；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弃渣外运处置凭证、场地复原验收单。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8.3 质保期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整体修复工程质保</w:t>
      </w:r>
      <w:r>
        <w:rPr>
          <w:rStyle w:val="133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Style w:val="133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年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，质保期内因本次修复工艺、材料质量造成外护套再次破损、护层环流异常，中标单位免费到场返工、更换全部材料并承担试验、开挖相关全部费用。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第九章 投标响应要求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投标文件内单独提供本项目专项施工方案，包含：故障复测方案、狭小埋管内电缆顶升防护方案、铝护套修复详细工艺、有限空间安全措施、试验方案；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列明修复材料品牌、型号、技术参数，附厂家检测报告；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列明自有设备清单、持证人员证件复印件、同类 110kV 电缆护套修复业绩合同；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明确弃渣外运、保护管复原、试验检测是否包含在综合报价内，不得单独增项收费；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承诺质保期、响应抢修时限（质保期故障 24h 内到场处置）。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Chars="0" w:right="0" w:right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0" w:firstLineChars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第十章 罚则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未按工艺分层修复铝护套 / 外护套，试验不合格，无条件返工，工期不予顺延；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野蛮开挖造成电缆二次损伤，由中标单位承担全部修复、停电损失；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逾期完工每日按合同总价 0.5% 扣除违约金；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竣工资料缺失、试验数据不全，不予竣工验收、不予结算尾款。</w:t>
      </w:r>
    </w:p>
    <w:p>
      <w:pPr>
        <w:pStyle w:val="19"/>
        <w:bidi w:val="0"/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2240" w:h="15840"/>
      <w:pgMar w:top="1134" w:right="1417" w:bottom="1134" w:left="1417" w:header="851" w:footer="1417" w:gutter="0"/>
      <w:pgNumType w:fmt="decimal" w:start="1"/>
      <w:cols w:space="720" w:num="1"/>
      <w:docGrid w:type="linesAndChars" w:linePitch="534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4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24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  <w:r>
      <w:rPr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4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24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887522"/>
    <w:multiLevelType w:val="singleLevel"/>
    <w:tmpl w:val="A288752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33815EB"/>
    <w:multiLevelType w:val="singleLevel"/>
    <w:tmpl w:val="A33815E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C37283C9"/>
    <w:multiLevelType w:val="singleLevel"/>
    <w:tmpl w:val="C37283C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C4184085"/>
    <w:multiLevelType w:val="singleLevel"/>
    <w:tmpl w:val="C418408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C9FD3B02"/>
    <w:multiLevelType w:val="singleLevel"/>
    <w:tmpl w:val="C9FD3B0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D340F957"/>
    <w:multiLevelType w:val="singleLevel"/>
    <w:tmpl w:val="D340F95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070CBA8"/>
    <w:multiLevelType w:val="singleLevel"/>
    <w:tmpl w:val="F070CBA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F53BC949"/>
    <w:multiLevelType w:val="singleLevel"/>
    <w:tmpl w:val="F53BC9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FC1D14EB"/>
    <w:multiLevelType w:val="singleLevel"/>
    <w:tmpl w:val="FC1D14E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0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11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12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13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4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5">
    <w:nsid w:val="00AAC672"/>
    <w:multiLevelType w:val="singleLevel"/>
    <w:tmpl w:val="00AAC6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">
    <w:nsid w:val="03D586F8"/>
    <w:multiLevelType w:val="singleLevel"/>
    <w:tmpl w:val="03D586F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0C57D09A"/>
    <w:multiLevelType w:val="singleLevel"/>
    <w:tmpl w:val="0C57D09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">
    <w:nsid w:val="110EF350"/>
    <w:multiLevelType w:val="singleLevel"/>
    <w:tmpl w:val="110EF3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193FF244"/>
    <w:multiLevelType w:val="singleLevel"/>
    <w:tmpl w:val="193FF24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">
    <w:nsid w:val="309ECC5D"/>
    <w:multiLevelType w:val="singleLevel"/>
    <w:tmpl w:val="309ECC5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">
    <w:nsid w:val="3445A1A9"/>
    <w:multiLevelType w:val="singleLevel"/>
    <w:tmpl w:val="3445A1A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41215F19"/>
    <w:multiLevelType w:val="singleLevel"/>
    <w:tmpl w:val="41215F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">
    <w:nsid w:val="47F5C50D"/>
    <w:multiLevelType w:val="singleLevel"/>
    <w:tmpl w:val="47F5C50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">
    <w:nsid w:val="5A8F428A"/>
    <w:multiLevelType w:val="singleLevel"/>
    <w:tmpl w:val="5A8F42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5">
    <w:nsid w:val="7C26F0AE"/>
    <w:multiLevelType w:val="singleLevel"/>
    <w:tmpl w:val="7C26F0A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11"/>
  </w:num>
  <w:num w:numId="5">
    <w:abstractNumId w:val="9"/>
  </w:num>
  <w:num w:numId="6">
    <w:abstractNumId w:val="12"/>
  </w:num>
  <w:num w:numId="7">
    <w:abstractNumId w:val="25"/>
  </w:num>
  <w:num w:numId="8">
    <w:abstractNumId w:val="15"/>
  </w:num>
  <w:num w:numId="9">
    <w:abstractNumId w:val="21"/>
  </w:num>
  <w:num w:numId="10">
    <w:abstractNumId w:val="17"/>
  </w:num>
  <w:num w:numId="11">
    <w:abstractNumId w:val="19"/>
  </w:num>
  <w:num w:numId="12">
    <w:abstractNumId w:val="5"/>
  </w:num>
  <w:num w:numId="13">
    <w:abstractNumId w:val="0"/>
  </w:num>
  <w:num w:numId="14">
    <w:abstractNumId w:val="1"/>
  </w:num>
  <w:num w:numId="15">
    <w:abstractNumId w:val="16"/>
  </w:num>
  <w:num w:numId="16">
    <w:abstractNumId w:val="4"/>
  </w:num>
  <w:num w:numId="17">
    <w:abstractNumId w:val="6"/>
  </w:num>
  <w:num w:numId="18">
    <w:abstractNumId w:val="22"/>
  </w:num>
  <w:num w:numId="19">
    <w:abstractNumId w:val="20"/>
  </w:num>
  <w:num w:numId="20">
    <w:abstractNumId w:val="2"/>
  </w:num>
  <w:num w:numId="21">
    <w:abstractNumId w:val="7"/>
  </w:num>
  <w:num w:numId="22">
    <w:abstractNumId w:val="3"/>
  </w:num>
  <w:num w:numId="23">
    <w:abstractNumId w:val="24"/>
  </w:num>
  <w:num w:numId="24">
    <w:abstractNumId w:val="23"/>
  </w:num>
  <w:num w:numId="25">
    <w:abstractNumId w:val="8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evenAndOddHeaders w:val="1"/>
  <w:drawingGridHorizontalSpacing w:val="164"/>
  <w:drawingGridVerticalSpacing w:val="267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25745"/>
    <w:rsid w:val="00FC693F"/>
    <w:rsid w:val="061D76FA"/>
    <w:rsid w:val="08053EFD"/>
    <w:rsid w:val="0A366841"/>
    <w:rsid w:val="16A30F3E"/>
    <w:rsid w:val="174E42BE"/>
    <w:rsid w:val="260A21E7"/>
    <w:rsid w:val="2DC518B5"/>
    <w:rsid w:val="3B2369A6"/>
    <w:rsid w:val="4C1D78CA"/>
    <w:rsid w:val="51160491"/>
    <w:rsid w:val="574809A8"/>
    <w:rsid w:val="5E5D4B5E"/>
    <w:rsid w:val="6FF8746C"/>
    <w:rsid w:val="71A42E59"/>
    <w:rsid w:val="7993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next w:val="1"/>
    <w:qFormat/>
    <w:uiPriority w:val="9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4">
    <w:name w:val="heading 2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5">
    <w:name w:val="heading 3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4"/>
    <w:next w:val="1"/>
    <w:semiHidden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5"/>
    <w:next w:val="1"/>
    <w:semiHidden/>
    <w:unhideWhenUsed/>
    <w:qFormat/>
    <w:uiPriority w:val="9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6"/>
    <w:next w:val="1"/>
    <w:semiHidden/>
    <w:unhideWhenUsed/>
    <w:qFormat/>
    <w:uiPriority w:val="9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7"/>
    <w:next w:val="1"/>
    <w:semiHidden/>
    <w:unhideWhenUsed/>
    <w:qFormat/>
    <w:uiPriority w:val="9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8"/>
    <w:next w:val="1"/>
    <w:semiHidden/>
    <w:unhideWhenUsed/>
    <w:qFormat/>
    <w:uiPriority w:val="9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1">
    <w:name w:val="heading 9"/>
    <w:next w:val="1"/>
    <w:semiHidden/>
    <w:unhideWhenUsed/>
    <w:qFormat/>
    <w:uiPriority w:val="9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link w:val="144"/>
    <w:unhideWhenUsed/>
    <w:qFormat/>
    <w:uiPriority w:val="99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next w:val="1"/>
    <w:qFormat/>
    <w:uiPriority w:val="11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next w:val="1"/>
    <w:link w:val="141"/>
    <w:qFormat/>
    <w:uiPriority w:val="1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link w:val="31"/>
    <w:qFormat/>
    <w:uiPriority w:val="10"/>
    <w:rPr>
      <w:rFonts w:ascii="MS Mincho" w:hAnsi="MS Mincho" w:eastAsia="MS Mincho" w:cs="MS Mincho"/>
      <w:sz w:val="44"/>
      <w:szCs w:val="44"/>
      <w:lang w:val="zh-CN"/>
    </w:rPr>
  </w:style>
  <w:style w:type="character" w:customStyle="1" w:styleId="142">
    <w:name w:val="Subtitle Char"/>
    <w:basedOn w:val="13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link w:val="19"/>
    <w:qFormat/>
    <w:uiPriority w:val="99"/>
    <w:rPr>
      <w:rFonts w:ascii="Times New Roman" w:hAnsi="Times New Roman" w:eastAsia="MS Mincho" w:cs="MS Mincho"/>
      <w:spacing w:val="-6"/>
      <w:sz w:val="32"/>
      <w:szCs w:val="32"/>
    </w:rPr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710</Words>
  <Characters>894</Characters>
  <Lines>0</Lines>
  <Paragraphs>0</Paragraphs>
  <TotalTime>34</TotalTime>
  <ScaleCrop>false</ScaleCrop>
  <LinksUpToDate>false</LinksUpToDate>
  <CharactersWithSpaces>942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xieliujun1.sbd</cp:lastModifiedBy>
  <dcterms:modified xsi:type="dcterms:W3CDTF">2026-06-16T08:53:55Z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eyJoZGlkIjoiMjY5YjU3ZmE4ZmYyZDMxZGVlZTU1YWYzZjZmMDU5YjQiLCJ1c2VySWQiOiIzNjExNTk2OTkifQ==</vt:lpwstr>
  </property>
  <property fmtid="{D5CDD505-2E9C-101B-9397-08002B2CF9AE}" pid="3" name="KSOProductBuildVer">
    <vt:lpwstr>2052-11.8.2.12085</vt:lpwstr>
  </property>
  <property fmtid="{D5CDD505-2E9C-101B-9397-08002B2CF9AE}" pid="4" name="ICV">
    <vt:lpwstr>B83995A3F80C4617B93E54FB9D046FB6</vt:lpwstr>
  </property>
</Properties>
</file>