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6C19BB">
      <w:pPr>
        <w:jc w:val="center"/>
        <w:rPr>
          <w:rFonts w:hint="eastAsia" w:hAnsi="宋体"/>
          <w:b/>
          <w:sz w:val="30"/>
          <w:szCs w:val="30"/>
        </w:rPr>
      </w:pPr>
      <w:bookmarkStart w:id="0" w:name="_Toc8548_WPSOffice_Level1"/>
      <w:r>
        <w:rPr>
          <w:position w:val="-91"/>
        </w:rPr>
        <w:drawing>
          <wp:anchor distT="0" distB="0" distL="114300" distR="114300" simplePos="0" relativeHeight="251659264" behindDoc="1" locked="0" layoutInCell="1" allowOverlap="1">
            <wp:simplePos x="0" y="0"/>
            <wp:positionH relativeFrom="column">
              <wp:posOffset>-1143000</wp:posOffset>
            </wp:positionH>
            <wp:positionV relativeFrom="paragraph">
              <wp:posOffset>-902970</wp:posOffset>
            </wp:positionV>
            <wp:extent cx="7559675" cy="2893060"/>
            <wp:effectExtent l="0" t="0" r="3175" b="2540"/>
            <wp:wrapNone/>
            <wp:docPr id="1" name="IM 2"/>
            <wp:cNvGraphicFramePr/>
            <a:graphic xmlns:a="http://schemas.openxmlformats.org/drawingml/2006/main">
              <a:graphicData uri="http://schemas.openxmlformats.org/drawingml/2006/picture">
                <pic:pic xmlns:pic="http://schemas.openxmlformats.org/drawingml/2006/picture">
                  <pic:nvPicPr>
                    <pic:cNvPr id="1" name="IM 2"/>
                    <pic:cNvPicPr/>
                  </pic:nvPicPr>
                  <pic:blipFill>
                    <a:blip r:embed="rId4"/>
                    <a:stretch>
                      <a:fillRect/>
                    </a:stretch>
                  </pic:blipFill>
                  <pic:spPr>
                    <a:xfrm>
                      <a:off x="0" y="0"/>
                      <a:ext cx="7559675" cy="2893060"/>
                    </a:xfrm>
                    <a:prstGeom prst="rect">
                      <a:avLst/>
                    </a:prstGeom>
                    <a:noFill/>
                    <a:ln>
                      <a:noFill/>
                    </a:ln>
                  </pic:spPr>
                </pic:pic>
              </a:graphicData>
            </a:graphic>
          </wp:anchor>
        </w:drawing>
      </w:r>
    </w:p>
    <w:p w14:paraId="24EA09E5">
      <w:pPr>
        <w:jc w:val="center"/>
        <w:rPr>
          <w:rFonts w:hint="eastAsia" w:hAnsi="宋体"/>
          <w:b/>
          <w:sz w:val="30"/>
          <w:szCs w:val="30"/>
        </w:rPr>
      </w:pPr>
    </w:p>
    <w:p w14:paraId="0002E627">
      <w:pPr>
        <w:jc w:val="center"/>
        <w:rPr>
          <w:rFonts w:hint="eastAsia" w:hAnsi="宋体"/>
          <w:b/>
          <w:sz w:val="30"/>
          <w:szCs w:val="30"/>
        </w:rPr>
      </w:pPr>
    </w:p>
    <w:p w14:paraId="2CBA6B1C">
      <w:pPr>
        <w:jc w:val="center"/>
        <w:rPr>
          <w:rFonts w:hint="eastAsia" w:hAnsi="宋体"/>
          <w:b/>
          <w:sz w:val="30"/>
          <w:szCs w:val="30"/>
        </w:rPr>
      </w:pPr>
    </w:p>
    <w:p w14:paraId="736EEC27">
      <w:pPr>
        <w:jc w:val="center"/>
        <w:rPr>
          <w:rFonts w:hint="eastAsia" w:hAnsi="宋体"/>
          <w:b/>
          <w:sz w:val="30"/>
          <w:szCs w:val="30"/>
        </w:rPr>
      </w:pPr>
    </w:p>
    <w:p w14:paraId="3ACFB3E9">
      <w:pPr>
        <w:jc w:val="center"/>
        <w:rPr>
          <w:rFonts w:hint="eastAsia" w:hAnsi="宋体"/>
          <w:b/>
          <w:sz w:val="30"/>
          <w:szCs w:val="30"/>
        </w:rPr>
      </w:pPr>
    </w:p>
    <w:p w14:paraId="293A6A53">
      <w:pPr>
        <w:pStyle w:val="4"/>
        <w:keepNext w:val="0"/>
        <w:keepLines w:val="0"/>
        <w:pageBreakBefore w:val="0"/>
        <w:widowControl w:val="0"/>
        <w:kinsoku/>
        <w:wordWrap/>
        <w:overflowPunct/>
        <w:topLinePunct w:val="0"/>
        <w:autoSpaceDE/>
        <w:autoSpaceDN/>
        <w:bidi w:val="0"/>
        <w:adjustRightInd/>
        <w:snapToGrid/>
        <w:spacing w:after="0" w:line="360" w:lineRule="auto"/>
        <w:ind w:left="51" w:right="0" w:hanging="51"/>
        <w:jc w:val="center"/>
        <w:textAlignment w:val="auto"/>
        <w:outlineLvl w:val="0"/>
        <w:rPr>
          <w:rFonts w:hint="eastAsia" w:hAnsi="宋体"/>
          <w:b/>
          <w:sz w:val="72"/>
          <w:szCs w:val="72"/>
        </w:rPr>
      </w:pPr>
    </w:p>
    <w:p w14:paraId="4783075E">
      <w:pPr>
        <w:pStyle w:val="4"/>
        <w:keepNext w:val="0"/>
        <w:keepLines w:val="0"/>
        <w:pageBreakBefore w:val="0"/>
        <w:widowControl w:val="0"/>
        <w:kinsoku/>
        <w:wordWrap/>
        <w:overflowPunct/>
        <w:topLinePunct w:val="0"/>
        <w:autoSpaceDE/>
        <w:autoSpaceDN/>
        <w:bidi w:val="0"/>
        <w:adjustRightInd/>
        <w:snapToGrid/>
        <w:spacing w:after="0" w:line="360" w:lineRule="auto"/>
        <w:ind w:left="51" w:right="0" w:hanging="51"/>
        <w:jc w:val="center"/>
        <w:textAlignment w:val="auto"/>
        <w:outlineLvl w:val="0"/>
        <w:rPr>
          <w:rFonts w:hint="eastAsia" w:hAnsi="宋体"/>
          <w:b/>
          <w:sz w:val="72"/>
          <w:szCs w:val="72"/>
        </w:rPr>
      </w:pPr>
    </w:p>
    <w:p w14:paraId="7CC27754">
      <w:pPr>
        <w:pStyle w:val="4"/>
        <w:keepNext w:val="0"/>
        <w:keepLines w:val="0"/>
        <w:pageBreakBefore w:val="0"/>
        <w:widowControl w:val="0"/>
        <w:kinsoku/>
        <w:wordWrap/>
        <w:overflowPunct/>
        <w:topLinePunct w:val="0"/>
        <w:autoSpaceDE/>
        <w:autoSpaceDN/>
        <w:bidi w:val="0"/>
        <w:adjustRightInd/>
        <w:snapToGrid/>
        <w:spacing w:after="0" w:line="360" w:lineRule="auto"/>
        <w:ind w:left="51" w:right="0" w:hanging="51"/>
        <w:jc w:val="center"/>
        <w:textAlignment w:val="auto"/>
        <w:outlineLvl w:val="0"/>
        <w:rPr>
          <w:sz w:val="72"/>
          <w:szCs w:val="72"/>
        </w:rPr>
      </w:pPr>
      <w:r>
        <w:rPr>
          <w:rFonts w:hint="eastAsia" w:hAnsi="宋体"/>
          <w:b/>
          <w:sz w:val="72"/>
          <w:szCs w:val="72"/>
          <w:lang w:val="en-US" w:eastAsia="zh-CN"/>
        </w:rPr>
        <w:t>“基于虚拟电厂平台的台区储能"承载力-调控-电能质量"优化解决方案”项目科学技术成果鉴定</w:t>
      </w:r>
      <w:r>
        <w:rPr>
          <w:rFonts w:hint="eastAsia" w:hAnsi="宋体"/>
          <w:b/>
          <w:sz w:val="72"/>
          <w:szCs w:val="72"/>
        </w:rPr>
        <w:t>技术方案</w:t>
      </w:r>
    </w:p>
    <w:p w14:paraId="6EFF809F">
      <w:pPr>
        <w:spacing w:line="268" w:lineRule="auto"/>
        <w:rPr>
          <w:rFonts w:ascii="Arial"/>
          <w:sz w:val="21"/>
        </w:rPr>
      </w:pPr>
    </w:p>
    <w:p w14:paraId="7F0B029F">
      <w:pPr>
        <w:spacing w:line="269" w:lineRule="auto"/>
        <w:rPr>
          <w:rFonts w:ascii="Arial"/>
          <w:sz w:val="21"/>
        </w:rPr>
      </w:pPr>
    </w:p>
    <w:p w14:paraId="0141E153">
      <w:pPr>
        <w:jc w:val="center"/>
        <w:rPr>
          <w:rFonts w:hint="eastAsia" w:hAnsi="宋体"/>
          <w:b/>
          <w:sz w:val="30"/>
          <w:szCs w:val="30"/>
        </w:rPr>
      </w:pPr>
    </w:p>
    <w:p w14:paraId="56F5467A">
      <w:pPr>
        <w:jc w:val="center"/>
        <w:rPr>
          <w:rFonts w:hint="eastAsia" w:hAnsi="宋体"/>
          <w:b/>
          <w:sz w:val="30"/>
          <w:szCs w:val="30"/>
        </w:rPr>
      </w:pPr>
    </w:p>
    <w:p w14:paraId="635514DC">
      <w:pPr>
        <w:jc w:val="center"/>
        <w:rPr>
          <w:rFonts w:hint="eastAsia" w:hAnsi="宋体"/>
          <w:b/>
          <w:sz w:val="30"/>
          <w:szCs w:val="30"/>
        </w:rPr>
      </w:pPr>
    </w:p>
    <w:p w14:paraId="2E4D0017">
      <w:pPr>
        <w:jc w:val="center"/>
        <w:rPr>
          <w:rFonts w:hint="eastAsia" w:hAnsi="宋体"/>
          <w:b/>
          <w:sz w:val="30"/>
          <w:szCs w:val="30"/>
        </w:rPr>
      </w:pPr>
    </w:p>
    <w:p w14:paraId="3BFD3F99">
      <w:pPr>
        <w:jc w:val="center"/>
        <w:rPr>
          <w:rFonts w:hint="eastAsia" w:hAnsi="宋体"/>
          <w:b/>
          <w:sz w:val="30"/>
          <w:szCs w:val="30"/>
        </w:rPr>
      </w:pPr>
    </w:p>
    <w:p w14:paraId="1514E5FF">
      <w:pPr>
        <w:jc w:val="center"/>
        <w:rPr>
          <w:rFonts w:hint="eastAsia" w:hAnsi="宋体"/>
          <w:b/>
          <w:sz w:val="30"/>
          <w:szCs w:val="30"/>
        </w:rPr>
      </w:pPr>
    </w:p>
    <w:p w14:paraId="25766C99">
      <w:pPr>
        <w:jc w:val="center"/>
        <w:rPr>
          <w:rFonts w:hint="eastAsia" w:hAnsi="宋体"/>
          <w:b/>
          <w:sz w:val="30"/>
          <w:szCs w:val="30"/>
        </w:rPr>
      </w:pPr>
    </w:p>
    <w:p w14:paraId="55845C95">
      <w:pPr>
        <w:jc w:val="center"/>
        <w:rPr>
          <w:rFonts w:hint="eastAsia" w:hAnsi="宋体"/>
          <w:b/>
          <w:sz w:val="30"/>
          <w:szCs w:val="30"/>
        </w:rPr>
      </w:pPr>
    </w:p>
    <w:p w14:paraId="5AFFBC27">
      <w:pPr>
        <w:jc w:val="center"/>
        <w:rPr>
          <w:rFonts w:hint="eastAsia" w:hAnsi="宋体"/>
          <w:b/>
          <w:sz w:val="30"/>
          <w:szCs w:val="30"/>
        </w:rPr>
      </w:pPr>
    </w:p>
    <w:p w14:paraId="79D0F6E7">
      <w:pPr>
        <w:jc w:val="center"/>
        <w:rPr>
          <w:rFonts w:ascii="宋体" w:cs="宋体"/>
          <w:b/>
          <w:bCs/>
          <w:kern w:val="0"/>
          <w:sz w:val="28"/>
          <w:szCs w:val="28"/>
        </w:rPr>
      </w:pPr>
      <w:r>
        <w:rPr>
          <w:rFonts w:hint="eastAsia" w:hAnsi="宋体"/>
          <w:b/>
          <w:sz w:val="30"/>
          <w:szCs w:val="30"/>
        </w:rPr>
        <w:t>“基于虚拟电厂平台的台区储能"承载力-调控-电能质量"优化解决方案”</w:t>
      </w:r>
      <w:r>
        <w:rPr>
          <w:rFonts w:hint="eastAsia" w:hAnsi="宋体"/>
          <w:b/>
          <w:sz w:val="30"/>
          <w:szCs w:val="30"/>
          <w:lang w:val="en-US" w:eastAsia="zh-CN"/>
        </w:rPr>
        <w:t>项目科学技术成果鉴定</w:t>
      </w:r>
      <w:r>
        <w:rPr>
          <w:rFonts w:hint="eastAsia" w:hAnsi="宋体"/>
          <w:b/>
          <w:sz w:val="30"/>
          <w:szCs w:val="30"/>
        </w:rPr>
        <w:t>技术方案</w:t>
      </w:r>
    </w:p>
    <w:bookmarkEnd w:id="0"/>
    <w:p w14:paraId="65984EC3">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0" w:leftChars="0"/>
        <w:jc w:val="left"/>
        <w:outlineLvl w:val="0"/>
        <w:rPr>
          <w:rFonts w:ascii="宋体" w:cs="宋体"/>
          <w:b/>
          <w:bCs/>
          <w:kern w:val="0"/>
          <w:sz w:val="28"/>
          <w:szCs w:val="28"/>
        </w:rPr>
      </w:pPr>
      <w:bookmarkStart w:id="1" w:name="_Toc7128_WPSOffice_Level1"/>
      <w:r>
        <w:rPr>
          <w:rFonts w:hint="eastAsia" w:ascii="宋体" w:cs="宋体"/>
          <w:b/>
          <w:bCs/>
          <w:kern w:val="0"/>
          <w:sz w:val="28"/>
          <w:szCs w:val="28"/>
          <w:lang w:val="en-US" w:eastAsia="zh-CN"/>
        </w:rPr>
        <w:t>1.</w:t>
      </w:r>
      <w:r>
        <w:rPr>
          <w:rFonts w:ascii="宋体" w:cs="宋体"/>
          <w:b/>
          <w:bCs/>
          <w:kern w:val="0"/>
          <w:sz w:val="28"/>
          <w:szCs w:val="28"/>
        </w:rPr>
        <w:t>项目概况</w:t>
      </w:r>
      <w:bookmarkEnd w:id="1"/>
    </w:p>
    <w:p w14:paraId="07D95C8C">
      <w:pPr>
        <w:spacing w:before="156" w:beforeLines="50" w:line="500" w:lineRule="exact"/>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本项目依托“基于自主可控大模型的多市场耦合交易智能决策虚拟电厂关键技术研究与示范应用”科技项目研究成果，针对配电台区分布式储能等可调资源参与电力市场的实际需求，研发基于虚拟电厂平台的台区储能优化解决方案。随着分布式光伏、储能、柔性负荷等资源在配电网侧广泛部署，亟需通过虚拟电厂（VPP）技术聚合海量台区侧可调资源，参与电力现货市场、辅助服务市场等多市场耦合交易，提升分布式资源的市场化运营效益。</w:t>
      </w:r>
    </w:p>
    <w:p w14:paraId="0622A881">
      <w:pPr>
        <w:spacing w:before="156" w:beforeLines="50" w:line="500" w:lineRule="exact"/>
        <w:ind w:firstLine="560" w:firstLineChars="200"/>
        <w:rPr>
          <w:rFonts w:hint="eastAsia" w:ascii="宋体" w:hAnsi="宋体" w:eastAsia="宋体" w:cs="宋体"/>
          <w:b w:val="0"/>
          <w:bCs w:val="0"/>
          <w:sz w:val="28"/>
          <w:szCs w:val="28"/>
        </w:rPr>
      </w:pPr>
      <w:r>
        <w:rPr>
          <w:rFonts w:hint="eastAsia" w:ascii="宋体" w:hAnsi="宋体" w:eastAsia="宋体" w:cs="宋体"/>
          <w:b w:val="0"/>
          <w:bCs w:val="0"/>
          <w:sz w:val="28"/>
          <w:szCs w:val="28"/>
        </w:rPr>
        <w:t>与此同时，台区储能系统作为配电网侧重要的灵活调节资源，在提升台区承载力、改善电能质量、促进光伏消纳等方面具有显著价值。本项目将台区储能的就地治理能力与虚拟电厂平台的市场化交易能力深度融合，实现“台区自治+虚拟电厂协同”的完整技术闭环。</w:t>
      </w:r>
    </w:p>
    <w:p w14:paraId="2FF186A3">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0" w:leftChars="0"/>
        <w:jc w:val="left"/>
        <w:outlineLvl w:val="0"/>
        <w:rPr>
          <w:rFonts w:hint="eastAsia" w:ascii="宋体" w:cs="宋体"/>
          <w:b/>
          <w:bCs/>
          <w:kern w:val="0"/>
          <w:sz w:val="28"/>
          <w:szCs w:val="28"/>
          <w:lang w:val="en-US" w:eastAsia="zh-CN"/>
        </w:rPr>
      </w:pPr>
      <w:r>
        <w:rPr>
          <w:rFonts w:hint="eastAsia" w:ascii="宋体" w:cs="宋体"/>
          <w:b/>
          <w:bCs/>
          <w:kern w:val="0"/>
          <w:sz w:val="28"/>
          <w:szCs w:val="28"/>
          <w:lang w:val="en-US" w:eastAsia="zh-CN"/>
        </w:rPr>
        <w:t>2.技术研发情况</w:t>
      </w:r>
    </w:p>
    <w:p w14:paraId="30089E9D">
      <w:pPr>
        <w:numPr>
          <w:numId w:val="0"/>
        </w:numPr>
        <w:spacing w:before="156" w:beforeLines="50" w:after="156" w:afterLines="50" w:line="500" w:lineRule="exact"/>
        <w:ind w:leftChars="0"/>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2.1</w:t>
      </w:r>
      <w:r>
        <w:rPr>
          <w:rFonts w:hint="eastAsia" w:ascii="宋体" w:hAnsi="宋体" w:eastAsia="宋体" w:cs="宋体"/>
          <w:b w:val="0"/>
          <w:bCs w:val="0"/>
          <w:sz w:val="28"/>
          <w:szCs w:val="28"/>
        </w:rPr>
        <w:t>虚拟电厂平台</w:t>
      </w:r>
      <w:r>
        <w:rPr>
          <w:rFonts w:hint="eastAsia" w:ascii="宋体" w:hAnsi="宋体" w:cs="宋体"/>
          <w:b w:val="0"/>
          <w:bCs w:val="0"/>
          <w:sz w:val="28"/>
          <w:szCs w:val="28"/>
          <w:lang w:val="en-US" w:eastAsia="zh-CN"/>
        </w:rPr>
        <w:t>基础功能开发</w:t>
      </w:r>
    </w:p>
    <w:p w14:paraId="1769FBED">
      <w:pPr>
        <w:spacing w:before="156" w:beforeLines="50" w:line="500" w:lineRule="exact"/>
        <w:ind w:firstLine="560" w:firstLineChars="200"/>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电价预测管理为虚拟电厂运营商参与电力市场提供决策支持，帮助其更好地适应电力市场的变化，优化资源配置，降低风险，提高运营经济效益，包含电价预测方案、市场数据维护、市场电价预测、电价预测分析4项功能子项。</w:t>
      </w:r>
    </w:p>
    <w:p w14:paraId="35971DC1">
      <w:pPr>
        <w:spacing w:before="156" w:beforeLines="50" w:line="500" w:lineRule="exact"/>
        <w:ind w:firstLine="560" w:firstLineChars="200"/>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市场交易管理为虚拟电厂运营商提供需求响应、辅助服务、现货多市场交易支持，包含可调能力评估、聚合协同优化、日前协同计划、交易需求管理、需求响应申报、备用容量申报、调频容量申报、现货交易申报、耦合交易申报、市场中标结果10项功能子项。</w:t>
      </w:r>
    </w:p>
    <w:p w14:paraId="3CDC1E0A">
      <w:pPr>
        <w:spacing w:before="156" w:beforeLines="50" w:line="500" w:lineRule="exact"/>
        <w:ind w:firstLine="560" w:firstLineChars="200"/>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平台响应监管为虚拟电厂运营商提供代理资源多层级在线监视、日前调度计划、日内调度指令可视化展示，日前、日内交易执行跟踪，包含资源负荷监视、日前调度计划、日前响应监视、日内协同调控、日内调控监视5项功能子项。</w:t>
      </w:r>
    </w:p>
    <w:p w14:paraId="49B924BD">
      <w:pPr>
        <w:spacing w:before="156" w:beforeLines="50" w:line="500" w:lineRule="exact"/>
        <w:ind w:firstLine="560" w:firstLineChars="200"/>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响应收益结算为虚拟电厂运营商提供交易结算结果计算及分析，包含日清结果管理、用户分摊结算、月结账单查询、响应分析评价4项功能子项。</w:t>
      </w:r>
    </w:p>
    <w:p w14:paraId="3AFDEBF5">
      <w:pPr>
        <w:spacing w:before="156" w:beforeLines="50" w:line="500" w:lineRule="exact"/>
        <w:ind w:firstLine="560" w:firstLineChars="200"/>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运营统计分析为虚拟电厂运营商提供多市场运营数据统计及分析，为未来运营提供辅助支持，包含虚拟电厂总览、资源运行统计、市场运营统计3项功能子项。</w:t>
      </w:r>
    </w:p>
    <w:p w14:paraId="72A12709">
      <w:pPr>
        <w:numPr>
          <w:numId w:val="0"/>
        </w:numPr>
        <w:spacing w:before="156" w:beforeLines="50" w:after="156" w:afterLines="50" w:line="500" w:lineRule="exact"/>
        <w:ind w:leftChars="0"/>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2.2</w:t>
      </w:r>
      <w:r>
        <w:rPr>
          <w:rFonts w:hint="eastAsia" w:ascii="宋体" w:hAnsi="宋体" w:eastAsia="宋体" w:cs="宋体"/>
          <w:b w:val="0"/>
          <w:bCs w:val="0"/>
          <w:sz w:val="28"/>
          <w:szCs w:val="28"/>
        </w:rPr>
        <w:t>虚拟电厂可调能力挖掘算法开发</w:t>
      </w:r>
    </w:p>
    <w:p w14:paraId="20ED7CE9">
      <w:pPr>
        <w:spacing w:before="156" w:beforeLines="50" w:line="500" w:lineRule="exact"/>
        <w:ind w:firstLine="560" w:firstLineChars="200"/>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2.2.1</w:t>
      </w:r>
      <w:r>
        <w:rPr>
          <w:rFonts w:hint="default" w:ascii="宋体" w:hAnsi="宋体" w:cs="宋体"/>
          <w:b w:val="0"/>
          <w:bCs w:val="0"/>
          <w:sz w:val="28"/>
          <w:szCs w:val="28"/>
          <w:lang w:val="en-US" w:eastAsia="zh-CN"/>
        </w:rPr>
        <w:t>可调能力挖掘算法</w:t>
      </w:r>
    </w:p>
    <w:p w14:paraId="417E76EA">
      <w:pPr>
        <w:spacing w:before="156" w:beforeLines="50" w:line="500" w:lineRule="exact"/>
        <w:ind w:firstLine="560" w:firstLineChars="200"/>
        <w:rPr>
          <w:rFonts w:hint="default" w:ascii="宋体" w:hAnsi="宋体" w:cs="宋体"/>
          <w:b w:val="0"/>
          <w:bCs w:val="0"/>
          <w:sz w:val="28"/>
          <w:szCs w:val="28"/>
          <w:lang w:val="en-US" w:eastAsia="zh-CN"/>
        </w:rPr>
      </w:pPr>
      <w:r>
        <w:rPr>
          <w:rFonts w:hint="default" w:ascii="宋体" w:hAnsi="宋体" w:cs="宋体"/>
          <w:b w:val="0"/>
          <w:bCs w:val="0"/>
          <w:sz w:val="28"/>
          <w:szCs w:val="28"/>
          <w:lang w:val="en-US" w:eastAsia="zh-CN"/>
        </w:rPr>
        <w:t>异质资源聚合模型对典型分布式光伏、风电、柔性负荷、储能的物理特性进行了分析和建模，为资源聚合方法的研究提供基础。台区储能系统作为具备双向调节能力的优质可调资源，在聚合模型中考虑其充放电效率、SOC约束、响应速度等关键参数。</w:t>
      </w:r>
    </w:p>
    <w:p w14:paraId="4E81B9B1">
      <w:pPr>
        <w:spacing w:before="156" w:beforeLines="50" w:line="500" w:lineRule="exact"/>
        <w:ind w:firstLine="560" w:firstLineChars="200"/>
        <w:rPr>
          <w:rFonts w:hint="default" w:ascii="宋体" w:hAnsi="宋体" w:cs="宋体"/>
          <w:b w:val="0"/>
          <w:bCs w:val="0"/>
          <w:sz w:val="28"/>
          <w:szCs w:val="28"/>
          <w:lang w:val="en-US" w:eastAsia="zh-CN"/>
        </w:rPr>
      </w:pPr>
      <w:r>
        <w:rPr>
          <w:rFonts w:hint="default" w:ascii="宋体" w:hAnsi="宋体" w:cs="宋体"/>
          <w:b w:val="0"/>
          <w:bCs w:val="0"/>
          <w:sz w:val="28"/>
          <w:szCs w:val="28"/>
          <w:lang w:val="en-US" w:eastAsia="zh-CN"/>
        </w:rPr>
        <w:t>负荷预测通过多维度动静数据结合的方式对负荷开展预测并对可调能力进行评估，根据可调能力的特征进行多时间尺度聚合分类，形成秒级、分钟级、小时级的可调资源，满足不同电力市场不同时间尺度调节的需求。</w:t>
      </w:r>
    </w:p>
    <w:p w14:paraId="3627DF79">
      <w:pPr>
        <w:spacing w:before="156" w:beforeLines="50" w:line="500" w:lineRule="exact"/>
        <w:ind w:firstLine="560" w:firstLineChars="200"/>
        <w:rPr>
          <w:rFonts w:hint="default" w:ascii="宋体" w:hAnsi="宋体" w:cs="宋体"/>
          <w:b w:val="0"/>
          <w:bCs w:val="0"/>
          <w:sz w:val="28"/>
          <w:szCs w:val="28"/>
          <w:lang w:val="en-US" w:eastAsia="zh-CN"/>
        </w:rPr>
      </w:pPr>
      <w:r>
        <w:rPr>
          <w:rFonts w:hint="default" w:ascii="宋体" w:hAnsi="宋体" w:cs="宋体"/>
          <w:b w:val="0"/>
          <w:bCs w:val="0"/>
          <w:sz w:val="28"/>
          <w:szCs w:val="28"/>
          <w:lang w:val="en-US" w:eastAsia="zh-CN"/>
        </w:rPr>
        <w:t>可调能力评估根据资源用户等级注册的基本信息，进行可调能力的评估和挖掘。资源聚合优化聚合运营商对当前可协调、调度的资源，形成预设的聚合方案，便于参与后续市场申报和交易。</w:t>
      </w:r>
    </w:p>
    <w:p w14:paraId="4C38D592">
      <w:pPr>
        <w:spacing w:before="156" w:beforeLines="50" w:line="500" w:lineRule="exact"/>
        <w:ind w:firstLine="560" w:firstLineChars="200"/>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2.2.2</w:t>
      </w:r>
      <w:r>
        <w:rPr>
          <w:rFonts w:hint="default" w:ascii="宋体" w:hAnsi="宋体" w:cs="宋体"/>
          <w:b w:val="0"/>
          <w:bCs w:val="0"/>
          <w:sz w:val="28"/>
          <w:szCs w:val="28"/>
          <w:lang w:val="en-US" w:eastAsia="zh-CN"/>
        </w:rPr>
        <w:t>电价预测模块</w:t>
      </w:r>
    </w:p>
    <w:p w14:paraId="34792E7E">
      <w:pPr>
        <w:spacing w:before="156" w:beforeLines="50" w:line="500" w:lineRule="exact"/>
        <w:ind w:firstLine="560" w:firstLineChars="200"/>
        <w:rPr>
          <w:rFonts w:hint="default" w:ascii="宋体" w:hAnsi="宋体" w:cs="宋体"/>
          <w:b w:val="0"/>
          <w:bCs w:val="0"/>
          <w:sz w:val="28"/>
          <w:szCs w:val="28"/>
          <w:lang w:val="en-US" w:eastAsia="zh-CN"/>
        </w:rPr>
      </w:pPr>
      <w:r>
        <w:rPr>
          <w:rFonts w:hint="default" w:ascii="宋体" w:hAnsi="宋体" w:cs="宋体"/>
          <w:b w:val="0"/>
          <w:bCs w:val="0"/>
          <w:sz w:val="28"/>
          <w:szCs w:val="28"/>
          <w:lang w:val="en-US" w:eastAsia="zh-CN"/>
        </w:rPr>
        <w:t>研发了面向多市场耦合交易的电价预测模块：基于LSTM-Transformer组合神经网络，接入历史电价序列、负荷数据、新能源出力、天气特征等多维数据，实现日前电价与实时电价的精准预测，日前预测精度&lt;10%。电价预测模块嵌入虚拟电厂交易决策系统，为台区储能充放电策略优化与多市场报价提供核心数据支撑。</w:t>
      </w:r>
    </w:p>
    <w:p w14:paraId="62B99535">
      <w:pPr>
        <w:spacing w:before="156" w:beforeLines="50" w:line="500" w:lineRule="exact"/>
        <w:ind w:firstLine="560" w:firstLineChars="200"/>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2.2.3</w:t>
      </w:r>
      <w:r>
        <w:rPr>
          <w:rFonts w:hint="default" w:ascii="宋体" w:hAnsi="宋体" w:cs="宋体"/>
          <w:b w:val="0"/>
          <w:bCs w:val="0"/>
          <w:sz w:val="28"/>
          <w:szCs w:val="28"/>
          <w:lang w:val="en-US" w:eastAsia="zh-CN"/>
        </w:rPr>
        <w:t>多市场耦合交易决策算法</w:t>
      </w:r>
    </w:p>
    <w:p w14:paraId="1C45DE50">
      <w:pPr>
        <w:spacing w:before="156" w:beforeLines="50" w:line="500" w:lineRule="exact"/>
        <w:ind w:firstLine="560" w:firstLineChars="200"/>
        <w:rPr>
          <w:rFonts w:hint="default" w:ascii="宋体" w:hAnsi="宋体" w:cs="宋体"/>
          <w:b w:val="0"/>
          <w:bCs w:val="0"/>
          <w:sz w:val="28"/>
          <w:szCs w:val="28"/>
          <w:lang w:val="en-US" w:eastAsia="zh-CN"/>
        </w:rPr>
      </w:pPr>
      <w:r>
        <w:rPr>
          <w:rFonts w:hint="default" w:ascii="宋体" w:hAnsi="宋体" w:cs="宋体"/>
          <w:b w:val="0"/>
          <w:bCs w:val="0"/>
          <w:sz w:val="28"/>
          <w:szCs w:val="28"/>
          <w:lang w:val="en-US" w:eastAsia="zh-CN"/>
        </w:rPr>
        <w:t>多类型市场的收益算法：研究并构建虚拟电厂参与电能量市场和调频辅助服务市场的收益模型，考虑虚拟电厂自身运行约束、调节能力的基础上，对参与不同市场的虚拟电厂进行建模，实现其收益最大化。</w:t>
      </w:r>
    </w:p>
    <w:p w14:paraId="0E608EE3">
      <w:pPr>
        <w:spacing w:before="156" w:beforeLines="50" w:line="500" w:lineRule="exact"/>
        <w:ind w:firstLine="560" w:firstLineChars="200"/>
        <w:rPr>
          <w:rFonts w:hint="default" w:ascii="宋体" w:hAnsi="宋体" w:cs="宋体"/>
          <w:b w:val="0"/>
          <w:bCs w:val="0"/>
          <w:sz w:val="28"/>
          <w:szCs w:val="28"/>
          <w:lang w:val="en-US" w:eastAsia="zh-CN"/>
        </w:rPr>
      </w:pPr>
      <w:r>
        <w:rPr>
          <w:rFonts w:hint="default" w:ascii="宋体" w:hAnsi="宋体" w:cs="宋体"/>
          <w:b w:val="0"/>
          <w:bCs w:val="0"/>
          <w:sz w:val="28"/>
          <w:szCs w:val="28"/>
          <w:lang w:val="en-US" w:eastAsia="zh-CN"/>
        </w:rPr>
        <w:t>耦合交易申报算法：根据参与不同市场得出的不同收益数据，辅助分析不同方案的利弊，最终根据需要选择不同的申报方案参与市场交易。</w:t>
      </w:r>
    </w:p>
    <w:p w14:paraId="1F6CE6E7">
      <w:pPr>
        <w:spacing w:before="156" w:beforeLines="50" w:line="500" w:lineRule="exact"/>
        <w:ind w:firstLine="560" w:firstLineChars="200"/>
        <w:rPr>
          <w:rFonts w:hint="default" w:ascii="宋体" w:hAnsi="宋体" w:cs="宋体"/>
          <w:b w:val="0"/>
          <w:bCs w:val="0"/>
          <w:sz w:val="28"/>
          <w:szCs w:val="28"/>
          <w:lang w:val="en-US" w:eastAsia="zh-CN"/>
        </w:rPr>
      </w:pPr>
      <w:r>
        <w:rPr>
          <w:rFonts w:hint="default" w:ascii="宋体" w:hAnsi="宋体" w:cs="宋体"/>
          <w:b w:val="0"/>
          <w:bCs w:val="0"/>
          <w:sz w:val="28"/>
          <w:szCs w:val="28"/>
          <w:lang w:val="en-US" w:eastAsia="zh-CN"/>
        </w:rPr>
        <w:t>虚拟电厂决策算法：虚拟电厂作为独立主体参与电能量市场、辅助服务市场，协调自身在两类市场上的竞标容量，在电能量市场进行申报电量、电价的同时在辅助服务市场申报容量、里程、价格等，同时考虑可调节负荷运行成本、储能运行成本、运营商运行成本，力求自身效益最大化。</w:t>
      </w:r>
    </w:p>
    <w:p w14:paraId="049B68D6">
      <w:pPr>
        <w:numPr>
          <w:numId w:val="0"/>
        </w:numPr>
        <w:spacing w:before="156" w:beforeLines="50" w:after="156" w:afterLines="50" w:line="500" w:lineRule="exact"/>
        <w:ind w:leftChars="0"/>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2.3</w:t>
      </w:r>
      <w:r>
        <w:rPr>
          <w:rFonts w:hint="eastAsia" w:ascii="宋体" w:hAnsi="宋体" w:eastAsia="宋体" w:cs="宋体"/>
          <w:b w:val="0"/>
          <w:bCs w:val="0"/>
          <w:sz w:val="28"/>
          <w:szCs w:val="28"/>
        </w:rPr>
        <w:t>虚拟电厂智能决策算法开发</w:t>
      </w:r>
    </w:p>
    <w:p w14:paraId="7267993B">
      <w:pPr>
        <w:spacing w:before="156" w:beforeLines="50" w:line="500" w:lineRule="exact"/>
        <w:ind w:firstLine="560" w:firstLineChars="200"/>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多类型市场的收益算法作用于虚拟电厂作为聚合分布式能源的管理系统，参与电力市场是其主要业务和获利方式，需要研究并构建虚拟电厂参与电能量市场和调频辅助服务市场的收益模型，考虑虚拟电厂自身运行约束、调节能力的基础上，对参与不同市场的虚拟电厂进行建模，实现其收益最大化。</w:t>
      </w:r>
    </w:p>
    <w:p w14:paraId="00465312">
      <w:pPr>
        <w:spacing w:before="156" w:beforeLines="50" w:line="500" w:lineRule="exact"/>
        <w:ind w:firstLine="560" w:firstLineChars="200"/>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耦合交易申报算法根据参与不同市场得出的不同收益数据，辅助分析不同方案的利弊，最终根据需要选择不同的申报方案参与市场交易。</w:t>
      </w:r>
    </w:p>
    <w:p w14:paraId="3E61BEA2">
      <w:pPr>
        <w:spacing w:before="156" w:beforeLines="50" w:line="500" w:lineRule="exact"/>
        <w:ind w:firstLine="560" w:firstLineChars="200"/>
        <w:rPr>
          <w:rFonts w:hint="default" w:ascii="宋体" w:hAnsi="宋体" w:cs="宋体"/>
          <w:b w:val="0"/>
          <w:bCs w:val="0"/>
          <w:sz w:val="28"/>
          <w:szCs w:val="28"/>
          <w:lang w:val="en-US" w:eastAsia="zh-CN"/>
        </w:rPr>
      </w:pPr>
      <w:r>
        <w:rPr>
          <w:rFonts w:hint="default" w:ascii="宋体" w:hAnsi="宋体" w:cs="宋体"/>
          <w:b w:val="0"/>
          <w:bCs w:val="0"/>
          <w:sz w:val="28"/>
          <w:szCs w:val="28"/>
          <w:lang w:val="en-US" w:eastAsia="zh-CN"/>
        </w:rPr>
        <w:t>虚拟电厂决策算法</w:t>
      </w:r>
      <w:r>
        <w:rPr>
          <w:rFonts w:hint="eastAsia" w:ascii="宋体" w:hAnsi="宋体" w:cs="宋体"/>
          <w:b w:val="0"/>
          <w:bCs w:val="0"/>
          <w:sz w:val="28"/>
          <w:szCs w:val="28"/>
          <w:lang w:val="en-US" w:eastAsia="zh-CN"/>
        </w:rPr>
        <w:t>使得虚拟电厂作为独立主体参与电能量市场、辅助服务市场，一方面虚拟电厂是以利益为导向的聚合机制，另一方面电能量市场与辅助服务市场具有关联性，因此虚拟电厂需要协调自身在两类市场上的竞标容量，在电能量市场进行申报电量、电价的同时在辅助服务市场申报容量、里程、价格等，同时考虑可调节负荷运行成本、储能运行成本、运营商运行成本，力求自身效益最大化。</w:t>
      </w:r>
    </w:p>
    <w:p w14:paraId="7A90BD19">
      <w:pPr>
        <w:numPr>
          <w:numId w:val="0"/>
        </w:numPr>
        <w:spacing w:before="156" w:beforeLines="50" w:after="156" w:afterLines="50" w:line="500" w:lineRule="exact"/>
        <w:ind w:leftChars="0"/>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2.4</w:t>
      </w:r>
      <w:r>
        <w:rPr>
          <w:rFonts w:hint="eastAsia" w:ascii="宋体" w:hAnsi="宋体" w:eastAsia="宋体" w:cs="宋体"/>
          <w:b w:val="0"/>
          <w:bCs w:val="0"/>
          <w:sz w:val="28"/>
          <w:szCs w:val="28"/>
        </w:rPr>
        <w:t>虚拟电厂领域大模型及智能助手开发</w:t>
      </w:r>
    </w:p>
    <w:p w14:paraId="4132E4CA">
      <w:pPr>
        <w:spacing w:before="156" w:beforeLines="50" w:line="500" w:lineRule="exact"/>
        <w:ind w:firstLine="560" w:firstLineChars="200"/>
        <w:rPr>
          <w:rFonts w:hint="eastAsia" w:ascii="宋体" w:hAnsi="宋体" w:cs="宋体"/>
          <w:b w:val="0"/>
          <w:bCs w:val="0"/>
          <w:sz w:val="28"/>
          <w:szCs w:val="28"/>
          <w:lang w:eastAsia="zh-CN"/>
        </w:rPr>
      </w:pPr>
      <w:r>
        <w:rPr>
          <w:rFonts w:hint="eastAsia" w:ascii="宋体" w:hAnsi="宋体" w:eastAsia="宋体" w:cs="宋体"/>
          <w:b w:val="0"/>
          <w:bCs w:val="0"/>
          <w:sz w:val="28"/>
          <w:szCs w:val="28"/>
        </w:rPr>
        <w:t>利用国产开源大模型，构建虚拟电厂调控运行垂直领域人工智能大模型，建立人工智能大模型对于虚拟电厂相关概念、知识、规则的语义理解能力，为资源负荷精准预测、聚合分析、交易决策、调度运行等智能算法的开发提供基础性框架技术，满足业务发展对技术和算法的持续性迭代更新需求</w:t>
      </w:r>
      <w:r>
        <w:rPr>
          <w:rFonts w:hint="eastAsia" w:ascii="宋体" w:hAnsi="宋体" w:cs="宋体"/>
          <w:b w:val="0"/>
          <w:bCs w:val="0"/>
          <w:sz w:val="28"/>
          <w:szCs w:val="28"/>
          <w:lang w:eastAsia="zh-CN"/>
        </w:rPr>
        <w:t>。</w:t>
      </w:r>
    </w:p>
    <w:p w14:paraId="3186A85B">
      <w:pPr>
        <w:numPr>
          <w:numId w:val="0"/>
        </w:numPr>
        <w:spacing w:before="156" w:beforeLines="50" w:after="156" w:afterLines="50" w:line="500" w:lineRule="exact"/>
        <w:ind w:leftChars="0"/>
        <w:rPr>
          <w:rFonts w:hint="eastAsia" w:ascii="宋体" w:hAnsi="宋体" w:eastAsia="宋体" w:cs="宋体"/>
          <w:b w:val="0"/>
          <w:bCs w:val="0"/>
          <w:sz w:val="28"/>
          <w:szCs w:val="28"/>
        </w:rPr>
      </w:pPr>
      <w:r>
        <w:rPr>
          <w:rFonts w:hint="eastAsia" w:ascii="宋体" w:hAnsi="宋体" w:cs="宋体"/>
          <w:b w:val="0"/>
          <w:bCs w:val="0"/>
          <w:sz w:val="28"/>
          <w:szCs w:val="28"/>
          <w:lang w:val="en-US" w:eastAsia="zh-CN"/>
        </w:rPr>
        <w:t>2.5</w:t>
      </w:r>
      <w:r>
        <w:rPr>
          <w:rFonts w:hint="default" w:ascii="宋体" w:hAnsi="宋体" w:eastAsia="宋体" w:cs="宋体"/>
          <w:b w:val="0"/>
          <w:bCs w:val="0"/>
          <w:sz w:val="28"/>
          <w:szCs w:val="28"/>
        </w:rPr>
        <w:t>虚拟电厂平台与台区储能系统的协同融合</w:t>
      </w:r>
    </w:p>
    <w:p w14:paraId="23C14E5E">
      <w:pPr>
        <w:spacing w:before="156" w:beforeLines="50" w:line="500" w:lineRule="exact"/>
        <w:ind w:firstLine="560" w:firstLineChars="200"/>
        <w:rPr>
          <w:rFonts w:hint="eastAsia" w:ascii="宋体" w:hAnsi="宋体" w:eastAsia="宋体" w:cs="宋体"/>
          <w:b w:val="0"/>
          <w:bCs w:val="0"/>
          <w:sz w:val="28"/>
          <w:szCs w:val="28"/>
        </w:rPr>
      </w:pPr>
      <w:r>
        <w:rPr>
          <w:rFonts w:hint="default" w:ascii="宋体" w:hAnsi="宋体" w:eastAsia="宋体" w:cs="宋体"/>
          <w:b w:val="0"/>
          <w:bCs w:val="0"/>
          <w:sz w:val="28"/>
          <w:szCs w:val="28"/>
        </w:rPr>
        <w:t>本项目将台区储能系统作为虚拟电厂平台的重要可调资源进行接入与协同调度，形成“台区就地治理+虚拟电厂市场交易”的完整技术体系。</w:t>
      </w:r>
    </w:p>
    <w:p w14:paraId="594E0DBD">
      <w:pPr>
        <w:spacing w:before="156" w:beforeLines="50" w:line="500" w:lineRule="exact"/>
        <w:rPr>
          <w:rFonts w:hint="default" w:ascii="宋体" w:hAnsi="宋体" w:eastAsia="宋体" w:cs="宋体"/>
          <w:b w:val="0"/>
          <w:bCs w:val="0"/>
          <w:sz w:val="28"/>
          <w:szCs w:val="28"/>
        </w:rPr>
      </w:pPr>
      <w:r>
        <w:rPr>
          <w:rFonts w:hint="eastAsia" w:ascii="宋体" w:hAnsi="宋体" w:cs="宋体"/>
          <w:b w:val="0"/>
          <w:bCs w:val="0"/>
          <w:sz w:val="28"/>
          <w:szCs w:val="28"/>
          <w:lang w:val="en-US" w:eastAsia="zh-CN"/>
        </w:rPr>
        <w:t>2.5.1</w:t>
      </w:r>
      <w:r>
        <w:rPr>
          <w:rFonts w:hint="default" w:ascii="宋体" w:hAnsi="宋体" w:eastAsia="宋体" w:cs="宋体"/>
          <w:b w:val="0"/>
          <w:bCs w:val="0"/>
          <w:sz w:val="28"/>
          <w:szCs w:val="28"/>
        </w:rPr>
        <w:t>台区储能系统技术基础</w:t>
      </w:r>
    </w:p>
    <w:p w14:paraId="138518A7">
      <w:pPr>
        <w:spacing w:before="156" w:beforeLines="50" w:line="500" w:lineRule="exact"/>
        <w:ind w:firstLine="560" w:firstLineChars="200"/>
        <w:rPr>
          <w:rFonts w:hint="default" w:ascii="宋体" w:hAnsi="宋体" w:eastAsia="宋体" w:cs="宋体"/>
          <w:b w:val="0"/>
          <w:bCs w:val="0"/>
          <w:sz w:val="28"/>
          <w:szCs w:val="28"/>
        </w:rPr>
      </w:pPr>
      <w:r>
        <w:rPr>
          <w:rFonts w:hint="default" w:ascii="宋体" w:hAnsi="宋体" w:eastAsia="宋体" w:cs="宋体"/>
          <w:b w:val="0"/>
          <w:bCs w:val="0"/>
          <w:sz w:val="28"/>
          <w:szCs w:val="28"/>
        </w:rPr>
        <w:t>台区储能系统采用磷酸铁锂电池（LFP），配置储能变流器（PCS），具备四象限运行能力，支持有功功率与无功功率独立解耦控制。储能系统具备调频、调峰、调相多功能协同能力：响应时间&lt;20ms，功率因数可调范围-1~+1。台区部署μPMU同步相量测量单元，实现毫秒级同步感知，为虚拟电厂平台提供高精度实时数据支撑。通过储能削峰填谷与动态需量控制，可将变压器峰值负载率控制在安全范围内，为虚拟电厂参与市场交易提供稳定的可调节容量裕度。</w:t>
      </w:r>
    </w:p>
    <w:p w14:paraId="4E8CFAFC">
      <w:pPr>
        <w:spacing w:before="156" w:beforeLines="50" w:line="500" w:lineRule="exact"/>
        <w:ind w:firstLine="560" w:firstLineChars="200"/>
        <w:rPr>
          <w:rFonts w:hint="default" w:ascii="宋体" w:hAnsi="宋体" w:eastAsia="宋体" w:cs="宋体"/>
          <w:b w:val="0"/>
          <w:bCs w:val="0"/>
          <w:sz w:val="28"/>
          <w:szCs w:val="28"/>
        </w:rPr>
      </w:pPr>
      <w:r>
        <w:rPr>
          <w:rFonts w:hint="eastAsia" w:ascii="宋体" w:hAnsi="宋体" w:cs="宋体"/>
          <w:b w:val="0"/>
          <w:bCs w:val="0"/>
          <w:sz w:val="28"/>
          <w:szCs w:val="28"/>
          <w:lang w:val="en-US" w:eastAsia="zh-CN"/>
        </w:rPr>
        <w:t>2.5.2</w:t>
      </w:r>
      <w:r>
        <w:rPr>
          <w:rFonts w:hint="default" w:ascii="宋体" w:hAnsi="宋体" w:eastAsia="宋体" w:cs="宋体"/>
          <w:b w:val="0"/>
          <w:bCs w:val="0"/>
          <w:sz w:val="28"/>
          <w:szCs w:val="28"/>
        </w:rPr>
        <w:t>资源聚合层面</w:t>
      </w:r>
    </w:p>
    <w:p w14:paraId="2D75F4FD">
      <w:pPr>
        <w:spacing w:before="156" w:beforeLines="50" w:line="500" w:lineRule="exact"/>
        <w:ind w:firstLine="560" w:firstLineChars="200"/>
        <w:rPr>
          <w:rFonts w:hint="default" w:ascii="宋体" w:hAnsi="宋体" w:eastAsia="宋体" w:cs="宋体"/>
          <w:b w:val="0"/>
          <w:bCs w:val="0"/>
          <w:sz w:val="28"/>
          <w:szCs w:val="28"/>
        </w:rPr>
      </w:pPr>
      <w:r>
        <w:rPr>
          <w:rFonts w:hint="default" w:ascii="宋体" w:hAnsi="宋体" w:eastAsia="宋体" w:cs="宋体"/>
          <w:b w:val="0"/>
          <w:bCs w:val="0"/>
          <w:sz w:val="28"/>
          <w:szCs w:val="28"/>
        </w:rPr>
        <w:t>通过虚拟电厂平台的异质资源聚合模型，将分散在各配电台区的储能系统整合为统一调度的虚拟储能电站。聚合过程中充分考虑各台区储能的不同容量等级、SOC状态、响应速度等差异化特征，形成满足不同市场交易品种需求的分级可调资源池，打破台区间的信息孤岛，实现规模化效应。</w:t>
      </w:r>
    </w:p>
    <w:p w14:paraId="4524E3AC">
      <w:pPr>
        <w:spacing w:before="156" w:beforeLines="50" w:line="500" w:lineRule="exact"/>
        <w:ind w:firstLine="560" w:firstLineChars="200"/>
        <w:rPr>
          <w:rFonts w:hint="default" w:ascii="宋体" w:hAnsi="宋体" w:eastAsia="宋体" w:cs="宋体"/>
          <w:b w:val="0"/>
          <w:bCs w:val="0"/>
          <w:sz w:val="28"/>
          <w:szCs w:val="28"/>
        </w:rPr>
      </w:pPr>
      <w:r>
        <w:rPr>
          <w:rFonts w:hint="eastAsia" w:ascii="宋体" w:hAnsi="宋体" w:cs="宋体"/>
          <w:b w:val="0"/>
          <w:bCs w:val="0"/>
          <w:sz w:val="28"/>
          <w:szCs w:val="28"/>
          <w:lang w:val="en-US" w:eastAsia="zh-CN"/>
        </w:rPr>
        <w:t>2.5.3</w:t>
      </w:r>
      <w:r>
        <w:rPr>
          <w:rFonts w:hint="default" w:ascii="宋体" w:hAnsi="宋体" w:eastAsia="宋体" w:cs="宋体"/>
          <w:b w:val="0"/>
          <w:bCs w:val="0"/>
          <w:sz w:val="28"/>
          <w:szCs w:val="28"/>
        </w:rPr>
        <w:t>交易决策层面</w:t>
      </w:r>
    </w:p>
    <w:p w14:paraId="1812DFF4">
      <w:pPr>
        <w:spacing w:before="156" w:beforeLines="50" w:line="500" w:lineRule="exact"/>
        <w:ind w:firstLine="560" w:firstLineChars="200"/>
        <w:rPr>
          <w:rFonts w:hint="default" w:ascii="宋体" w:hAnsi="宋体" w:eastAsia="宋体" w:cs="宋体"/>
          <w:b w:val="0"/>
          <w:bCs w:val="0"/>
          <w:sz w:val="28"/>
          <w:szCs w:val="28"/>
        </w:rPr>
      </w:pPr>
      <w:r>
        <w:rPr>
          <w:rFonts w:hint="default" w:ascii="宋体" w:hAnsi="宋体" w:eastAsia="宋体" w:cs="宋体"/>
          <w:b w:val="0"/>
          <w:bCs w:val="0"/>
          <w:sz w:val="28"/>
          <w:szCs w:val="28"/>
        </w:rPr>
        <w:t>基于虚拟电厂平台的LSTM-Transformer电价预测模块与多市场耦合交易决策算法，为台区储能参与电力现货市场、调频辅助服务市场、需求响应等多市场交易提供最优申报策略。在保障台区就地治理功能（低电压治理、三相不平衡治理、谐波治理等）不受影响的前提下，挖掘储能剩余可调能力参与市场化交易，实现储能资源收益最大化。</w:t>
      </w:r>
    </w:p>
    <w:p w14:paraId="5B4A987F">
      <w:pPr>
        <w:spacing w:before="156" w:beforeLines="50" w:line="500" w:lineRule="exact"/>
        <w:ind w:firstLine="560" w:firstLineChars="200"/>
        <w:rPr>
          <w:rFonts w:hint="default" w:ascii="宋体" w:hAnsi="宋体" w:eastAsia="宋体" w:cs="宋体"/>
          <w:b w:val="0"/>
          <w:bCs w:val="0"/>
          <w:sz w:val="28"/>
          <w:szCs w:val="28"/>
        </w:rPr>
      </w:pPr>
      <w:r>
        <w:rPr>
          <w:rFonts w:hint="eastAsia" w:ascii="宋体" w:hAnsi="宋体" w:cs="宋体"/>
          <w:b w:val="0"/>
          <w:bCs w:val="0"/>
          <w:sz w:val="28"/>
          <w:szCs w:val="28"/>
          <w:lang w:val="en-US" w:eastAsia="zh-CN"/>
        </w:rPr>
        <w:t>2.5.4</w:t>
      </w:r>
      <w:r>
        <w:rPr>
          <w:rFonts w:hint="default" w:ascii="宋体" w:hAnsi="宋体" w:eastAsia="宋体" w:cs="宋体"/>
          <w:b w:val="0"/>
          <w:bCs w:val="0"/>
          <w:sz w:val="28"/>
          <w:szCs w:val="28"/>
        </w:rPr>
        <w:t>协同调度层面</w:t>
      </w:r>
    </w:p>
    <w:p w14:paraId="428EB642">
      <w:pPr>
        <w:spacing w:before="156" w:beforeLines="50" w:line="500" w:lineRule="exact"/>
        <w:ind w:firstLine="560" w:firstLineChars="200"/>
        <w:rPr>
          <w:rFonts w:hint="eastAsia" w:ascii="宋体" w:hAnsi="宋体" w:cs="宋体"/>
          <w:b w:val="0"/>
          <w:bCs w:val="0"/>
          <w:sz w:val="28"/>
          <w:szCs w:val="28"/>
          <w:lang w:eastAsia="zh-CN"/>
        </w:rPr>
      </w:pPr>
      <w:r>
        <w:rPr>
          <w:rFonts w:hint="default" w:ascii="宋体" w:hAnsi="宋体" w:eastAsia="宋体" w:cs="宋体"/>
          <w:b w:val="0"/>
          <w:bCs w:val="0"/>
          <w:sz w:val="28"/>
          <w:szCs w:val="28"/>
        </w:rPr>
        <w:t>虚拟电厂平台的调度指令通过云边协同机制下发至台区储能边缘智能盒，边缘智能盒在本地完成指令的安全校验与分解执行。通过设置多级安全约束边界（如SOC上下限、最大充放电功率、台区变压器负载率限值等），确保虚拟电厂调度指令在不影响台区供电安全与电能质量的前提下执行，实现“台区自治+虚拟电厂协同”的完整技术闭环。</w:t>
      </w:r>
    </w:p>
    <w:p w14:paraId="2A822874">
      <w:pPr>
        <w:pStyle w:val="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jc w:val="both"/>
        <w:textAlignment w:val="auto"/>
        <w:rPr>
          <w:rFonts w:hint="eastAsia" w:cs="宋体"/>
          <w:sz w:val="28"/>
          <w:szCs w:val="28"/>
          <w:lang w:val="en-US" w:eastAsia="zh-CN"/>
        </w:rPr>
      </w:pPr>
      <w:r>
        <w:rPr>
          <w:rFonts w:hint="eastAsia" w:cs="宋体"/>
          <w:sz w:val="28"/>
          <w:szCs w:val="28"/>
          <w:lang w:val="en-US" w:eastAsia="zh-CN"/>
        </w:rPr>
        <w:t>3.参考资料</w:t>
      </w:r>
    </w:p>
    <w:p w14:paraId="487F2112">
      <w:pPr>
        <w:pStyle w:val="4"/>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left"/>
        <w:textAlignment w:val="auto"/>
        <w:rPr>
          <w:rFonts w:hint="eastAsia" w:ascii="宋体" w:hAnsi="宋体" w:eastAsia="宋体" w:cs="宋体"/>
          <w:b w:val="0"/>
          <w:bCs w:val="0"/>
          <w:kern w:val="2"/>
          <w:sz w:val="28"/>
          <w:szCs w:val="28"/>
          <w:lang w:val="en-US" w:eastAsia="zh-CN" w:bidi="ar-SA"/>
        </w:rPr>
      </w:pPr>
      <w:r>
        <w:rPr>
          <w:rFonts w:hint="eastAsia" w:cs="宋体"/>
          <w:sz w:val="28"/>
          <w:szCs w:val="28"/>
          <w:lang w:val="en-US" w:eastAsia="zh-CN"/>
        </w:rPr>
        <w:t>（1）</w:t>
      </w:r>
      <w:r>
        <w:rPr>
          <w:rFonts w:hint="eastAsia" w:ascii="宋体" w:hAnsi="宋体" w:eastAsia="宋体" w:cs="宋体"/>
          <w:b w:val="0"/>
          <w:bCs w:val="0"/>
          <w:kern w:val="2"/>
          <w:sz w:val="28"/>
          <w:szCs w:val="28"/>
          <w:lang w:val="en-US" w:eastAsia="zh-CN" w:bidi="ar-SA"/>
        </w:rPr>
        <w:t>“基于虚拟电厂平台的台区储能"承载力-调控-电能质量"优化解决方案”项目</w:t>
      </w:r>
      <w:r>
        <w:rPr>
          <w:rFonts w:hint="eastAsia" w:ascii="宋体" w:hAnsi="宋体" w:cs="宋体"/>
          <w:b w:val="0"/>
          <w:bCs w:val="0"/>
          <w:kern w:val="2"/>
          <w:sz w:val="28"/>
          <w:szCs w:val="28"/>
          <w:lang w:val="en-US" w:eastAsia="zh-CN" w:bidi="ar-SA"/>
        </w:rPr>
        <w:t>申报书</w:t>
      </w:r>
    </w:p>
    <w:p w14:paraId="128C83ED">
      <w:pPr>
        <w:pStyle w:val="4"/>
        <w:keepNext w:val="0"/>
        <w:keepLines w:val="0"/>
        <w:pageBreakBefore w:val="0"/>
        <w:kinsoku/>
        <w:wordWrap/>
        <w:overflowPunct/>
        <w:topLinePunct w:val="0"/>
        <w:bidi w:val="0"/>
        <w:snapToGrid/>
        <w:spacing w:after="0" w:line="360" w:lineRule="auto"/>
        <w:ind w:left="0"/>
        <w:rPr>
          <w:rFonts w:hint="eastAsia" w:cs="宋体"/>
          <w:sz w:val="28"/>
          <w:szCs w:val="28"/>
          <w:lang w:val="en-US" w:eastAsia="zh-CN"/>
        </w:rPr>
      </w:pPr>
      <w:r>
        <w:rPr>
          <w:rFonts w:hint="eastAsia" w:cs="宋体"/>
          <w:sz w:val="28"/>
          <w:szCs w:val="28"/>
          <w:lang w:val="en-US" w:eastAsia="zh-CN"/>
        </w:rPr>
        <w:t>4.项目评价范围</w:t>
      </w:r>
    </w:p>
    <w:p w14:paraId="23E1F8DA">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虚</w:t>
      </w:r>
      <w:r>
        <w:rPr>
          <w:rFonts w:hint="default" w:ascii="宋体" w:hAnsi="宋体" w:eastAsia="宋体" w:cs="宋体"/>
          <w:b w:val="0"/>
          <w:bCs w:val="0"/>
          <w:kern w:val="2"/>
          <w:sz w:val="28"/>
          <w:szCs w:val="28"/>
          <w:lang w:val="en-US" w:eastAsia="zh-CN" w:bidi="ar-SA"/>
        </w:rPr>
        <w:t>本次科学技术成果鉴定活动针对“基于虚拟电厂平台的台区储能‘承载力-调控-电能质量’优化解决方案”项目成果开展，评价范围包括但不限于以下方面：</w:t>
      </w:r>
    </w:p>
    <w:p w14:paraId="068A73B9">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（1）技术创新程度</w:t>
      </w:r>
    </w:p>
    <w:p w14:paraId="7FC5DBF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评价项目在虚拟电厂平台与台区储能系统深度融合的协同架构、基于自主可控大模型的多市场耦合交易智能决策算法、台区储能多功能协同控制技术、μPMU毫秒级同步相量测量与边缘计算技术、数字孪生驱动的策略预演与闭环校正技术、多智能体强化学习协同决策算法等方面的创新水平，以及在解决台区承载力不足、调控能力欠缺、电能质量劣化等实际问题过程中所体现的原创性和集成创新程度。</w:t>
      </w:r>
    </w:p>
    <w:p w14:paraId="5F712A85">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（2）技术指标先进程度</w:t>
      </w:r>
    </w:p>
    <w:p w14:paraId="775D1E71">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评价项目核心技术指标与国内外同类技术的比较优势及先进性水平。</w:t>
      </w:r>
    </w:p>
    <w:p w14:paraId="0B76D1B7">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（3）技术难度和复杂程度</w:t>
      </w:r>
    </w:p>
    <w:p w14:paraId="6324AD4E">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评价项目在多源异构数据融合与毫秒级同步感知、多时间尺度多目标协同优化、分布式储能资源集群化聚合与多市场耦合交易、虚拟电厂与台区储能跨层级协同调度等方面的技术难度和系统复杂度。</w:t>
      </w:r>
    </w:p>
    <w:p w14:paraId="403D2B68">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（4）成果的重现性和成熟程度</w:t>
      </w:r>
    </w:p>
    <w:p w14:paraId="09C77C6A">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评价项目技术方案在不同类型台区场景中的可复制性和适应性，以及经过工程验证的技术成熟度。</w:t>
      </w:r>
    </w:p>
    <w:p w14:paraId="7C9D1B2C">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（5）成果应用价值与效果</w:t>
      </w:r>
    </w:p>
    <w:p w14:paraId="160B0E18">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评价项目在提升台区电压合格率、降低三相不平衡度、改善电能质量、提升光伏消纳能力、实现台区储能参与电力市场交易收益等方面的实际应用效果。</w:t>
      </w:r>
    </w:p>
    <w:p w14:paraId="32F7C5D8">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（6）经济效益与社会效益</w:t>
      </w:r>
    </w:p>
    <w:p w14:paraId="4AD85A2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评价项目在延缓电网投资、降低线损、峰谷套利、碳减排、促进清洁能源消纳、支撑新型电力系统建设等方面的经济效益与社会效益。</w:t>
      </w:r>
    </w:p>
    <w:p w14:paraId="6434835C">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（7）进一步推广的条件和前景</w:t>
      </w:r>
    </w:p>
    <w:p w14:paraId="4E252B68">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cs="宋体"/>
          <w:b w:val="0"/>
          <w:bCs w:val="0"/>
          <w:kern w:val="0"/>
          <w:sz w:val="28"/>
          <w:szCs w:val="28"/>
          <w:lang w:val="en-US" w:eastAsia="zh-CN"/>
        </w:rPr>
      </w:pPr>
      <w:r>
        <w:rPr>
          <w:rFonts w:hint="default" w:ascii="宋体" w:hAnsi="宋体" w:eastAsia="宋体" w:cs="宋体"/>
          <w:b w:val="0"/>
          <w:bCs w:val="0"/>
          <w:kern w:val="2"/>
          <w:sz w:val="28"/>
          <w:szCs w:val="28"/>
          <w:lang w:val="en-US" w:eastAsia="zh-CN" w:bidi="ar-SA"/>
        </w:rPr>
        <w:t>评价项目在不同地域、不同电网条件下的推广适用性，以及规模化应用的市场前景。</w:t>
      </w:r>
    </w:p>
    <w:p w14:paraId="57A51C7E">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425" w:leftChars="0"/>
        <w:jc w:val="left"/>
        <w:outlineLvl w:val="0"/>
        <w:rPr>
          <w:rFonts w:hint="eastAsia" w:ascii="宋体" w:cs="宋体"/>
          <w:b/>
          <w:bCs/>
          <w:kern w:val="0"/>
          <w:sz w:val="28"/>
          <w:szCs w:val="28"/>
          <w:lang w:val="en-US" w:eastAsia="zh-CN"/>
        </w:rPr>
      </w:pPr>
      <w:r>
        <w:rPr>
          <w:rFonts w:hint="eastAsia" w:ascii="宋体" w:cs="宋体"/>
          <w:b/>
          <w:bCs/>
          <w:kern w:val="0"/>
          <w:sz w:val="28"/>
          <w:szCs w:val="28"/>
          <w:lang w:val="en-US" w:eastAsia="zh-CN"/>
        </w:rPr>
        <w:t>5.项目评价原则</w:t>
      </w:r>
    </w:p>
    <w:p w14:paraId="3E382EE3">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bookmarkStart w:id="2" w:name="_Toc22648_WPSOffice_Level1"/>
      <w:r>
        <w:rPr>
          <w:rFonts w:hint="default" w:ascii="宋体" w:hAnsi="宋体" w:eastAsia="宋体" w:cs="宋体"/>
          <w:b w:val="0"/>
          <w:bCs w:val="0"/>
          <w:kern w:val="2"/>
          <w:sz w:val="28"/>
          <w:szCs w:val="28"/>
          <w:lang w:val="en-US" w:eastAsia="zh-CN" w:bidi="ar-SA"/>
        </w:rPr>
        <w:t>5.1 总体原则</w:t>
      </w:r>
    </w:p>
    <w:p w14:paraId="6846A421">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科技成果鉴定工作坚持实事求是、科学民主、客观公正、注重质量、讲求实效的原则，保证科技成果鉴定工作的严肃性和科学性。评价工作由具有评价资质的第三方专业机构聘请同领域专家，依照规定的程序和标准，对本项目的科学性、创造性、先进性、可行性和应用前景等进行审查与辨别，并做出相应结论。</w:t>
      </w:r>
    </w:p>
    <w:p w14:paraId="6D01B980">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5.2 具体评价原则</w:t>
      </w:r>
    </w:p>
    <w:p w14:paraId="7F86B837">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（1）科学性原则</w:t>
      </w:r>
    </w:p>
    <w:p w14:paraId="0B9A85A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以电力系统理论、控制理论、人工智能理论等科学原理为依据，以实测数据、检测报告、工程验证结果等实际材料为支撑，确保评价结论的科学性和可靠性，核心评价结论应具有可复核性。</w:t>
      </w:r>
    </w:p>
    <w:p w14:paraId="55EDBBA0">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（2）客观公正原则</w:t>
      </w:r>
    </w:p>
    <w:p w14:paraId="479063B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评价专家独立开展工作，不受任何单位和个人的干涉。评价意见基于项目技术资料和实际验证结果，实事求是地反映项目的技术水平。</w:t>
      </w:r>
    </w:p>
    <w:p w14:paraId="142AD31D">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（3）先进性对比原则</w:t>
      </w:r>
    </w:p>
    <w:p w14:paraId="3B9A4E98">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将本项目技术与国内外同类技术进行对比分析，评价其在虚拟电厂平台架构与算法、台区储能多功能协同控制、同步感知精度、电价预测、多市场交易决策等方面的先进程度。对比数据来源于第三方检测报告、科技查新报告及公开发表的文献资料。</w:t>
      </w:r>
    </w:p>
    <w:p w14:paraId="316584F7">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（4）系统性评价原则</w:t>
      </w:r>
    </w:p>
    <w:p w14:paraId="28109A9A">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按照技术价值、经济价值、社会价值等多维度进行系统评价，全面衡量成果的综合效益和推广价值。</w:t>
      </w:r>
    </w:p>
    <w:p w14:paraId="068EF6DC">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（5）注重实效原则</w:t>
      </w:r>
    </w:p>
    <w:p w14:paraId="7DF0AB2A">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ind w:left="0" w:right="0" w:firstLine="560" w:firstLineChars="200"/>
        <w:textAlignment w:val="auto"/>
        <w:rPr>
          <w:rFonts w:hint="default" w:ascii="宋体" w:hAnsi="宋体" w:eastAsia="宋体" w:cs="宋体"/>
          <w:b w:val="0"/>
          <w:bCs w:val="0"/>
          <w:kern w:val="2"/>
          <w:sz w:val="28"/>
          <w:szCs w:val="28"/>
          <w:lang w:val="en-US" w:eastAsia="zh-CN" w:bidi="ar-SA"/>
        </w:rPr>
      </w:pPr>
      <w:r>
        <w:rPr>
          <w:rFonts w:hint="default" w:ascii="宋体" w:hAnsi="宋体" w:eastAsia="宋体" w:cs="宋体"/>
          <w:b w:val="0"/>
          <w:bCs w:val="0"/>
          <w:kern w:val="2"/>
          <w:sz w:val="28"/>
          <w:szCs w:val="28"/>
          <w:lang w:val="en-US" w:eastAsia="zh-CN" w:bidi="ar-SA"/>
        </w:rPr>
        <w:t>重点评价成果的实际应用效果和推广价值，以工程验证数据、用户应用证明、经济效益证明等实际材料为依据，评价成果在解决台区实际问题中的可操作性和市场前景。</w:t>
      </w:r>
    </w:p>
    <w:p w14:paraId="1E69F973">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425" w:leftChars="0"/>
        <w:jc w:val="left"/>
        <w:outlineLvl w:val="0"/>
        <w:rPr>
          <w:rFonts w:ascii="宋体" w:cs="宋体"/>
          <w:b/>
          <w:bCs/>
          <w:kern w:val="0"/>
          <w:sz w:val="28"/>
          <w:szCs w:val="28"/>
        </w:rPr>
      </w:pPr>
      <w:r>
        <w:rPr>
          <w:rFonts w:hint="eastAsia" w:ascii="宋体" w:cs="宋体"/>
          <w:b/>
          <w:bCs/>
          <w:kern w:val="0"/>
          <w:sz w:val="28"/>
          <w:szCs w:val="28"/>
          <w:lang w:val="en-US" w:eastAsia="zh-CN"/>
        </w:rPr>
        <w:t>6.</w:t>
      </w:r>
      <w:r>
        <w:rPr>
          <w:rFonts w:hint="eastAsia" w:ascii="宋体" w:cs="宋体"/>
          <w:b/>
          <w:bCs/>
          <w:kern w:val="0"/>
          <w:sz w:val="28"/>
          <w:szCs w:val="28"/>
        </w:rPr>
        <w:t>服务人员</w:t>
      </w:r>
    </w:p>
    <w:tbl>
      <w:tblPr>
        <w:tblStyle w:val="8"/>
        <w:tblW w:w="8326" w:type="dxa"/>
        <w:tblInd w:w="0" w:type="dxa"/>
        <w:tblLayout w:type="fixed"/>
        <w:tblCellMar>
          <w:top w:w="0" w:type="dxa"/>
          <w:left w:w="0" w:type="dxa"/>
          <w:bottom w:w="0" w:type="dxa"/>
          <w:right w:w="0" w:type="dxa"/>
        </w:tblCellMar>
      </w:tblPr>
      <w:tblGrid>
        <w:gridCol w:w="1088"/>
        <w:gridCol w:w="2129"/>
        <w:gridCol w:w="3071"/>
        <w:gridCol w:w="2038"/>
      </w:tblGrid>
      <w:tr w14:paraId="3218D0BB">
        <w:tblPrEx>
          <w:tblCellMar>
            <w:top w:w="0" w:type="dxa"/>
            <w:left w:w="0" w:type="dxa"/>
            <w:bottom w:w="0" w:type="dxa"/>
            <w:right w:w="0" w:type="dxa"/>
          </w:tblCellMar>
        </w:tblPrEx>
        <w:trPr>
          <w:trHeight w:val="300" w:hRule="atLeast"/>
        </w:trPr>
        <w:tc>
          <w:tcPr>
            <w:tcW w:w="108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11F7AB7">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序号</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F22F2A2">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姓名</w:t>
            </w:r>
          </w:p>
        </w:tc>
        <w:tc>
          <w:tcPr>
            <w:tcW w:w="307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6745C15">
            <w:pPr>
              <w:keepNext w:val="0"/>
              <w:keepLines w:val="0"/>
              <w:pageBreakBefore w:val="0"/>
              <w:widowControl/>
              <w:kinsoku/>
              <w:wordWrap/>
              <w:overflowPunct/>
              <w:topLinePunct w:val="0"/>
              <w:bidi w:val="0"/>
              <w:snapToGrid/>
              <w:spacing w:line="360" w:lineRule="auto"/>
              <w:ind w:left="0"/>
              <w:jc w:val="center"/>
              <w:textAlignment w:val="center"/>
              <w:rPr>
                <w:rFonts w:hint="eastAsia" w:ascii="宋体" w:hAnsi="宋体" w:eastAsia="宋体" w:cs="宋体"/>
                <w:color w:val="000000"/>
                <w:sz w:val="28"/>
                <w:szCs w:val="28"/>
                <w:lang w:eastAsia="zh-CN"/>
              </w:rPr>
            </w:pPr>
            <w:r>
              <w:rPr>
                <w:rFonts w:hint="eastAsia" w:ascii="宋体" w:hAnsi="宋体" w:cs="宋体"/>
                <w:color w:val="000000"/>
                <w:sz w:val="28"/>
                <w:szCs w:val="28"/>
                <w:lang w:val="en-US" w:eastAsia="zh-CN"/>
              </w:rPr>
              <w:t>职责</w:t>
            </w:r>
          </w:p>
        </w:tc>
        <w:tc>
          <w:tcPr>
            <w:tcW w:w="203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F6691CE">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联系方式</w:t>
            </w:r>
          </w:p>
        </w:tc>
      </w:tr>
      <w:tr w14:paraId="0D4D695C">
        <w:tblPrEx>
          <w:tblCellMar>
            <w:top w:w="0" w:type="dxa"/>
            <w:left w:w="0" w:type="dxa"/>
            <w:bottom w:w="0" w:type="dxa"/>
            <w:right w:w="0" w:type="dxa"/>
          </w:tblCellMar>
        </w:tblPrEx>
        <w:trPr>
          <w:trHeight w:val="23" w:hRule="atLeast"/>
        </w:trPr>
        <w:tc>
          <w:tcPr>
            <w:tcW w:w="108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55952FD">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1</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2FECCEA">
            <w:pPr>
              <w:keepNext w:val="0"/>
              <w:keepLines w:val="0"/>
              <w:pageBreakBefore w:val="0"/>
              <w:widowControl/>
              <w:kinsoku/>
              <w:wordWrap/>
              <w:overflowPunct/>
              <w:topLinePunct w:val="0"/>
              <w:bidi w:val="0"/>
              <w:snapToGrid/>
              <w:spacing w:line="360" w:lineRule="auto"/>
              <w:ind w:left="0"/>
              <w:jc w:val="center"/>
              <w:textAlignment w:val="center"/>
              <w:rPr>
                <w:rFonts w:hint="eastAsia" w:ascii="宋体" w:hAnsi="宋体" w:eastAsia="宋体" w:cs="宋体"/>
                <w:color w:val="000000"/>
                <w:sz w:val="28"/>
                <w:szCs w:val="28"/>
                <w:lang w:eastAsia="zh-CN"/>
              </w:rPr>
            </w:pPr>
            <w:r>
              <w:rPr>
                <w:rFonts w:hint="eastAsia" w:ascii="宋体" w:hAnsi="宋体" w:cs="宋体"/>
                <w:color w:val="000000"/>
                <w:kern w:val="0"/>
                <w:sz w:val="28"/>
                <w:szCs w:val="28"/>
                <w:lang w:val="en-US" w:eastAsia="zh-CN" w:bidi="ar"/>
              </w:rPr>
              <w:t>XX</w:t>
            </w:r>
          </w:p>
        </w:tc>
        <w:tc>
          <w:tcPr>
            <w:tcW w:w="307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B0501F2">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r>
              <w:rPr>
                <w:rFonts w:hint="eastAsia" w:ascii="宋体" w:hAnsi="宋体" w:cs="宋体"/>
                <w:color w:val="000000"/>
                <w:sz w:val="28"/>
                <w:szCs w:val="28"/>
              </w:rPr>
              <w:t>负责人</w:t>
            </w:r>
          </w:p>
        </w:tc>
        <w:tc>
          <w:tcPr>
            <w:tcW w:w="203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3C55604">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p>
        </w:tc>
      </w:tr>
      <w:tr w14:paraId="63C8AE6F">
        <w:tblPrEx>
          <w:tblCellMar>
            <w:top w:w="0" w:type="dxa"/>
            <w:left w:w="0" w:type="dxa"/>
            <w:bottom w:w="0" w:type="dxa"/>
            <w:right w:w="0" w:type="dxa"/>
          </w:tblCellMar>
        </w:tblPrEx>
        <w:trPr>
          <w:trHeight w:val="23" w:hRule="atLeast"/>
        </w:trPr>
        <w:tc>
          <w:tcPr>
            <w:tcW w:w="108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837A046">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2</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52C39B1C">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r>
              <w:rPr>
                <w:rFonts w:hint="eastAsia" w:ascii="宋体" w:hAnsi="宋体" w:cs="宋体"/>
                <w:color w:val="000000"/>
                <w:kern w:val="0"/>
                <w:sz w:val="28"/>
                <w:szCs w:val="28"/>
                <w:lang w:val="en-US" w:eastAsia="zh-CN" w:bidi="ar"/>
              </w:rPr>
              <w:t>XX</w:t>
            </w:r>
          </w:p>
        </w:tc>
        <w:tc>
          <w:tcPr>
            <w:tcW w:w="307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7B13A2D">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r>
              <w:rPr>
                <w:rFonts w:hint="eastAsia" w:ascii="宋体" w:hAnsi="宋体" w:cs="宋体"/>
                <w:color w:val="000000"/>
                <w:sz w:val="28"/>
                <w:szCs w:val="28"/>
              </w:rPr>
              <w:t>技术员</w:t>
            </w:r>
          </w:p>
        </w:tc>
        <w:tc>
          <w:tcPr>
            <w:tcW w:w="203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300835B">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p>
        </w:tc>
      </w:tr>
      <w:tr w14:paraId="706B9236">
        <w:tblPrEx>
          <w:tblCellMar>
            <w:top w:w="0" w:type="dxa"/>
            <w:left w:w="0" w:type="dxa"/>
            <w:bottom w:w="0" w:type="dxa"/>
            <w:right w:w="0" w:type="dxa"/>
          </w:tblCellMar>
        </w:tblPrEx>
        <w:trPr>
          <w:trHeight w:val="23" w:hRule="atLeast"/>
        </w:trPr>
        <w:tc>
          <w:tcPr>
            <w:tcW w:w="108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11DD2939">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3</w:t>
            </w:r>
          </w:p>
        </w:tc>
        <w:tc>
          <w:tcPr>
            <w:tcW w:w="212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65C407E">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r>
              <w:rPr>
                <w:rFonts w:hint="eastAsia" w:ascii="宋体" w:hAnsi="宋体" w:cs="宋体"/>
                <w:color w:val="000000"/>
                <w:kern w:val="0"/>
                <w:sz w:val="28"/>
                <w:szCs w:val="28"/>
                <w:lang w:val="en-US" w:eastAsia="zh-CN" w:bidi="ar"/>
              </w:rPr>
              <w:t>XX</w:t>
            </w:r>
          </w:p>
        </w:tc>
        <w:tc>
          <w:tcPr>
            <w:tcW w:w="3071"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5749C5F">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r>
              <w:rPr>
                <w:rFonts w:hint="eastAsia" w:ascii="宋体" w:hAnsi="宋体" w:cs="宋体"/>
                <w:color w:val="000000"/>
                <w:sz w:val="28"/>
                <w:szCs w:val="28"/>
              </w:rPr>
              <w:t>技术员</w:t>
            </w:r>
          </w:p>
        </w:tc>
        <w:tc>
          <w:tcPr>
            <w:tcW w:w="2038"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4427B896">
            <w:pPr>
              <w:keepNext w:val="0"/>
              <w:keepLines w:val="0"/>
              <w:pageBreakBefore w:val="0"/>
              <w:widowControl/>
              <w:kinsoku/>
              <w:wordWrap/>
              <w:overflowPunct/>
              <w:topLinePunct w:val="0"/>
              <w:bidi w:val="0"/>
              <w:snapToGrid/>
              <w:spacing w:line="360" w:lineRule="auto"/>
              <w:ind w:left="0"/>
              <w:jc w:val="center"/>
              <w:textAlignment w:val="center"/>
              <w:rPr>
                <w:rFonts w:ascii="宋体" w:hAnsi="宋体" w:cs="宋体"/>
                <w:color w:val="000000"/>
                <w:sz w:val="28"/>
                <w:szCs w:val="28"/>
              </w:rPr>
            </w:pPr>
          </w:p>
        </w:tc>
      </w:tr>
    </w:tbl>
    <w:p w14:paraId="2BB5824F">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425" w:leftChars="0"/>
        <w:jc w:val="left"/>
        <w:outlineLvl w:val="0"/>
        <w:rPr>
          <w:rFonts w:ascii="宋体" w:cs="宋体"/>
          <w:b/>
          <w:bCs/>
          <w:kern w:val="0"/>
          <w:sz w:val="28"/>
          <w:szCs w:val="28"/>
        </w:rPr>
      </w:pPr>
      <w:r>
        <w:rPr>
          <w:rFonts w:hint="eastAsia" w:ascii="宋体" w:cs="宋体"/>
          <w:b/>
          <w:bCs/>
          <w:kern w:val="0"/>
          <w:sz w:val="28"/>
          <w:szCs w:val="28"/>
          <w:lang w:val="en-US" w:eastAsia="zh-CN"/>
        </w:rPr>
        <w:t>7.</w:t>
      </w:r>
      <w:r>
        <w:rPr>
          <w:rFonts w:hint="eastAsia" w:ascii="宋体" w:cs="宋体"/>
          <w:b/>
          <w:bCs/>
          <w:kern w:val="0"/>
          <w:sz w:val="28"/>
          <w:szCs w:val="28"/>
        </w:rPr>
        <w:t>服务清单</w:t>
      </w:r>
      <w:bookmarkEnd w:id="2"/>
    </w:p>
    <w:p w14:paraId="2156B6CA">
      <w:pPr>
        <w:pStyle w:val="4"/>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left"/>
        <w:textAlignment w:val="auto"/>
        <w:rPr>
          <w:rFonts w:hint="default" w:ascii="宋体" w:hAnsi="宋体" w:cs="宋体"/>
          <w:b w:val="0"/>
          <w:bCs w:val="0"/>
          <w:kern w:val="0"/>
          <w:sz w:val="28"/>
          <w:szCs w:val="28"/>
          <w:lang w:val="en-US" w:eastAsia="zh-CN"/>
        </w:rPr>
      </w:pPr>
      <w:r>
        <w:rPr>
          <w:rFonts w:hint="eastAsia" w:ascii="宋体" w:hAnsi="宋体" w:cs="宋体"/>
          <w:b w:val="0"/>
          <w:bCs w:val="0"/>
          <w:kern w:val="0"/>
          <w:sz w:val="28"/>
          <w:szCs w:val="28"/>
          <w:lang w:val="en-US" w:eastAsia="zh-CN"/>
        </w:rPr>
        <w:t>7</w:t>
      </w:r>
      <w:r>
        <w:rPr>
          <w:rFonts w:hint="eastAsia" w:ascii="宋体" w:hAnsi="宋体" w:eastAsia="宋体" w:cs="宋体"/>
          <w:b w:val="0"/>
          <w:bCs w:val="0"/>
          <w:kern w:val="0"/>
          <w:sz w:val="28"/>
          <w:szCs w:val="28"/>
          <w:lang w:val="en-US" w:eastAsia="zh-CN"/>
        </w:rPr>
        <w:t>.1</w:t>
      </w:r>
      <w:r>
        <w:rPr>
          <w:rFonts w:hint="eastAsia" w:ascii="宋体" w:hAnsi="宋体" w:cs="宋体"/>
          <w:b w:val="0"/>
          <w:bCs w:val="0"/>
          <w:kern w:val="0"/>
          <w:sz w:val="28"/>
          <w:szCs w:val="28"/>
          <w:lang w:val="en-US" w:eastAsia="zh-CN"/>
        </w:rPr>
        <w:t>依据</w:t>
      </w:r>
      <w:r>
        <w:rPr>
          <w:rFonts w:hint="eastAsia" w:ascii="宋体" w:hAnsi="宋体" w:eastAsia="宋体" w:cs="宋体"/>
          <w:b w:val="0"/>
          <w:bCs w:val="0"/>
          <w:kern w:val="2"/>
          <w:sz w:val="28"/>
          <w:szCs w:val="28"/>
          <w:lang w:val="en-US" w:eastAsia="zh-CN" w:bidi="ar-SA"/>
        </w:rPr>
        <w:t>“基于虚拟电厂平台的台区储能‘承载力-调控-电能质量’优化解决方案”技术研究报告</w:t>
      </w:r>
      <w:r>
        <w:rPr>
          <w:rFonts w:hint="eastAsia" w:ascii="宋体" w:hAnsi="宋体" w:cs="宋体"/>
          <w:b w:val="0"/>
          <w:bCs w:val="0"/>
          <w:kern w:val="2"/>
          <w:sz w:val="28"/>
          <w:szCs w:val="28"/>
          <w:lang w:val="en-US" w:eastAsia="zh-CN" w:bidi="ar-SA"/>
        </w:rPr>
        <w:t>等项目参考资料</w:t>
      </w:r>
      <w:r>
        <w:rPr>
          <w:rFonts w:hint="eastAsia" w:ascii="宋体" w:hAnsi="宋体" w:cs="宋体"/>
          <w:b w:val="0"/>
          <w:bCs w:val="0"/>
          <w:kern w:val="0"/>
          <w:sz w:val="28"/>
          <w:szCs w:val="28"/>
          <w:lang w:val="en-US" w:eastAsia="zh-CN"/>
        </w:rPr>
        <w:t>，对</w:t>
      </w:r>
      <w:r>
        <w:rPr>
          <w:rFonts w:hint="eastAsia" w:ascii="宋体" w:hAnsi="宋体" w:cs="宋体"/>
          <w:b w:val="0"/>
          <w:bCs w:val="0"/>
          <w:sz w:val="28"/>
          <w:szCs w:val="28"/>
          <w:lang w:val="en-US" w:eastAsia="zh-CN"/>
        </w:rPr>
        <w:t>项目开展科学技术成果鉴定</w:t>
      </w:r>
      <w:r>
        <w:rPr>
          <w:rFonts w:hint="eastAsia" w:ascii="宋体" w:hAnsi="宋体" w:cs="宋体"/>
          <w:b w:val="0"/>
          <w:bCs w:val="0"/>
          <w:kern w:val="0"/>
          <w:sz w:val="28"/>
          <w:szCs w:val="28"/>
          <w:lang w:val="en-US" w:eastAsia="zh-CN"/>
        </w:rPr>
        <w:t>；</w:t>
      </w:r>
    </w:p>
    <w:p w14:paraId="18C704D9">
      <w:pPr>
        <w:pStyle w:val="4"/>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left"/>
        <w:textAlignment w:val="auto"/>
        <w:rPr>
          <w:rFonts w:hint="default" w:ascii="宋体" w:hAnsi="宋体" w:cs="宋体"/>
          <w:b w:val="0"/>
          <w:bCs w:val="0"/>
          <w:kern w:val="0"/>
          <w:sz w:val="28"/>
          <w:szCs w:val="28"/>
          <w:lang w:val="en-US" w:eastAsia="zh-CN"/>
        </w:rPr>
      </w:pPr>
      <w:r>
        <w:rPr>
          <w:rFonts w:hint="eastAsia" w:ascii="宋体" w:hAnsi="宋体" w:eastAsia="宋体" w:cs="宋体"/>
          <w:b w:val="0"/>
          <w:bCs w:val="0"/>
          <w:kern w:val="0"/>
          <w:sz w:val="28"/>
          <w:szCs w:val="28"/>
          <w:lang w:val="en-US" w:eastAsia="zh-CN"/>
        </w:rPr>
        <w:t>7.2</w:t>
      </w:r>
      <w:r>
        <w:rPr>
          <w:rFonts w:hint="eastAsia" w:ascii="宋体" w:hAnsi="宋体" w:cs="宋体"/>
          <w:b w:val="0"/>
          <w:bCs w:val="0"/>
          <w:kern w:val="0"/>
          <w:sz w:val="28"/>
          <w:szCs w:val="28"/>
          <w:lang w:val="en-US" w:eastAsia="zh-CN"/>
        </w:rPr>
        <w:t>开展</w:t>
      </w:r>
      <w:r>
        <w:rPr>
          <w:rFonts w:hint="eastAsia" w:ascii="宋体" w:hAnsi="宋体" w:eastAsia="宋体" w:cs="宋体"/>
          <w:b w:val="0"/>
          <w:bCs w:val="0"/>
          <w:kern w:val="0"/>
          <w:sz w:val="28"/>
          <w:szCs w:val="28"/>
          <w:lang w:val="en-US" w:eastAsia="zh-CN"/>
        </w:rPr>
        <w:t>项目</w:t>
      </w:r>
      <w:r>
        <w:rPr>
          <w:rFonts w:hint="eastAsia" w:ascii="宋体" w:hAnsi="宋体" w:cs="宋体"/>
          <w:b w:val="0"/>
          <w:bCs w:val="0"/>
          <w:kern w:val="0"/>
          <w:sz w:val="28"/>
          <w:szCs w:val="28"/>
          <w:lang w:val="en-US" w:eastAsia="zh-CN"/>
        </w:rPr>
        <w:t>评价</w:t>
      </w:r>
      <w:r>
        <w:rPr>
          <w:rFonts w:hint="eastAsia" w:ascii="宋体" w:hAnsi="宋体" w:eastAsia="宋体" w:cs="宋体"/>
          <w:b w:val="0"/>
          <w:bCs w:val="0"/>
          <w:kern w:val="0"/>
          <w:sz w:val="28"/>
          <w:szCs w:val="28"/>
          <w:lang w:val="en-US" w:eastAsia="zh-CN"/>
        </w:rPr>
        <w:t>会议，根据本项目的技术研发情况、虚拟电厂商业运营模式研究情况、可调资源市场开拓及接入情况，</w:t>
      </w:r>
      <w:r>
        <w:rPr>
          <w:rFonts w:hint="eastAsia" w:ascii="宋体" w:hAnsi="宋体" w:cs="宋体"/>
          <w:b w:val="0"/>
          <w:bCs w:val="0"/>
          <w:kern w:val="0"/>
          <w:sz w:val="28"/>
          <w:szCs w:val="28"/>
          <w:lang w:val="en-US" w:eastAsia="zh-CN"/>
        </w:rPr>
        <w:t>组织技术人员评价科技项目</w:t>
      </w:r>
      <w:r>
        <w:rPr>
          <w:rFonts w:hint="eastAsia" w:ascii="宋体" w:hAnsi="宋体" w:eastAsia="宋体" w:cs="宋体"/>
          <w:b w:val="0"/>
          <w:bCs w:val="0"/>
          <w:kern w:val="0"/>
          <w:sz w:val="28"/>
          <w:szCs w:val="28"/>
        </w:rPr>
        <w:t>，出具</w:t>
      </w:r>
      <w:r>
        <w:rPr>
          <w:rFonts w:hint="eastAsia" w:ascii="宋体" w:hAnsi="宋体" w:cs="宋体"/>
          <w:b w:val="0"/>
          <w:bCs w:val="0"/>
          <w:kern w:val="0"/>
          <w:sz w:val="28"/>
          <w:szCs w:val="28"/>
          <w:lang w:val="en-US" w:eastAsia="zh-CN"/>
        </w:rPr>
        <w:t>科学技术成果鉴定证书。专家组人数不少于7人，专家组中专家职称级别均要求不低于副高级职称，其中不少于3人为正高级职称。</w:t>
      </w:r>
    </w:p>
    <w:tbl>
      <w:tblPr>
        <w:tblStyle w:val="8"/>
        <w:tblW w:w="8326" w:type="dxa"/>
        <w:tblInd w:w="0" w:type="dxa"/>
        <w:tblLayout w:type="fixed"/>
        <w:tblCellMar>
          <w:top w:w="0" w:type="dxa"/>
          <w:left w:w="0" w:type="dxa"/>
          <w:bottom w:w="0" w:type="dxa"/>
          <w:right w:w="0" w:type="dxa"/>
        </w:tblCellMar>
      </w:tblPr>
      <w:tblGrid>
        <w:gridCol w:w="639"/>
        <w:gridCol w:w="2223"/>
        <w:gridCol w:w="3773"/>
        <w:gridCol w:w="772"/>
        <w:gridCol w:w="919"/>
      </w:tblGrid>
      <w:tr w14:paraId="34FE3CCE">
        <w:tblPrEx>
          <w:tblCellMar>
            <w:top w:w="0" w:type="dxa"/>
            <w:left w:w="0" w:type="dxa"/>
            <w:bottom w:w="0" w:type="dxa"/>
            <w:right w:w="0" w:type="dxa"/>
          </w:tblCellMar>
        </w:tblPrEx>
        <w:trPr>
          <w:trHeight w:val="300" w:hRule="atLeast"/>
        </w:trPr>
        <w:tc>
          <w:tcPr>
            <w:tcW w:w="63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D70F43A">
            <w:pPr>
              <w:widowControl/>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序号</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7BF00A6">
            <w:pPr>
              <w:widowControl/>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采购项目</w:t>
            </w:r>
          </w:p>
        </w:tc>
        <w:tc>
          <w:tcPr>
            <w:tcW w:w="377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C1BB1E3">
            <w:pPr>
              <w:widowControl/>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项目说明</w:t>
            </w:r>
          </w:p>
        </w:tc>
        <w:tc>
          <w:tcPr>
            <w:tcW w:w="77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54C6FAC">
            <w:pPr>
              <w:widowControl/>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数量</w:t>
            </w:r>
          </w:p>
        </w:tc>
        <w:tc>
          <w:tcPr>
            <w:tcW w:w="91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68BF8429">
            <w:pPr>
              <w:widowControl/>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单位</w:t>
            </w:r>
          </w:p>
        </w:tc>
      </w:tr>
      <w:tr w14:paraId="273633FA">
        <w:tblPrEx>
          <w:tblCellMar>
            <w:top w:w="0" w:type="dxa"/>
            <w:left w:w="0" w:type="dxa"/>
            <w:bottom w:w="0" w:type="dxa"/>
            <w:right w:w="0" w:type="dxa"/>
          </w:tblCellMar>
        </w:tblPrEx>
        <w:trPr>
          <w:trHeight w:val="1500" w:hRule="atLeast"/>
        </w:trPr>
        <w:tc>
          <w:tcPr>
            <w:tcW w:w="63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2C9EBDE8">
            <w:pPr>
              <w:widowControl/>
              <w:jc w:val="center"/>
              <w:textAlignment w:val="center"/>
              <w:rPr>
                <w:rFonts w:ascii="宋体" w:hAnsi="宋体" w:cs="宋体"/>
                <w:color w:val="000000"/>
                <w:sz w:val="28"/>
                <w:szCs w:val="28"/>
              </w:rPr>
            </w:pPr>
            <w:r>
              <w:rPr>
                <w:rFonts w:hint="eastAsia" w:ascii="宋体" w:hAnsi="宋体" w:cs="宋体"/>
                <w:color w:val="000000"/>
                <w:kern w:val="0"/>
                <w:sz w:val="28"/>
                <w:szCs w:val="28"/>
                <w:lang w:bidi="ar"/>
              </w:rPr>
              <w:t>1</w:t>
            </w:r>
          </w:p>
        </w:tc>
        <w:tc>
          <w:tcPr>
            <w:tcW w:w="222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7861C782">
            <w:pPr>
              <w:widowControl/>
              <w:jc w:val="left"/>
              <w:textAlignment w:val="center"/>
              <w:rPr>
                <w:rFonts w:ascii="宋体" w:hAnsi="宋体" w:cs="宋体"/>
                <w:color w:val="000000"/>
                <w:sz w:val="28"/>
                <w:szCs w:val="28"/>
              </w:rPr>
            </w:pPr>
            <w:r>
              <w:rPr>
                <w:rFonts w:hint="eastAsia" w:ascii="宋体" w:hAnsi="宋体" w:cs="宋体"/>
                <w:color w:val="000000"/>
                <w:sz w:val="28"/>
                <w:szCs w:val="28"/>
              </w:rPr>
              <w:t>““基于虚拟电厂平台的台区储能‘承载力-调控-电能质量’优化解决方案”技术研究报告”项目科学技术成果鉴定</w:t>
            </w:r>
          </w:p>
        </w:tc>
        <w:tc>
          <w:tcPr>
            <w:tcW w:w="3773"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E6782CB">
            <w:pPr>
              <w:widowControl/>
              <w:jc w:val="left"/>
              <w:textAlignment w:val="center"/>
              <w:rPr>
                <w:rFonts w:hint="eastAsia" w:ascii="宋体" w:hAnsi="宋体"/>
                <w:sz w:val="28"/>
                <w:szCs w:val="28"/>
                <w:lang w:val="en-US" w:eastAsia="zh-CN"/>
              </w:rPr>
            </w:pPr>
            <w:r>
              <w:rPr>
                <w:rFonts w:hint="eastAsia" w:ascii="宋体" w:hAnsi="宋体"/>
                <w:sz w:val="28"/>
                <w:szCs w:val="28"/>
                <w:lang w:val="en-US" w:eastAsia="zh-CN"/>
              </w:rPr>
              <w:t>根据本项目的技术研发情况、虚拟电厂商业运营模式研究情况、可调资源市场开拓及接入情况，出具《“基于虚拟电厂平台的台区储能‘承载力-调控-电能质量’优化解决方案”科学技术成果鉴定证书》；</w:t>
            </w:r>
          </w:p>
          <w:p w14:paraId="2C78E0B8">
            <w:pPr>
              <w:widowControl/>
              <w:jc w:val="left"/>
              <w:textAlignment w:val="center"/>
              <w:rPr>
                <w:rFonts w:ascii="宋体" w:hAnsi="宋体" w:cs="宋体"/>
                <w:color w:val="000000"/>
                <w:sz w:val="28"/>
                <w:szCs w:val="28"/>
              </w:rPr>
            </w:pPr>
          </w:p>
        </w:tc>
        <w:tc>
          <w:tcPr>
            <w:tcW w:w="772"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3921484F">
            <w:pPr>
              <w:widowControl/>
              <w:jc w:val="center"/>
              <w:textAlignment w:val="center"/>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1</w:t>
            </w:r>
          </w:p>
        </w:tc>
        <w:tc>
          <w:tcPr>
            <w:tcW w:w="919" w:type="dxa"/>
            <w:tcBorders>
              <w:top w:val="single" w:color="000000" w:sz="4" w:space="0"/>
              <w:left w:val="single" w:color="000000" w:sz="4" w:space="0"/>
              <w:bottom w:val="single" w:color="000000" w:sz="4" w:space="0"/>
              <w:right w:val="single" w:color="000000" w:sz="4" w:space="0"/>
            </w:tcBorders>
            <w:shd w:val="clear" w:color="auto" w:fill="auto"/>
            <w:tcMar>
              <w:top w:w="10" w:type="dxa"/>
              <w:left w:w="10" w:type="dxa"/>
              <w:right w:w="10" w:type="dxa"/>
            </w:tcMar>
            <w:vAlign w:val="center"/>
          </w:tcPr>
          <w:p w14:paraId="08F8F03B">
            <w:pPr>
              <w:widowControl/>
              <w:jc w:val="center"/>
              <w:textAlignment w:val="center"/>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项</w:t>
            </w:r>
          </w:p>
        </w:tc>
      </w:tr>
    </w:tbl>
    <w:p w14:paraId="6EF7A788">
      <w:pPr>
        <w:autoSpaceDE w:val="0"/>
        <w:autoSpaceDN w:val="0"/>
        <w:adjustRightInd w:val="0"/>
        <w:spacing w:line="360" w:lineRule="auto"/>
        <w:jc w:val="left"/>
        <w:outlineLvl w:val="0"/>
        <w:rPr>
          <w:rFonts w:cs="宋体"/>
          <w:sz w:val="28"/>
          <w:szCs w:val="28"/>
        </w:rPr>
      </w:pPr>
      <w:bookmarkStart w:id="3" w:name="_Toc29603_WPSOffice_Level1"/>
      <w:r>
        <w:rPr>
          <w:rFonts w:hint="eastAsia" w:cs="宋体"/>
          <w:sz w:val="28"/>
          <w:szCs w:val="28"/>
          <w:lang w:val="en-US" w:eastAsia="zh-CN"/>
        </w:rPr>
        <w:t>8</w:t>
      </w:r>
      <w:r>
        <w:rPr>
          <w:rFonts w:hint="eastAsia" w:cs="宋体"/>
          <w:sz w:val="28"/>
          <w:szCs w:val="28"/>
        </w:rPr>
        <w:t>、</w:t>
      </w:r>
      <w:r>
        <w:rPr>
          <w:rFonts w:hint="eastAsia" w:ascii="宋体" w:cs="宋体"/>
          <w:b/>
          <w:bCs/>
          <w:kern w:val="0"/>
          <w:sz w:val="28"/>
          <w:szCs w:val="28"/>
        </w:rPr>
        <w:t>技术</w:t>
      </w:r>
      <w:r>
        <w:rPr>
          <w:rFonts w:hint="eastAsia" w:ascii="宋体" w:cs="宋体"/>
          <w:b/>
          <w:bCs/>
          <w:kern w:val="0"/>
          <w:sz w:val="28"/>
          <w:szCs w:val="28"/>
          <w:lang w:val="en-US" w:eastAsia="zh-CN"/>
        </w:rPr>
        <w:t>评价</w:t>
      </w:r>
      <w:r>
        <w:rPr>
          <w:rFonts w:hint="eastAsia" w:ascii="宋体" w:cs="宋体"/>
          <w:b/>
          <w:bCs/>
          <w:kern w:val="0"/>
          <w:sz w:val="28"/>
          <w:szCs w:val="28"/>
        </w:rPr>
        <w:t>计划</w:t>
      </w:r>
      <w:bookmarkEnd w:id="3"/>
    </w:p>
    <w:tbl>
      <w:tblPr>
        <w:tblStyle w:val="8"/>
        <w:tblW w:w="7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6701"/>
      </w:tblGrid>
      <w:tr w14:paraId="6F632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jc w:val="center"/>
        </w:trPr>
        <w:tc>
          <w:tcPr>
            <w:tcW w:w="1250" w:type="dxa"/>
            <w:vAlign w:val="center"/>
          </w:tcPr>
          <w:p w14:paraId="16FE2916">
            <w:pPr>
              <w:adjustRightInd w:val="0"/>
              <w:snapToGrid w:val="0"/>
              <w:spacing w:line="320" w:lineRule="exact"/>
              <w:jc w:val="center"/>
              <w:rPr>
                <w:rFonts w:ascii="宋体" w:hAnsi="宋体" w:cs="宋体"/>
                <w:sz w:val="28"/>
                <w:szCs w:val="28"/>
              </w:rPr>
            </w:pPr>
            <w:r>
              <w:rPr>
                <w:rFonts w:hint="eastAsia" w:ascii="宋体" w:hAnsi="宋体" w:cs="宋体"/>
                <w:sz w:val="28"/>
                <w:szCs w:val="28"/>
              </w:rPr>
              <w:t>时间节点</w:t>
            </w:r>
          </w:p>
        </w:tc>
        <w:tc>
          <w:tcPr>
            <w:tcW w:w="6701" w:type="dxa"/>
            <w:vAlign w:val="center"/>
          </w:tcPr>
          <w:p w14:paraId="377DD504">
            <w:pPr>
              <w:adjustRightInd w:val="0"/>
              <w:snapToGrid w:val="0"/>
              <w:spacing w:line="320" w:lineRule="exact"/>
              <w:jc w:val="center"/>
              <w:rPr>
                <w:rFonts w:ascii="宋体" w:hAnsi="宋体" w:cs="宋体"/>
                <w:sz w:val="28"/>
                <w:szCs w:val="28"/>
              </w:rPr>
            </w:pPr>
            <w:r>
              <w:rPr>
                <w:rFonts w:hint="eastAsia" w:ascii="宋体" w:hAnsi="宋体" w:cs="宋体"/>
                <w:sz w:val="28"/>
                <w:szCs w:val="28"/>
              </w:rPr>
              <w:t>完成内容及交付项</w:t>
            </w:r>
          </w:p>
        </w:tc>
      </w:tr>
      <w:tr w14:paraId="58993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5" w:hRule="atLeast"/>
          <w:jc w:val="center"/>
        </w:trPr>
        <w:tc>
          <w:tcPr>
            <w:tcW w:w="1250" w:type="dxa"/>
            <w:vAlign w:val="center"/>
          </w:tcPr>
          <w:p w14:paraId="5C259D35">
            <w:pPr>
              <w:adjustRightInd w:val="0"/>
              <w:snapToGrid w:val="0"/>
              <w:spacing w:line="320" w:lineRule="exact"/>
              <w:rPr>
                <w:rFonts w:hint="default" w:ascii="宋体" w:hAnsi="宋体" w:cs="宋体"/>
                <w:sz w:val="28"/>
                <w:szCs w:val="28"/>
              </w:rPr>
            </w:pPr>
            <w:r>
              <w:rPr>
                <w:rFonts w:hint="eastAsia" w:ascii="宋体" w:hAnsi="宋体" w:cs="宋体"/>
                <w:sz w:val="28"/>
                <w:szCs w:val="28"/>
              </w:rPr>
              <w:t>甲方对指定项目提出鉴定要求后的</w:t>
            </w:r>
            <w:r>
              <w:rPr>
                <w:rFonts w:hint="eastAsia" w:ascii="宋体" w:hAnsi="宋体" w:cs="宋体"/>
                <w:sz w:val="28"/>
                <w:szCs w:val="28"/>
                <w:lang w:val="en-US" w:eastAsia="zh-CN"/>
              </w:rPr>
              <w:t>20</w:t>
            </w:r>
            <w:r>
              <w:rPr>
                <w:rFonts w:hint="eastAsia" w:ascii="宋体" w:hAnsi="宋体" w:cs="宋体"/>
                <w:sz w:val="28"/>
                <w:szCs w:val="28"/>
              </w:rPr>
              <w:t>天内</w:t>
            </w:r>
            <w:r>
              <w:rPr>
                <w:rFonts w:hint="eastAsia" w:ascii="宋体" w:hAnsi="宋体" w:cs="宋体"/>
                <w:sz w:val="28"/>
                <w:szCs w:val="28"/>
                <w:lang w:val="en-US" w:eastAsia="zh-CN"/>
              </w:rPr>
              <w:t>。</w:t>
            </w:r>
          </w:p>
        </w:tc>
        <w:tc>
          <w:tcPr>
            <w:tcW w:w="6701" w:type="dxa"/>
            <w:vAlign w:val="center"/>
          </w:tcPr>
          <w:p w14:paraId="336B86EB">
            <w:pPr>
              <w:adjustRightInd w:val="0"/>
              <w:snapToGrid w:val="0"/>
              <w:spacing w:line="320" w:lineRule="exact"/>
              <w:rPr>
                <w:rFonts w:ascii="宋体" w:hAnsi="宋体" w:cs="宋体"/>
                <w:sz w:val="28"/>
                <w:szCs w:val="28"/>
              </w:rPr>
            </w:pPr>
            <w:r>
              <w:rPr>
                <w:rFonts w:hint="eastAsia" w:ascii="宋体" w:hAnsi="宋体" w:cs="宋体"/>
                <w:sz w:val="28"/>
                <w:szCs w:val="28"/>
              </w:rPr>
              <w:t>完成的内容：</w:t>
            </w:r>
          </w:p>
          <w:p w14:paraId="555899A8">
            <w:pPr>
              <w:spacing w:line="320" w:lineRule="exact"/>
              <w:jc w:val="left"/>
              <w:rPr>
                <w:rFonts w:ascii="宋体" w:hAnsi="宋体" w:cs="宋体"/>
                <w:sz w:val="28"/>
                <w:szCs w:val="28"/>
              </w:rPr>
            </w:pPr>
            <w:r>
              <w:rPr>
                <w:rFonts w:hint="eastAsia" w:ascii="宋体" w:hAnsi="宋体"/>
                <w:sz w:val="28"/>
                <w:szCs w:val="28"/>
                <w:lang w:val="en-US" w:eastAsia="zh-CN"/>
              </w:rPr>
              <w:t>出具《“基于虚拟电厂平台的台区储能‘承载力-调控-电能质量’优化解决方案”科学技术成果鉴定证书》</w:t>
            </w:r>
            <w:r>
              <w:rPr>
                <w:rFonts w:hint="eastAsia" w:ascii="宋体" w:hAnsi="宋体"/>
                <w:sz w:val="28"/>
                <w:szCs w:val="28"/>
              </w:rPr>
              <w:t>。</w:t>
            </w:r>
          </w:p>
        </w:tc>
      </w:tr>
    </w:tbl>
    <w:p w14:paraId="2145353F">
      <w:pPr>
        <w:autoSpaceDE w:val="0"/>
        <w:autoSpaceDN w:val="0"/>
        <w:adjustRightInd w:val="0"/>
        <w:spacing w:line="360" w:lineRule="auto"/>
        <w:jc w:val="left"/>
        <w:outlineLvl w:val="0"/>
        <w:rPr>
          <w:rFonts w:cs="宋体"/>
          <w:sz w:val="28"/>
          <w:szCs w:val="28"/>
        </w:rPr>
      </w:pPr>
      <w:bookmarkStart w:id="4" w:name="_Toc3145_WPSOffice_Level1"/>
      <w:r>
        <w:rPr>
          <w:rFonts w:hint="eastAsia" w:cs="宋体"/>
          <w:sz w:val="28"/>
          <w:szCs w:val="28"/>
          <w:lang w:val="en-US" w:eastAsia="zh-CN"/>
        </w:rPr>
        <w:t>9</w:t>
      </w:r>
      <w:r>
        <w:rPr>
          <w:rFonts w:hint="eastAsia" w:cs="宋体"/>
          <w:sz w:val="28"/>
          <w:szCs w:val="28"/>
        </w:rPr>
        <w:t>、</w:t>
      </w:r>
      <w:r>
        <w:rPr>
          <w:rFonts w:hint="eastAsia" w:ascii="宋体" w:cs="宋体"/>
          <w:b/>
          <w:bCs/>
          <w:kern w:val="0"/>
          <w:sz w:val="28"/>
          <w:szCs w:val="28"/>
        </w:rPr>
        <w:t>项目交付物</w:t>
      </w:r>
      <w:bookmarkEnd w:id="4"/>
    </w:p>
    <w:p w14:paraId="54B326B5">
      <w:pPr>
        <w:pStyle w:val="13"/>
        <w:numPr>
          <w:ilvl w:val="0"/>
          <w:numId w:val="1"/>
        </w:numPr>
        <w:spacing w:line="360" w:lineRule="auto"/>
        <w:ind w:left="14" w:firstLine="560"/>
        <w:rPr>
          <w:rFonts w:hint="eastAsia" w:ascii="宋体" w:hAnsi="宋体" w:eastAsia="宋体" w:cs="宋体"/>
          <w:b w:val="0"/>
          <w:bCs w:val="0"/>
          <w:kern w:val="0"/>
          <w:sz w:val="28"/>
          <w:szCs w:val="28"/>
          <w:lang w:val="en-US" w:eastAsia="zh-CN" w:bidi="ar-SA"/>
        </w:rPr>
      </w:pPr>
      <w:r>
        <w:rPr>
          <w:rFonts w:hint="eastAsia" w:ascii="宋体" w:hAnsi="宋体" w:eastAsia="宋体" w:cs="宋体"/>
          <w:b w:val="0"/>
          <w:bCs w:val="0"/>
          <w:kern w:val="0"/>
          <w:sz w:val="28"/>
          <w:szCs w:val="28"/>
          <w:lang w:val="en-US" w:eastAsia="zh-CN" w:bidi="ar-SA"/>
        </w:rPr>
        <w:t>《“</w:t>
      </w:r>
      <w:r>
        <w:rPr>
          <w:rFonts w:hint="eastAsia" w:ascii="宋体" w:hAnsi="宋体"/>
          <w:sz w:val="28"/>
          <w:szCs w:val="28"/>
          <w:lang w:val="en-US" w:eastAsia="zh-CN"/>
        </w:rPr>
        <w:t>基于虚拟电厂平台的台区储能‘承载力-调控-电能质量’优化解决方案</w:t>
      </w:r>
      <w:r>
        <w:rPr>
          <w:rFonts w:hint="eastAsia" w:ascii="宋体" w:hAnsi="宋体" w:eastAsia="宋体" w:cs="宋体"/>
          <w:b w:val="0"/>
          <w:bCs w:val="0"/>
          <w:kern w:val="0"/>
          <w:sz w:val="28"/>
          <w:szCs w:val="28"/>
          <w:lang w:val="en-US" w:eastAsia="zh-CN" w:bidi="ar-SA"/>
        </w:rPr>
        <w:t>”科学技术成</w:t>
      </w:r>
      <w:bookmarkStart w:id="5" w:name="_GoBack"/>
      <w:bookmarkEnd w:id="5"/>
      <w:r>
        <w:rPr>
          <w:rFonts w:hint="eastAsia" w:ascii="宋体" w:hAnsi="宋体" w:eastAsia="宋体" w:cs="宋体"/>
          <w:b w:val="0"/>
          <w:bCs w:val="0"/>
          <w:kern w:val="0"/>
          <w:sz w:val="28"/>
          <w:szCs w:val="28"/>
          <w:lang w:val="en-US" w:eastAsia="zh-CN" w:bidi="ar-SA"/>
        </w:rPr>
        <w:t>果鉴定证书</w:t>
      </w:r>
      <w:r>
        <w:rPr>
          <w:rFonts w:hint="eastAsia" w:ascii="宋体" w:hAnsi="宋体" w:cs="宋体"/>
          <w:b w:val="0"/>
          <w:bCs w:val="0"/>
          <w:kern w:val="0"/>
          <w:sz w:val="28"/>
          <w:szCs w:val="28"/>
          <w:lang w:val="en-US" w:eastAsia="zh-CN" w:bidi="ar-SA"/>
        </w:rPr>
        <w:t>》</w:t>
      </w:r>
    </w:p>
    <w:p w14:paraId="3D4A2CF7">
      <w:pPr>
        <w:widowControl/>
        <w:jc w:val="left"/>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3B6531"/>
    <w:multiLevelType w:val="singleLevel"/>
    <w:tmpl w:val="B83B6531"/>
    <w:lvl w:ilvl="0" w:tentative="0">
      <w:start w:val="1"/>
      <w:numFmt w:val="decimal"/>
      <w:suff w:val="space"/>
      <w:lvlText w:val="(%1)"/>
      <w:lvlJc w:val="left"/>
      <w:pPr>
        <w:ind w:left="454" w:hanging="45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zNGZkOTUwZWQ2YzAxMjAxYWRmN2M3YTgzMjk3M2EifQ=="/>
  </w:docVars>
  <w:rsids>
    <w:rsidRoot w:val="00BF76D0"/>
    <w:rsid w:val="001A7196"/>
    <w:rsid w:val="001B2046"/>
    <w:rsid w:val="00225ABA"/>
    <w:rsid w:val="005B0DB1"/>
    <w:rsid w:val="006B51BA"/>
    <w:rsid w:val="007220DD"/>
    <w:rsid w:val="008A7303"/>
    <w:rsid w:val="00B374C3"/>
    <w:rsid w:val="00BF76D0"/>
    <w:rsid w:val="00CC5D10"/>
    <w:rsid w:val="00CF0831"/>
    <w:rsid w:val="00D55A27"/>
    <w:rsid w:val="00D85666"/>
    <w:rsid w:val="00EE4D26"/>
    <w:rsid w:val="03243133"/>
    <w:rsid w:val="05EA5E32"/>
    <w:rsid w:val="0881612C"/>
    <w:rsid w:val="0ABA2849"/>
    <w:rsid w:val="0DBA6115"/>
    <w:rsid w:val="12ED1E9A"/>
    <w:rsid w:val="17B3580D"/>
    <w:rsid w:val="1A2E3780"/>
    <w:rsid w:val="1B7A3BFE"/>
    <w:rsid w:val="24F57420"/>
    <w:rsid w:val="28163FB6"/>
    <w:rsid w:val="2A562545"/>
    <w:rsid w:val="2B4226A4"/>
    <w:rsid w:val="2C6F3CAC"/>
    <w:rsid w:val="2D622504"/>
    <w:rsid w:val="355C036B"/>
    <w:rsid w:val="3BD14160"/>
    <w:rsid w:val="40392F44"/>
    <w:rsid w:val="42642970"/>
    <w:rsid w:val="42E32F4C"/>
    <w:rsid w:val="43B104BA"/>
    <w:rsid w:val="443A6796"/>
    <w:rsid w:val="477C2455"/>
    <w:rsid w:val="493C29DE"/>
    <w:rsid w:val="4D1E2226"/>
    <w:rsid w:val="4E9857BD"/>
    <w:rsid w:val="4F654768"/>
    <w:rsid w:val="50B84DFB"/>
    <w:rsid w:val="5344639C"/>
    <w:rsid w:val="56955AC7"/>
    <w:rsid w:val="56AB6FEB"/>
    <w:rsid w:val="571F6FA6"/>
    <w:rsid w:val="578F5131"/>
    <w:rsid w:val="59786D1A"/>
    <w:rsid w:val="5B860C2C"/>
    <w:rsid w:val="6123116D"/>
    <w:rsid w:val="66073993"/>
    <w:rsid w:val="68430A67"/>
    <w:rsid w:val="69B96762"/>
    <w:rsid w:val="6C93065A"/>
    <w:rsid w:val="6DE61802"/>
    <w:rsid w:val="71953028"/>
    <w:rsid w:val="763E0E8A"/>
    <w:rsid w:val="FF9D18A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rFonts w:ascii="Times New Roman" w:hAnsi="Times New Roman"/>
      <w:b/>
      <w:bCs/>
      <w:kern w:val="44"/>
      <w:sz w:val="44"/>
      <w:szCs w:val="44"/>
    </w:rPr>
  </w:style>
  <w:style w:type="paragraph" w:styleId="3">
    <w:name w:val="heading 3"/>
    <w:basedOn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0"/>
    <w:pPr>
      <w:spacing w:after="120"/>
    </w:p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uiPriority w:val="0"/>
    <w:rPr>
      <w:sz w:val="24"/>
    </w:rPr>
  </w:style>
  <w:style w:type="table" w:styleId="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paragraph" w:customStyle="1" w:styleId="11">
    <w:name w:val="WPSOffice手动目录 1"/>
    <w:qFormat/>
    <w:uiPriority w:val="0"/>
    <w:rPr>
      <w:rFonts w:ascii="Times New Roman" w:hAnsi="Times New Roman" w:eastAsia="宋体" w:cs="Times New Roman"/>
      <w:lang w:val="en-US" w:eastAsia="zh-CN" w:bidi="ar-SA"/>
    </w:rPr>
  </w:style>
  <w:style w:type="paragraph" w:customStyle="1" w:styleId="12">
    <w:name w:val="WPSOffice手动目录 2"/>
    <w:qFormat/>
    <w:uiPriority w:val="0"/>
    <w:pPr>
      <w:ind w:left="200" w:leftChars="200"/>
    </w:pPr>
    <w:rPr>
      <w:rFonts w:ascii="Times New Roman" w:hAnsi="Times New Roman" w:eastAsia="宋体" w:cs="Times New Roman"/>
      <w:lang w:val="en-US" w:eastAsia="zh-CN" w:bidi="ar-SA"/>
    </w:rPr>
  </w:style>
  <w:style w:type="paragraph" w:styleId="13">
    <w:name w:val="List Paragraph"/>
    <w:basedOn w:val="1"/>
    <w:qFormat/>
    <w:uiPriority w:val="99"/>
    <w:pPr>
      <w:ind w:firstLine="420" w:firstLineChars="200"/>
    </w:pPr>
  </w:style>
  <w:style w:type="character" w:customStyle="1" w:styleId="14">
    <w:name w:val="页眉 字符"/>
    <w:basedOn w:val="10"/>
    <w:link w:val="6"/>
    <w:qFormat/>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11</Pages>
  <Words>4682</Words>
  <Characters>4789</Characters>
  <Lines>33</Lines>
  <Paragraphs>9</Paragraphs>
  <TotalTime>2</TotalTime>
  <ScaleCrop>false</ScaleCrop>
  <LinksUpToDate>false</LinksUpToDate>
  <CharactersWithSpaces>4791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huangzhen2</dc:creator>
  <cp:lastModifiedBy>钟楚钰</cp:lastModifiedBy>
  <dcterms:modified xsi:type="dcterms:W3CDTF">2026-07-10T06:49:39Z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6C7A2DB566E44BB5A6D7A8FDA341E9E7_13</vt:lpwstr>
  </property>
  <property fmtid="{D5CDD505-2E9C-101B-9397-08002B2CF9AE}" pid="4" name="KSOTemplateDocerSaveRecord">
    <vt:lpwstr>eyJoZGlkIjoiMzEwNTM5NzYwMDRjMzkwZTVkZjY2ODkwMGIxNGU0OTUiLCJ1c2VySWQiOiIxMjg1NzM3MDc4In0=</vt:lpwstr>
  </property>
</Properties>
</file>