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B60B4C">
      <w:pPr>
        <w:widowControl/>
        <w:shd w:val="clear" w:color="FFFFFF" w:fill="FFFFFF"/>
        <w:spacing w:before="640" w:after="560" w:line="560" w:lineRule="exact"/>
        <w:jc w:val="center"/>
        <w:rPr>
          <w:rFonts w:ascii="黑体" w:hAnsi="Times New Roman" w:eastAsia="黑体" w:cs="Times New Roman"/>
          <w:b/>
          <w:kern w:val="0"/>
          <w:sz w:val="32"/>
          <w:szCs w:val="20"/>
        </w:rPr>
      </w:pPr>
      <w:r>
        <w:rPr>
          <w:rFonts w:ascii="黑体" w:hAnsi="Times New Roman" w:eastAsia="黑体" w:cs="Times New Roman"/>
          <w:b/>
          <w:kern w:val="0"/>
          <w:sz w:val="32"/>
          <w:szCs w:val="20"/>
        </w:rPr>
        <w:drawing>
          <wp:anchor distT="0" distB="0" distL="114300" distR="114300" simplePos="0" relativeHeight="251659264" behindDoc="0" locked="0" layoutInCell="1" allowOverlap="1">
            <wp:simplePos x="0" y="0"/>
            <wp:positionH relativeFrom="column">
              <wp:posOffset>-1196340</wp:posOffset>
            </wp:positionH>
            <wp:positionV relativeFrom="paragraph">
              <wp:posOffset>-757555</wp:posOffset>
            </wp:positionV>
            <wp:extent cx="7675880" cy="10876280"/>
            <wp:effectExtent l="0" t="0" r="1905" b="1905"/>
            <wp:wrapNone/>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675685" cy="10876084"/>
                    </a:xfrm>
                    <a:prstGeom prst="rect">
                      <a:avLst/>
                    </a:prstGeom>
                    <a:solidFill>
                      <a:srgbClr val="FFFFFF"/>
                    </a:solidFill>
                    <a:ln>
                      <a:noFill/>
                    </a:ln>
                  </pic:spPr>
                </pic:pic>
              </a:graphicData>
            </a:graphic>
          </wp:anchor>
        </w:drawing>
      </w:r>
    </w:p>
    <w:p w14:paraId="564C4155">
      <w:pPr>
        <w:spacing w:line="560" w:lineRule="exact"/>
        <w:rPr>
          <w:rFonts w:ascii="Times New Roman" w:hAnsi="Times New Roman" w:eastAsia="宋体" w:cs="Times New Roman"/>
          <w:szCs w:val="24"/>
        </w:rPr>
      </w:pPr>
    </w:p>
    <w:p w14:paraId="3AB22F98">
      <w:pPr>
        <w:spacing w:line="560" w:lineRule="exact"/>
        <w:rPr>
          <w:rFonts w:ascii="Times New Roman" w:hAnsi="Times New Roman" w:eastAsia="宋体" w:cs="Times New Roman"/>
          <w:szCs w:val="24"/>
        </w:rPr>
      </w:pPr>
    </w:p>
    <w:p w14:paraId="591B49EE">
      <w:pPr>
        <w:spacing w:line="560" w:lineRule="exact"/>
        <w:rPr>
          <w:rFonts w:ascii="Times New Roman" w:hAnsi="Times New Roman" w:eastAsia="宋体" w:cs="Times New Roman"/>
          <w:szCs w:val="24"/>
        </w:rPr>
      </w:pPr>
    </w:p>
    <w:p w14:paraId="6CDD09DA">
      <w:pPr>
        <w:spacing w:line="560" w:lineRule="exact"/>
        <w:jc w:val="center"/>
        <w:rPr>
          <w:rFonts w:ascii="Times New Roman" w:hAnsi="Times New Roman" w:eastAsia="宋体" w:cs="Times New Roman"/>
          <w:b/>
          <w:bCs/>
          <w:sz w:val="28"/>
          <w:szCs w:val="28"/>
        </w:rPr>
      </w:pPr>
      <w:r>
        <w:rPr>
          <w:rFonts w:ascii="黑体" w:hAnsi="Times New Roman" w:eastAsia="黑体" w:cs="Times New Roman"/>
          <w:b/>
          <w:kern w:val="0"/>
          <w:sz w:val="32"/>
          <w:szCs w:val="20"/>
        </w:rPr>
        <mc:AlternateContent>
          <mc:Choice Requires="wps">
            <w:drawing>
              <wp:anchor distT="0" distB="0" distL="114300" distR="114300" simplePos="0" relativeHeight="251663360" behindDoc="0" locked="0" layoutInCell="1" allowOverlap="1">
                <wp:simplePos x="0" y="0"/>
                <wp:positionH relativeFrom="column">
                  <wp:posOffset>215265</wp:posOffset>
                </wp:positionH>
                <wp:positionV relativeFrom="paragraph">
                  <wp:posOffset>355600</wp:posOffset>
                </wp:positionV>
                <wp:extent cx="4934585" cy="59626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4934585" cy="596265"/>
                        </a:xfrm>
                        <a:prstGeom prst="rect">
                          <a:avLst/>
                        </a:prstGeom>
                        <a:noFill/>
                        <a:ln>
                          <a:noFill/>
                        </a:ln>
                        <a:effectLst/>
                      </wps:spPr>
                      <wps:txbx>
                        <w:txbxContent>
                          <w:p w14:paraId="51E87BF7">
                            <w:pPr>
                              <w:rPr>
                                <w:rFonts w:ascii="黑体" w:hAnsi="黑体" w:eastAsia="黑体"/>
                                <w:b/>
                                <w:sz w:val="52"/>
                                <w:szCs w:val="52"/>
                              </w:rPr>
                            </w:pPr>
                            <w:r>
                              <w:rPr>
                                <w:rFonts w:hint="eastAsia" w:ascii="黑体" w:hAnsi="黑体" w:eastAsia="黑体"/>
                                <w:b/>
                                <w:sz w:val="52"/>
                                <w:szCs w:val="52"/>
                              </w:rPr>
                              <w:t>南方海上风电联合开发有限公司</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6.95pt;margin-top:28pt;height:46.95pt;width:388.55pt;z-index:251663360;mso-width-relative:page;mso-height-relative:page;" filled="f" stroked="f" coordsize="21600,21600" o:gfxdata="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KancbWAAAACQEA&#10;AA8AAAAAAAAAAQAgAAAAIgAAAGRycy9kb3ducmV2LnhtbFBLAQIUABQAAAAIAIdO4kCeU/VhHAIA&#10;ACMEAAAOAAAAAAAAAAEAIAAAACUBAABkcnMvZTJvRG9jLnhtbFBLBQYAAAAABgAGAFkBAACzBQAA&#10;AAA=&#10;">
                <v:fill on="f" focussize="0,0"/>
                <v:stroke on="f"/>
                <v:imagedata o:title=""/>
                <o:lock v:ext="edit" aspectratio="f"/>
                <v:textbox>
                  <w:txbxContent>
                    <w:p w14:paraId="51E87BF7">
                      <w:pPr>
                        <w:rPr>
                          <w:rFonts w:ascii="黑体" w:hAnsi="黑体" w:eastAsia="黑体"/>
                          <w:b/>
                          <w:sz w:val="52"/>
                          <w:szCs w:val="52"/>
                        </w:rPr>
                      </w:pPr>
                      <w:r>
                        <w:rPr>
                          <w:rFonts w:hint="eastAsia" w:ascii="黑体" w:hAnsi="黑体" w:eastAsia="黑体"/>
                          <w:b/>
                          <w:sz w:val="52"/>
                          <w:szCs w:val="52"/>
                        </w:rPr>
                        <w:t>南方海上风电联合开发有限公司</w:t>
                      </w:r>
                    </w:p>
                  </w:txbxContent>
                </v:textbox>
              </v:shape>
            </w:pict>
          </mc:Fallback>
        </mc:AlternateContent>
      </w:r>
    </w:p>
    <w:p w14:paraId="06738DD6">
      <w:pPr>
        <w:spacing w:line="560" w:lineRule="exact"/>
        <w:jc w:val="center"/>
        <w:rPr>
          <w:rFonts w:ascii="Times New Roman" w:hAnsi="Times New Roman" w:eastAsia="宋体" w:cs="Times New Roman"/>
          <w:b/>
          <w:bCs/>
          <w:sz w:val="28"/>
          <w:szCs w:val="28"/>
        </w:rPr>
      </w:pPr>
    </w:p>
    <w:p w14:paraId="76ADA6DC">
      <w:pPr>
        <w:spacing w:line="560" w:lineRule="exact"/>
        <w:jc w:val="center"/>
        <w:rPr>
          <w:rFonts w:ascii="Times New Roman" w:hAnsi="Times New Roman" w:eastAsia="宋体" w:cs="Times New Roman"/>
          <w:b/>
          <w:bCs/>
          <w:sz w:val="28"/>
          <w:szCs w:val="28"/>
        </w:rPr>
      </w:pPr>
    </w:p>
    <w:p w14:paraId="1222E856">
      <w:pPr>
        <w:spacing w:line="560" w:lineRule="exact"/>
        <w:jc w:val="center"/>
        <w:rPr>
          <w:rFonts w:ascii="Times New Roman" w:hAnsi="Times New Roman" w:eastAsia="宋体" w:cs="Times New Roman"/>
          <w:b/>
          <w:bCs/>
          <w:sz w:val="28"/>
          <w:szCs w:val="28"/>
        </w:rPr>
      </w:pPr>
      <w:r>
        <w:rPr>
          <w:rFonts w:ascii="Times New Roman" w:hAnsi="Times New Roman" w:eastAsia="宋体" w:cs="Times New Roman"/>
          <w:szCs w:val="24"/>
        </w:rPr>
        <mc:AlternateContent>
          <mc:Choice Requires="wps">
            <w:drawing>
              <wp:anchor distT="0" distB="0" distL="114300" distR="114300" simplePos="0" relativeHeight="251660288" behindDoc="0" locked="0" layoutInCell="1" allowOverlap="1">
                <wp:simplePos x="0" y="0"/>
                <wp:positionH relativeFrom="column">
                  <wp:posOffset>-693420</wp:posOffset>
                </wp:positionH>
                <wp:positionV relativeFrom="paragraph">
                  <wp:posOffset>132715</wp:posOffset>
                </wp:positionV>
                <wp:extent cx="6370320" cy="982345"/>
                <wp:effectExtent l="0" t="0" r="0" b="0"/>
                <wp:wrapNone/>
                <wp:docPr id="16"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6370320" cy="982345"/>
                        </a:xfrm>
                        <a:prstGeom prst="rect">
                          <a:avLst/>
                        </a:prstGeom>
                        <a:noFill/>
                        <a:ln>
                          <a:noFill/>
                        </a:ln>
                        <a:effectLst/>
                      </wps:spPr>
                      <wps:txbx>
                        <w:txbxContent>
                          <w:p w14:paraId="28D68C41">
                            <w:pPr>
                              <w:jc w:val="center"/>
                              <w:rPr>
                                <w:rFonts w:ascii="宋体" w:hAnsi="宋体" w:eastAsia="宋体"/>
                                <w:b/>
                                <w:bCs/>
                                <w:spacing w:val="-10"/>
                                <w:sz w:val="36"/>
                                <w:szCs w:val="36"/>
                              </w:rPr>
                            </w:pPr>
                            <w:r>
                              <w:rPr>
                                <w:rFonts w:hint="eastAsia" w:ascii="宋体" w:hAnsi="宋体" w:eastAsia="宋体"/>
                                <w:b/>
                                <w:bCs/>
                                <w:spacing w:val="-10"/>
                                <w:sz w:val="36"/>
                                <w:szCs w:val="36"/>
                              </w:rPr>
                              <w:t>风机塔筒升降机低电压穿越装置定制技术规范书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6pt;margin-top:10.45pt;height:77.35pt;width:501.6pt;z-index:251660288;mso-width-relative:page;mso-height-relative:page;" filled="f" stroked="f" coordsize="21600,21600" o:gfxdata="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QeFNJNgAAAAL&#10;AQAADwAAAAAAAAABACAAAAAiAAAAZHJzL2Rvd25yZXYueG1sUEsBAhQAFAAAAAgAh07iQP1W1Fcc&#10;AgAAJQQAAA4AAAAAAAAAAQAgAAAAJwEAAGRycy9lMm9Eb2MueG1sUEsFBgAAAAAGAAYAWQEAALUF&#10;AAAAAA==&#10;">
                <v:fill on="f" focussize="0,0"/>
                <v:stroke on="f"/>
                <v:imagedata o:title=""/>
                <o:lock v:ext="edit" aspectratio="f"/>
                <v:textbox>
                  <w:txbxContent>
                    <w:p w14:paraId="28D68C41">
                      <w:pPr>
                        <w:jc w:val="center"/>
                        <w:rPr>
                          <w:rFonts w:ascii="宋体" w:hAnsi="宋体" w:eastAsia="宋体"/>
                          <w:b/>
                          <w:bCs/>
                          <w:spacing w:val="-10"/>
                          <w:sz w:val="36"/>
                          <w:szCs w:val="36"/>
                        </w:rPr>
                      </w:pPr>
                      <w:r>
                        <w:rPr>
                          <w:rFonts w:hint="eastAsia" w:ascii="宋体" w:hAnsi="宋体" w:eastAsia="宋体"/>
                          <w:b/>
                          <w:bCs/>
                          <w:spacing w:val="-10"/>
                          <w:sz w:val="36"/>
                          <w:szCs w:val="36"/>
                        </w:rPr>
                        <w:t>风机塔筒升降机低电压穿越装置定制技术规范书</w:t>
                      </w:r>
                    </w:p>
                  </w:txbxContent>
                </v:textbox>
              </v:shape>
            </w:pict>
          </mc:Fallback>
        </mc:AlternateContent>
      </w:r>
    </w:p>
    <w:p w14:paraId="35AD8FA9">
      <w:pPr>
        <w:spacing w:line="560" w:lineRule="exact"/>
        <w:jc w:val="center"/>
        <w:rPr>
          <w:rFonts w:ascii="Times New Roman" w:hAnsi="Times New Roman" w:eastAsia="宋体" w:cs="Times New Roman"/>
          <w:b/>
          <w:bCs/>
          <w:sz w:val="28"/>
          <w:szCs w:val="28"/>
        </w:rPr>
      </w:pPr>
    </w:p>
    <w:p w14:paraId="4289B31A">
      <w:pPr>
        <w:spacing w:line="560" w:lineRule="exact"/>
        <w:jc w:val="center"/>
        <w:rPr>
          <w:rFonts w:ascii="Times New Roman" w:hAnsi="Times New Roman" w:eastAsia="宋体" w:cs="Times New Roman"/>
          <w:b/>
          <w:bCs/>
          <w:sz w:val="28"/>
          <w:szCs w:val="28"/>
        </w:rPr>
      </w:pPr>
    </w:p>
    <w:p w14:paraId="2D439335">
      <w:pPr>
        <w:spacing w:line="560" w:lineRule="exact"/>
        <w:jc w:val="center"/>
        <w:rPr>
          <w:rFonts w:ascii="Times New Roman" w:hAnsi="Times New Roman" w:eastAsia="宋体" w:cs="Times New Roman"/>
          <w:b/>
          <w:bCs/>
          <w:sz w:val="28"/>
          <w:szCs w:val="28"/>
        </w:rPr>
      </w:pPr>
    </w:p>
    <w:p w14:paraId="5768D127">
      <w:pPr>
        <w:spacing w:line="560" w:lineRule="exact"/>
        <w:jc w:val="center"/>
        <w:rPr>
          <w:rFonts w:ascii="Times New Roman" w:hAnsi="Times New Roman" w:eastAsia="宋体" w:cs="Times New Roman"/>
          <w:b/>
          <w:bCs/>
          <w:sz w:val="28"/>
          <w:szCs w:val="28"/>
        </w:rPr>
      </w:pPr>
    </w:p>
    <w:p w14:paraId="30D4AB3E">
      <w:pPr>
        <w:spacing w:line="560" w:lineRule="exact"/>
        <w:jc w:val="center"/>
        <w:rPr>
          <w:rFonts w:ascii="Times New Roman" w:hAnsi="Times New Roman" w:eastAsia="宋体" w:cs="Times New Roman"/>
          <w:b/>
          <w:bCs/>
          <w:sz w:val="28"/>
          <w:szCs w:val="28"/>
        </w:rPr>
      </w:pPr>
    </w:p>
    <w:p w14:paraId="023920FA">
      <w:pPr>
        <w:spacing w:line="560" w:lineRule="exact"/>
        <w:jc w:val="center"/>
        <w:rPr>
          <w:rFonts w:ascii="Times New Roman" w:hAnsi="Times New Roman" w:eastAsia="宋体" w:cs="Times New Roman"/>
          <w:b/>
          <w:bCs/>
          <w:sz w:val="28"/>
          <w:szCs w:val="28"/>
        </w:rPr>
      </w:pPr>
    </w:p>
    <w:p w14:paraId="75035B88">
      <w:pPr>
        <w:spacing w:line="560" w:lineRule="exact"/>
        <w:jc w:val="center"/>
        <w:rPr>
          <w:rFonts w:ascii="Times New Roman" w:hAnsi="Times New Roman" w:eastAsia="宋体" w:cs="Times New Roman"/>
          <w:b/>
          <w:bCs/>
          <w:sz w:val="28"/>
          <w:szCs w:val="28"/>
        </w:rPr>
      </w:pPr>
    </w:p>
    <w:p w14:paraId="54CD641A">
      <w:pPr>
        <w:spacing w:line="560" w:lineRule="exact"/>
        <w:jc w:val="center"/>
        <w:rPr>
          <w:rFonts w:ascii="Times New Roman" w:hAnsi="Times New Roman" w:eastAsia="宋体" w:cs="Times New Roman"/>
          <w:b/>
          <w:bCs/>
          <w:sz w:val="28"/>
          <w:szCs w:val="28"/>
        </w:rPr>
      </w:pPr>
    </w:p>
    <w:p w14:paraId="61D7FB0C">
      <w:pPr>
        <w:spacing w:line="560" w:lineRule="exact"/>
        <w:jc w:val="center"/>
        <w:rPr>
          <w:rFonts w:ascii="Times New Roman" w:hAnsi="Times New Roman" w:eastAsia="宋体" w:cs="Times New Roman"/>
          <w:b/>
          <w:bCs/>
          <w:sz w:val="28"/>
          <w:szCs w:val="28"/>
        </w:rPr>
      </w:pPr>
    </w:p>
    <w:p w14:paraId="111ADF7E">
      <w:pPr>
        <w:spacing w:line="560" w:lineRule="exact"/>
        <w:jc w:val="center"/>
        <w:rPr>
          <w:rFonts w:ascii="Times New Roman" w:hAnsi="Times New Roman" w:eastAsia="宋体" w:cs="Times New Roman"/>
          <w:b/>
          <w:bCs/>
          <w:sz w:val="28"/>
          <w:szCs w:val="28"/>
        </w:rPr>
      </w:pPr>
    </w:p>
    <w:p w14:paraId="0BF5A054">
      <w:pPr>
        <w:spacing w:line="560" w:lineRule="exact"/>
        <w:rPr>
          <w:rFonts w:ascii="Times New Roman" w:hAnsi="Times New Roman" w:eastAsia="宋体" w:cs="Times New Roman"/>
          <w:b/>
          <w:bCs/>
          <w:sz w:val="28"/>
          <w:szCs w:val="28"/>
        </w:rPr>
        <w:sectPr>
          <w:footerReference r:id="rId3" w:type="default"/>
          <w:pgSz w:w="11906" w:h="16838"/>
          <w:pgMar w:top="1440" w:right="1800" w:bottom="1440" w:left="1800" w:header="851" w:footer="992" w:gutter="0"/>
          <w:pgBorders w:offsetFrom="page">
            <w:top w:val="single" w:color="FFFFFF" w:sz="8" w:space="24"/>
            <w:left w:val="single" w:color="FFFFFF" w:sz="8" w:space="24"/>
            <w:bottom w:val="single" w:color="FFFFFF" w:sz="8" w:space="24"/>
            <w:right w:val="single" w:color="FFFFFF" w:sz="8" w:space="24"/>
          </w:pgBorders>
          <w:cols w:space="425" w:num="1"/>
          <w:docGrid w:type="lines" w:linePitch="312" w:charSpace="0"/>
        </w:sectPr>
      </w:pPr>
      <w:r>
        <w:rPr>
          <w:rFonts w:ascii="Times New Roman" w:hAnsi="Times New Roman" w:eastAsia="宋体" w:cs="Times New Roman"/>
          <w:szCs w:val="24"/>
        </w:rPr>
        <mc:AlternateContent>
          <mc:Choice Requires="wps">
            <w:drawing>
              <wp:anchor distT="0" distB="0" distL="114300" distR="114300" simplePos="0" relativeHeight="251661312" behindDoc="0" locked="0" layoutInCell="1" allowOverlap="1">
                <wp:simplePos x="0" y="0"/>
                <wp:positionH relativeFrom="column">
                  <wp:posOffset>1951355</wp:posOffset>
                </wp:positionH>
                <wp:positionV relativeFrom="paragraph">
                  <wp:posOffset>756285</wp:posOffset>
                </wp:positionV>
                <wp:extent cx="1765935" cy="419100"/>
                <wp:effectExtent l="0" t="0" r="0" b="0"/>
                <wp:wrapNone/>
                <wp:docPr id="25" name="文本框 25"/>
                <wp:cNvGraphicFramePr/>
                <a:graphic xmlns:a="http://schemas.openxmlformats.org/drawingml/2006/main">
                  <a:graphicData uri="http://schemas.microsoft.com/office/word/2010/wordprocessingShape">
                    <wps:wsp>
                      <wps:cNvSpPr txBox="1">
                        <a:spLocks noChangeArrowheads="1"/>
                      </wps:cNvSpPr>
                      <wps:spPr bwMode="auto">
                        <a:xfrm>
                          <a:off x="0" y="0"/>
                          <a:ext cx="1765935" cy="419100"/>
                        </a:xfrm>
                        <a:prstGeom prst="rect">
                          <a:avLst/>
                        </a:prstGeom>
                        <a:noFill/>
                        <a:ln>
                          <a:noFill/>
                        </a:ln>
                        <a:effectLst/>
                      </wps:spPr>
                      <wps:txbx>
                        <w:txbxContent>
                          <w:p w14:paraId="5035A88D">
                            <w:pPr>
                              <w:ind w:right="243"/>
                              <w:jc w:val="center"/>
                              <w:rPr>
                                <w:rFonts w:asciiTheme="minorEastAsia" w:hAnsiTheme="minorEastAsia"/>
                                <w:b/>
                                <w:spacing w:val="-10"/>
                                <w:sz w:val="36"/>
                                <w:szCs w:val="36"/>
                              </w:rPr>
                            </w:pPr>
                            <w:r>
                              <w:rPr>
                                <w:rFonts w:hint="eastAsia" w:asciiTheme="minorEastAsia" w:hAnsiTheme="minorEastAsia"/>
                                <w:b/>
                                <w:spacing w:val="-10"/>
                                <w:sz w:val="36"/>
                                <w:szCs w:val="36"/>
                              </w:rPr>
                              <w:t>2025年5月</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53.65pt;margin-top:59.55pt;height:33pt;width:139.05pt;z-index:251661312;mso-width-relative:page;mso-height-relative:page;" filled="f" stroked="f" coordsize="21600,21600" o:gfxdata="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yfrJLXAAAA&#10;CwEAAA8AAAAAAAAAAQAgAAAAIgAAAGRycy9kb3ducmV2LnhtbFBLAQIUABQAAAAIAIdO4kCisVYR&#10;HgIAACUEAAAOAAAAAAAAAAEAIAAAACYBAABkcnMvZTJvRG9jLnhtbFBLBQYAAAAABgAGAFkBAAC2&#10;BQAAAAA=&#10;">
                <v:fill on="f" focussize="0,0"/>
                <v:stroke on="f"/>
                <v:imagedata o:title=""/>
                <o:lock v:ext="edit" aspectratio="f"/>
                <v:textbox>
                  <w:txbxContent>
                    <w:p w14:paraId="5035A88D">
                      <w:pPr>
                        <w:ind w:right="243"/>
                        <w:jc w:val="center"/>
                        <w:rPr>
                          <w:rFonts w:asciiTheme="minorEastAsia" w:hAnsiTheme="minorEastAsia"/>
                          <w:b/>
                          <w:spacing w:val="-10"/>
                          <w:sz w:val="36"/>
                          <w:szCs w:val="36"/>
                        </w:rPr>
                      </w:pPr>
                      <w:r>
                        <w:rPr>
                          <w:rFonts w:hint="eastAsia" w:asciiTheme="minorEastAsia" w:hAnsiTheme="minorEastAsia"/>
                          <w:b/>
                          <w:spacing w:val="-10"/>
                          <w:sz w:val="36"/>
                          <w:szCs w:val="36"/>
                        </w:rPr>
                        <w:t>2025年5月</w:t>
                      </w:r>
                    </w:p>
                  </w:txbxContent>
                </v:textbox>
              </v:shape>
            </w:pict>
          </mc:Fallback>
        </mc:AlternateContent>
      </w:r>
      <w:r>
        <w:rPr>
          <w:rFonts w:ascii="Times New Roman" w:hAnsi="Times New Roman" w:eastAsia="宋体" w:cs="Times New Roman"/>
          <w:szCs w:val="24"/>
        </w:rPr>
        <mc:AlternateContent>
          <mc:Choice Requires="wps">
            <w:drawing>
              <wp:anchor distT="0" distB="0" distL="114300" distR="114300" simplePos="0" relativeHeight="251662336" behindDoc="0" locked="0" layoutInCell="1" allowOverlap="1">
                <wp:simplePos x="0" y="0"/>
                <wp:positionH relativeFrom="column">
                  <wp:posOffset>1854835</wp:posOffset>
                </wp:positionH>
                <wp:positionV relativeFrom="paragraph">
                  <wp:posOffset>367030</wp:posOffset>
                </wp:positionV>
                <wp:extent cx="1884680" cy="430530"/>
                <wp:effectExtent l="0" t="0" r="0" b="0"/>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1884680" cy="430530"/>
                        </a:xfrm>
                        <a:prstGeom prst="rect">
                          <a:avLst/>
                        </a:prstGeom>
                        <a:noFill/>
                        <a:ln>
                          <a:noFill/>
                        </a:ln>
                        <a:effectLst/>
                      </wps:spPr>
                      <wps:txbx>
                        <w:txbxContent>
                          <w:p w14:paraId="1C7A0C00">
                            <w:pPr>
                              <w:ind w:right="243"/>
                              <w:jc w:val="center"/>
                              <w:rPr>
                                <w:rFonts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rPr>
                              <w:t>运行维护部</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6.05pt;margin-top:28.9pt;height:33.9pt;width:148.4pt;z-index:251662336;mso-width-relative:page;mso-height-relative:page;" filled="f" stroked="f" coordsize="21600,21600" o:gfxdata="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YMZEetcAAAAK&#10;AQAADwAAAAAAAAABACAAAAAiAAAAZHJzL2Rvd25yZXYueG1sUEsBAhQAFAAAAAgAh07iQNH/Ry0d&#10;AgAAJQQAAA4AAAAAAAAAAQAgAAAAJgEAAGRycy9lMm9Eb2MueG1sUEsFBgAAAAAGAAYAWQEAALUF&#10;AAAAAA==&#10;">
                <v:fill on="f" focussize="0,0"/>
                <v:stroke on="f"/>
                <v:imagedata o:title=""/>
                <o:lock v:ext="edit" aspectratio="f"/>
                <v:textbox>
                  <w:txbxContent>
                    <w:p w14:paraId="1C7A0C00">
                      <w:pPr>
                        <w:ind w:right="243"/>
                        <w:jc w:val="center"/>
                        <w:rPr>
                          <w:rFonts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rPr>
                        <w:t>运行维护部</w:t>
                      </w:r>
                    </w:p>
                  </w:txbxContent>
                </v:textbox>
              </v:shape>
            </w:pict>
          </mc:Fallback>
        </mc:AlternateContent>
      </w:r>
    </w:p>
    <w:p w14:paraId="6A0501D7">
      <w:pPr>
        <w:spacing w:line="560" w:lineRule="exact"/>
        <w:jc w:val="center"/>
        <w:rPr>
          <w:rFonts w:ascii="微软雅黑" w:hAnsi="微软雅黑" w:eastAsia="微软雅黑" w:cs="微软雅黑"/>
          <w:sz w:val="32"/>
          <w:szCs w:val="32"/>
        </w:rPr>
      </w:pPr>
      <w:r>
        <w:rPr>
          <w:rFonts w:hint="eastAsia" w:ascii="微软雅黑" w:hAnsi="微软雅黑" w:eastAsia="微软雅黑" w:cs="微软雅黑"/>
          <w:sz w:val="32"/>
          <w:szCs w:val="32"/>
        </w:rPr>
        <w:t>目录</w:t>
      </w:r>
    </w:p>
    <w:p w14:paraId="5F6414C9">
      <w:pPr>
        <w:pStyle w:val="17"/>
        <w:tabs>
          <w:tab w:val="right" w:leader="dot" w:pos="8306"/>
        </w:tabs>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"1-2" \h \u </w:instrText>
      </w:r>
      <w:r>
        <w:rPr>
          <w:rFonts w:hint="eastAsia" w:ascii="仿宋" w:hAnsi="仿宋" w:eastAsia="仿宋" w:cs="仿宋"/>
          <w:sz w:val="24"/>
          <w:szCs w:val="24"/>
        </w:rPr>
        <w:fldChar w:fldCharType="separate"/>
      </w:r>
      <w:r>
        <w:fldChar w:fldCharType="begin"/>
      </w:r>
      <w:r>
        <w:instrText xml:space="preserve"> HYPERLINK \l "_Toc12914" </w:instrText>
      </w:r>
      <w:r>
        <w:fldChar w:fldCharType="separate"/>
      </w:r>
      <w:r>
        <w:rPr>
          <w:rFonts w:hint="eastAsia"/>
        </w:rPr>
        <w:t>1、总则</w:t>
      </w:r>
      <w:r>
        <w:tab/>
      </w:r>
      <w:r>
        <w:fldChar w:fldCharType="begin"/>
      </w:r>
      <w:r>
        <w:instrText xml:space="preserve"> PAGEREF _Toc12914 \h </w:instrText>
      </w:r>
      <w:r>
        <w:fldChar w:fldCharType="separate"/>
      </w:r>
      <w:r>
        <w:t>1</w:t>
      </w:r>
      <w:r>
        <w:fldChar w:fldCharType="end"/>
      </w:r>
      <w:r>
        <w:fldChar w:fldCharType="end"/>
      </w:r>
    </w:p>
    <w:p w14:paraId="258A9398">
      <w:pPr>
        <w:pStyle w:val="17"/>
        <w:tabs>
          <w:tab w:val="right" w:leader="dot" w:pos="8306"/>
        </w:tabs>
      </w:pPr>
      <w:r>
        <w:fldChar w:fldCharType="begin"/>
      </w:r>
      <w:r>
        <w:instrText xml:space="preserve"> HYPERLINK \l "_Toc6770" </w:instrText>
      </w:r>
      <w:r>
        <w:fldChar w:fldCharType="separate"/>
      </w:r>
      <w:r>
        <w:rPr>
          <w:rFonts w:hint="eastAsia"/>
        </w:rPr>
        <w:t>2、招标范围</w:t>
      </w:r>
      <w:r>
        <w:tab/>
      </w:r>
      <w:r>
        <w:fldChar w:fldCharType="begin"/>
      </w:r>
      <w:r>
        <w:instrText xml:space="preserve"> PAGEREF _Toc6770 \h </w:instrText>
      </w:r>
      <w:r>
        <w:fldChar w:fldCharType="separate"/>
      </w:r>
      <w:r>
        <w:t>2</w:t>
      </w:r>
      <w:r>
        <w:fldChar w:fldCharType="end"/>
      </w:r>
      <w:r>
        <w:fldChar w:fldCharType="end"/>
      </w:r>
    </w:p>
    <w:p w14:paraId="04BEDAD2">
      <w:pPr>
        <w:pStyle w:val="17"/>
        <w:tabs>
          <w:tab w:val="right" w:leader="dot" w:pos="8306"/>
        </w:tabs>
      </w:pPr>
      <w:r>
        <w:fldChar w:fldCharType="begin"/>
      </w:r>
      <w:r>
        <w:instrText xml:space="preserve"> HYPERLINK \l "_Toc23018" </w:instrText>
      </w:r>
      <w:r>
        <w:fldChar w:fldCharType="separate"/>
      </w:r>
      <w:r>
        <w:rPr>
          <w:rFonts w:hint="eastAsia"/>
        </w:rPr>
        <w:t>3、设备技术要求</w:t>
      </w:r>
      <w:r>
        <w:tab/>
      </w:r>
      <w:r>
        <w:fldChar w:fldCharType="begin"/>
      </w:r>
      <w:r>
        <w:instrText xml:space="preserve"> PAGEREF _Toc23018 \h </w:instrText>
      </w:r>
      <w:r>
        <w:fldChar w:fldCharType="separate"/>
      </w:r>
      <w:r>
        <w:t>2</w:t>
      </w:r>
      <w:r>
        <w:fldChar w:fldCharType="end"/>
      </w:r>
      <w:r>
        <w:fldChar w:fldCharType="end"/>
      </w:r>
    </w:p>
    <w:p w14:paraId="4F0DFCAE">
      <w:pPr>
        <w:pStyle w:val="17"/>
        <w:tabs>
          <w:tab w:val="right" w:leader="dot" w:pos="8306"/>
        </w:tabs>
      </w:pPr>
      <w:r>
        <w:fldChar w:fldCharType="begin"/>
      </w:r>
      <w:r>
        <w:instrText xml:space="preserve"> HYPERLINK \l "_Toc24836" </w:instrText>
      </w:r>
      <w:r>
        <w:fldChar w:fldCharType="separate"/>
      </w:r>
      <w:r>
        <w:rPr>
          <w:rFonts w:hint="eastAsia"/>
        </w:rPr>
        <w:t>4、交货周期及供货清单</w:t>
      </w:r>
      <w:r>
        <w:tab/>
      </w:r>
      <w:r>
        <w:fldChar w:fldCharType="begin"/>
      </w:r>
      <w:r>
        <w:instrText xml:space="preserve"> PAGEREF _Toc24836 \h </w:instrText>
      </w:r>
      <w:r>
        <w:fldChar w:fldCharType="separate"/>
      </w:r>
      <w:r>
        <w:t>5</w:t>
      </w:r>
      <w:r>
        <w:fldChar w:fldCharType="end"/>
      </w:r>
      <w:r>
        <w:fldChar w:fldCharType="end"/>
      </w:r>
    </w:p>
    <w:p w14:paraId="7A8BE3CC">
      <w:pPr>
        <w:pStyle w:val="17"/>
        <w:tabs>
          <w:tab w:val="right" w:leader="dot" w:pos="8306"/>
        </w:tabs>
      </w:pPr>
      <w:r>
        <w:fldChar w:fldCharType="begin"/>
      </w:r>
      <w:r>
        <w:instrText xml:space="preserve"> HYPERLINK \l "_Toc14180" </w:instrText>
      </w:r>
      <w:r>
        <w:fldChar w:fldCharType="separate"/>
      </w:r>
      <w:r>
        <w:t>5</w:t>
      </w:r>
      <w:r>
        <w:rPr>
          <w:rFonts w:hint="eastAsia"/>
        </w:rPr>
        <w:t>、</w:t>
      </w:r>
      <w:r>
        <w:t>培训支持</w:t>
      </w:r>
      <w:r>
        <w:tab/>
      </w:r>
      <w:r>
        <w:fldChar w:fldCharType="begin"/>
      </w:r>
      <w:r>
        <w:instrText xml:space="preserve"> PAGEREF _Toc14180 \h </w:instrText>
      </w:r>
      <w:r>
        <w:fldChar w:fldCharType="separate"/>
      </w:r>
      <w:r>
        <w:t>6</w:t>
      </w:r>
      <w:r>
        <w:fldChar w:fldCharType="end"/>
      </w:r>
      <w:r>
        <w:fldChar w:fldCharType="end"/>
      </w:r>
    </w:p>
    <w:p w14:paraId="5553B92E">
      <w:pPr>
        <w:pStyle w:val="17"/>
        <w:tabs>
          <w:tab w:val="right" w:leader="dot" w:pos="8306"/>
        </w:tabs>
      </w:pPr>
      <w:r>
        <w:fldChar w:fldCharType="begin"/>
      </w:r>
      <w:r>
        <w:instrText xml:space="preserve"> HYPERLINK \l "_Toc31920" </w:instrText>
      </w:r>
      <w:r>
        <w:fldChar w:fldCharType="separate"/>
      </w:r>
      <w:r>
        <w:t>6</w:t>
      </w:r>
      <w:r>
        <w:rPr>
          <w:rFonts w:hint="eastAsia"/>
        </w:rPr>
        <w:t>、</w:t>
      </w:r>
      <w:r>
        <w:t>质量保证</w:t>
      </w:r>
      <w:r>
        <w:tab/>
      </w:r>
      <w:r>
        <w:fldChar w:fldCharType="begin"/>
      </w:r>
      <w:r>
        <w:instrText xml:space="preserve"> PAGEREF _Toc31920 \h </w:instrText>
      </w:r>
      <w:r>
        <w:fldChar w:fldCharType="separate"/>
      </w:r>
      <w:r>
        <w:t>6</w:t>
      </w:r>
      <w:r>
        <w:fldChar w:fldCharType="end"/>
      </w:r>
      <w:r>
        <w:fldChar w:fldCharType="end"/>
      </w:r>
    </w:p>
    <w:p w14:paraId="78DBA6A2">
      <w:pPr>
        <w:pStyle w:val="17"/>
        <w:tabs>
          <w:tab w:val="right" w:leader="dot" w:pos="8306"/>
        </w:tabs>
      </w:pPr>
      <w:r>
        <w:fldChar w:fldCharType="begin"/>
      </w:r>
      <w:r>
        <w:instrText xml:space="preserve"> HYPERLINK \l "_Toc28985" </w:instrText>
      </w:r>
      <w:r>
        <w:fldChar w:fldCharType="separate"/>
      </w:r>
      <w:r>
        <w:rPr>
          <w:rFonts w:hint="eastAsia"/>
        </w:rPr>
        <w:t>7、附件</w:t>
      </w:r>
      <w:r>
        <w:tab/>
      </w:r>
      <w:r>
        <w:fldChar w:fldCharType="begin"/>
      </w:r>
      <w:r>
        <w:instrText xml:space="preserve"> PAGEREF _Toc28985 \h </w:instrText>
      </w:r>
      <w:r>
        <w:fldChar w:fldCharType="separate"/>
      </w:r>
      <w:r>
        <w:t>6</w:t>
      </w:r>
      <w:r>
        <w:fldChar w:fldCharType="end"/>
      </w:r>
      <w:r>
        <w:fldChar w:fldCharType="end"/>
      </w:r>
    </w:p>
    <w:p w14:paraId="56C62363">
      <w:pPr>
        <w:spacing w:line="560" w:lineRule="exact"/>
      </w:pPr>
      <w:r>
        <w:rPr>
          <w:rFonts w:hint="eastAsia" w:ascii="仿宋" w:hAnsi="仿宋" w:eastAsia="仿宋" w:cs="仿宋"/>
          <w:szCs w:val="24"/>
        </w:rPr>
        <w:fldChar w:fldCharType="end"/>
      </w:r>
    </w:p>
    <w:p w14:paraId="716988FA">
      <w:pPr>
        <w:spacing w:line="560" w:lineRule="exact"/>
        <w:jc w:val="center"/>
      </w:pPr>
    </w:p>
    <w:p w14:paraId="0640F862">
      <w:pPr>
        <w:pStyle w:val="5"/>
        <w:spacing w:line="560" w:lineRule="exact"/>
        <w:sectPr>
          <w:footerReference r:id="rId4" w:type="default"/>
          <w:pgSz w:w="11906" w:h="16838"/>
          <w:pgMar w:top="1440" w:right="1800" w:bottom="1440" w:left="1800" w:header="851" w:footer="992" w:gutter="0"/>
          <w:pgBorders w:offsetFrom="page">
            <w:top w:val="single" w:color="FFFFFF" w:sz="8" w:space="24"/>
            <w:left w:val="single" w:color="FFFFFF" w:sz="8" w:space="24"/>
            <w:bottom w:val="single" w:color="FFFFFF" w:sz="8" w:space="24"/>
            <w:right w:val="single" w:color="FFFFFF" w:sz="8" w:space="24"/>
          </w:pgBorders>
          <w:cols w:space="425" w:num="1"/>
          <w:docGrid w:type="lines" w:linePitch="312" w:charSpace="0"/>
        </w:sectPr>
      </w:pPr>
      <w:sdt>
        <w:sdtPr>
          <w:rPr>
            <w:rFonts w:ascii="宋体" w:hAnsi="宋体" w:eastAsia="宋体"/>
          </w:rPr>
          <w:id w:val="147467582"/>
          <w:showingPlcHdr/>
          <w15:color w:val="DBDBDB"/>
          <w:docPartObj>
            <w:docPartGallery w:val="Table of Contents"/>
            <w:docPartUnique/>
          </w:docPartObj>
        </w:sdtPr>
        <w:sdtEndPr>
          <w:rPr>
            <w:rFonts w:asciiTheme="minorHAnsi" w:hAnsiTheme="minorHAnsi" w:eastAsiaTheme="minorEastAsia"/>
            <w:b/>
          </w:rPr>
        </w:sdtEndPr>
        <w:sdtContent>
          <w:r>
            <w:rPr>
              <w:rFonts w:hint="eastAsia" w:ascii="宋体" w:hAnsi="宋体" w:eastAsia="宋体"/>
            </w:rPr>
            <w:t xml:space="preserve">     </w:t>
          </w:r>
        </w:sdtContent>
      </w:sdt>
    </w:p>
    <w:p w14:paraId="5DD24104">
      <w:pPr>
        <w:jc w:val="center"/>
        <w:rPr>
          <w:rFonts w:ascii="黑体" w:hAnsi="黑体" w:eastAsia="黑体" w:cs="黑体"/>
          <w:sz w:val="44"/>
          <w:szCs w:val="44"/>
        </w:rPr>
      </w:pPr>
      <w:bookmarkStart w:id="0" w:name="_Toc16116"/>
      <w:bookmarkStart w:id="1" w:name="_Toc19689"/>
      <w:bookmarkStart w:id="2" w:name="_Toc13813"/>
      <w:bookmarkStart w:id="3" w:name="_Toc11146"/>
      <w:bookmarkStart w:id="4" w:name="_Toc21370"/>
      <w:r>
        <w:rPr>
          <w:rFonts w:hint="eastAsia" w:ascii="黑体" w:hAnsi="黑体" w:eastAsia="黑体" w:cs="黑体"/>
          <w:sz w:val="44"/>
          <w:szCs w:val="44"/>
        </w:rPr>
        <w:t>风机塔筒升降机低电压穿越装置定制</w:t>
      </w:r>
    </w:p>
    <w:p w14:paraId="44870B5D">
      <w:pPr>
        <w:jc w:val="center"/>
        <w:rPr>
          <w:rFonts w:ascii="黑体" w:hAnsi="黑体" w:eastAsia="黑体" w:cs="黑体"/>
          <w:sz w:val="44"/>
          <w:szCs w:val="44"/>
        </w:rPr>
      </w:pPr>
      <w:r>
        <w:rPr>
          <w:rFonts w:hint="eastAsia" w:ascii="黑体" w:hAnsi="黑体" w:eastAsia="黑体" w:cs="黑体"/>
          <w:sz w:val="44"/>
          <w:szCs w:val="44"/>
        </w:rPr>
        <w:t>技术规范书</w:t>
      </w:r>
    </w:p>
    <w:p w14:paraId="5001BF60">
      <w:pPr>
        <w:pStyle w:val="3"/>
        <w:spacing w:line="560" w:lineRule="exact"/>
        <w:ind w:firstLine="643" w:firstLineChars="200"/>
      </w:pPr>
      <w:bookmarkStart w:id="5" w:name="_Toc12914"/>
      <w:r>
        <w:rPr>
          <w:rFonts w:hint="eastAsia"/>
        </w:rPr>
        <w:t>1、总则</w:t>
      </w:r>
      <w:bookmarkEnd w:id="0"/>
      <w:bookmarkEnd w:id="1"/>
      <w:bookmarkEnd w:id="2"/>
      <w:bookmarkEnd w:id="3"/>
      <w:bookmarkEnd w:id="4"/>
      <w:bookmarkEnd w:id="5"/>
    </w:p>
    <w:p w14:paraId="582DD722">
      <w:pPr>
        <w:spacing w:line="560" w:lineRule="exact"/>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1.1 本技术规范提出的是最低限度的技术要求，并未规定所有的技术要求和适用的标准，投标方应提供一套满足GB/T 14549、GB/T 17626、GB 4943.1等国家及本行业规范和所列标准要求的优质产品，并满足国家有关安全、环保等强制性标准的要求。</w:t>
      </w:r>
    </w:p>
    <w:p w14:paraId="643170C3">
      <w:pPr>
        <w:spacing w:line="560" w:lineRule="exact"/>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1.2 投标方投标文件经技术澄清后，承诺内容和本技术规范书具有同等约束力，与合同正文具有同等法律效力。</w:t>
      </w:r>
    </w:p>
    <w:p w14:paraId="75703BB4">
      <w:pPr>
        <w:spacing w:line="560" w:lineRule="exact"/>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1.3 投标方需提供近3年至少1项低电压穿越设备销售供货业绩，并提供合同复印件加盖公章（合同买卖双方盖章页、合同签订时间和关键信息页，相关信息不全视为无法提供）。</w:t>
      </w:r>
    </w:p>
    <w:p w14:paraId="5405EEEA">
      <w:pPr>
        <w:spacing w:line="560" w:lineRule="exact"/>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1.4 如果投标方没有以书面形式对本规范书的条文提出异议，则意味着投标方提供的设备（或系统）完全符合本规范书的要求。如有异议，不管是多么微小，都应在投标文件中以盖章的差异表加以详细说明。若评标过程中发现投标产品相关参数与招标文件要求存在差异，而又未在投标文件差异表中列出，将视为存在偏差无法响应。</w:t>
      </w:r>
    </w:p>
    <w:p w14:paraId="7C08AFF1">
      <w:pPr>
        <w:spacing w:line="560" w:lineRule="exact"/>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1.5 投标方在投标技术文件中应如实反映投标产品与本招标技术文件的技术差异。如果投标方没有提出技术差异，而在执行合同的过程中，招标方发现投标方提供的产品与其投标技术文件的条文存在差异，招标方有权利要求退货。</w:t>
      </w:r>
    </w:p>
    <w:p w14:paraId="0A46E203">
      <w:pPr>
        <w:numPr>
          <w:ilvl w:val="255"/>
          <w:numId w:val="0"/>
        </w:numPr>
        <w:spacing w:line="560" w:lineRule="exact"/>
        <w:ind w:firstLine="560" w:firstLineChars="200"/>
        <w:rPr>
          <w:rFonts w:ascii="仿宋_GB2312" w:hAnsi="仿宋_GB2312" w:eastAsia="仿宋_GB2312" w:cs="仿宋_GB2312"/>
          <w:b/>
          <w:sz w:val="28"/>
          <w:szCs w:val="28"/>
        </w:rPr>
      </w:pPr>
      <w:r>
        <w:rPr>
          <w:rFonts w:hint="eastAsia" w:ascii="仿宋_GB2312" w:hAnsi="仿宋_GB2312" w:eastAsia="仿宋_GB2312" w:cs="仿宋_GB2312"/>
          <w:bCs/>
          <w:sz w:val="28"/>
          <w:szCs w:val="28"/>
        </w:rPr>
        <w:t>1.6 投标方应在投标技术部分按本招标技术文件的要求如实详细的填写投标设备的标准配置表，并在投标商务部分按此标准配置进行报价，如发现二者有矛盾之处，视为无效响应。</w:t>
      </w:r>
      <w:bookmarkStart w:id="6" w:name="_Toc11874"/>
      <w:bookmarkStart w:id="7" w:name="_Toc14200"/>
      <w:bookmarkStart w:id="8" w:name="_Toc10848"/>
      <w:bookmarkStart w:id="9" w:name="_Toc19196"/>
      <w:bookmarkStart w:id="10" w:name="_Toc25335"/>
    </w:p>
    <w:p w14:paraId="327F8FBC">
      <w:pPr>
        <w:pStyle w:val="3"/>
        <w:spacing w:line="560" w:lineRule="exact"/>
        <w:ind w:firstLine="643" w:firstLineChars="200"/>
      </w:pPr>
      <w:bookmarkStart w:id="11" w:name="_Toc6770"/>
      <w:r>
        <w:rPr>
          <w:rFonts w:hint="eastAsia"/>
        </w:rPr>
        <w:t>2、招标范围</w:t>
      </w:r>
      <w:bookmarkEnd w:id="6"/>
      <w:bookmarkEnd w:id="7"/>
      <w:bookmarkEnd w:id="8"/>
      <w:bookmarkEnd w:id="9"/>
      <w:bookmarkEnd w:id="10"/>
      <w:bookmarkEnd w:id="11"/>
    </w:p>
    <w:p w14:paraId="0E9B9886">
      <w:pPr>
        <w:spacing w:line="560" w:lineRule="exact"/>
        <w:ind w:firstLine="560" w:firstLineChars="200"/>
        <w:rPr>
          <w:rFonts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本次招标范围为低电压穿越装置2套</w:t>
      </w:r>
      <w:r>
        <w:rPr>
          <w:rFonts w:hint="eastAsia" w:ascii="仿宋_GB2312" w:hAnsi="仿宋_GB2312" w:eastAsia="仿宋_GB2312" w:cs="仿宋_GB2312"/>
          <w:bCs/>
          <w:sz w:val="28"/>
          <w:szCs w:val="28"/>
          <w:highlight w:val="none"/>
          <w:lang w:eastAsia="zh-CN"/>
        </w:rPr>
        <w:t>，</w:t>
      </w:r>
      <w:r>
        <w:rPr>
          <w:rFonts w:hint="eastAsia" w:ascii="仿宋_GB2312" w:hAnsi="仿宋_GB2312" w:eastAsia="仿宋_GB2312" w:cs="仿宋_GB2312"/>
          <w:bCs/>
          <w:sz w:val="28"/>
          <w:szCs w:val="28"/>
          <w:highlight w:val="none"/>
        </w:rPr>
        <w:t>按</w:t>
      </w:r>
      <w:r>
        <w:rPr>
          <w:rFonts w:hint="eastAsia" w:ascii="仿宋_GB2312" w:hAnsi="仿宋_GB2312" w:eastAsia="仿宋_GB2312" w:cs="仿宋_GB2312"/>
          <w:bCs/>
          <w:sz w:val="28"/>
          <w:szCs w:val="28"/>
          <w:highlight w:val="none"/>
          <w:lang w:val="en-US" w:eastAsia="zh-CN"/>
        </w:rPr>
        <w:t>招标方的</w:t>
      </w:r>
      <w:r>
        <w:rPr>
          <w:rFonts w:hint="eastAsia" w:ascii="仿宋_GB2312" w:hAnsi="仿宋_GB2312" w:eastAsia="仿宋_GB2312" w:cs="仿宋_GB2312"/>
          <w:bCs/>
          <w:sz w:val="28"/>
          <w:szCs w:val="28"/>
          <w:highlight w:val="none"/>
        </w:rPr>
        <w:t>要求提供产品</w:t>
      </w:r>
      <w:r>
        <w:rPr>
          <w:rFonts w:hint="eastAsia" w:ascii="仿宋_GB2312" w:hAnsi="仿宋_GB2312" w:eastAsia="仿宋_GB2312" w:cs="仿宋_GB2312"/>
          <w:bCs/>
          <w:sz w:val="28"/>
          <w:szCs w:val="28"/>
          <w:highlight w:val="none"/>
          <w:lang w:val="en-US" w:eastAsia="zh-CN"/>
        </w:rPr>
        <w:t>，</w:t>
      </w:r>
      <w:r>
        <w:rPr>
          <w:rFonts w:hint="eastAsia" w:ascii="仿宋_GB2312" w:hAnsi="仿宋_GB2312" w:eastAsia="仿宋_GB2312" w:cs="仿宋_GB2312"/>
          <w:bCs/>
          <w:sz w:val="28"/>
          <w:szCs w:val="28"/>
          <w:highlight w:val="none"/>
        </w:rPr>
        <w:t>其中1套1.5KW低电压穿越设备装置用于保障海上风电场风机塔筒升降机在电网电压跌落/异常时实现无间断供电，具备交直流稳压、并网/离网双模式自动切换、低电压穿越、故障报警等功能，另1套15kW</w:t>
      </w:r>
      <w:r>
        <w:rPr>
          <w:rFonts w:hint="eastAsia" w:ascii="仿宋_GB2312" w:hAnsi="仿宋_GB2312" w:eastAsia="仿宋_GB2312" w:cs="仿宋_GB2312"/>
          <w:bCs/>
          <w:sz w:val="28"/>
          <w:szCs w:val="28"/>
          <w:highlight w:val="none"/>
          <w:lang w:val="en-US" w:eastAsia="zh-CN"/>
        </w:rPr>
        <w:t>扶梯</w:t>
      </w:r>
      <w:r>
        <w:rPr>
          <w:rFonts w:hint="eastAsia" w:ascii="仿宋_GB2312" w:hAnsi="仿宋_GB2312" w:eastAsia="仿宋_GB2312" w:cs="仿宋_GB2312"/>
          <w:bCs/>
          <w:sz w:val="28"/>
          <w:szCs w:val="28"/>
          <w:highlight w:val="none"/>
        </w:rPr>
        <w:t>低电压穿越设备装置，开展</w:t>
      </w:r>
      <w:r>
        <w:rPr>
          <w:rFonts w:hint="eastAsia" w:ascii="仿宋_GB2312" w:hAnsi="仿宋_GB2312" w:eastAsia="仿宋_GB2312" w:cs="仿宋_GB2312"/>
          <w:bCs/>
          <w:sz w:val="28"/>
          <w:szCs w:val="28"/>
          <w:highlight w:val="none"/>
          <w:lang w:eastAsia="zh-CN"/>
        </w:rPr>
        <w:t>公共电梯</w:t>
      </w:r>
      <w:r>
        <w:rPr>
          <w:rFonts w:hint="eastAsia" w:ascii="仿宋_GB2312" w:hAnsi="仿宋_GB2312" w:eastAsia="仿宋_GB2312" w:cs="仿宋_GB2312"/>
          <w:bCs/>
          <w:sz w:val="28"/>
          <w:szCs w:val="28"/>
          <w:highlight w:val="none"/>
        </w:rPr>
        <w:t>跨场景适配试验。</w:t>
      </w:r>
    </w:p>
    <w:p w14:paraId="54EA7C21">
      <w:pPr>
        <w:pStyle w:val="5"/>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bCs/>
          <w:sz w:val="28"/>
          <w:szCs w:val="28"/>
        </w:rPr>
        <w:t>设备应包含：主机本体、电气连接线缆、通信线缆、安装辅材；提供操作手册、通信协议手册、合格证、检测报告等资料不少于1套；提供使用人员培训服务；提供设备全生命周期内技术支持与故障诊断服务。</w:t>
      </w:r>
    </w:p>
    <w:p w14:paraId="6CC28A69">
      <w:pPr>
        <w:pStyle w:val="3"/>
        <w:spacing w:line="560" w:lineRule="exact"/>
        <w:ind w:firstLine="643" w:firstLineChars="200"/>
      </w:pPr>
      <w:bookmarkStart w:id="12" w:name="_Toc23018"/>
      <w:r>
        <w:rPr>
          <w:rFonts w:hint="eastAsia"/>
        </w:rPr>
        <w:t>3、设备技术要求</w:t>
      </w:r>
      <w:bookmarkEnd w:id="12"/>
    </w:p>
    <w:p w14:paraId="0C8EA6C2">
      <w:pPr>
        <w:pStyle w:val="4"/>
        <w:ind w:firstLine="643" w:firstLineChars="200"/>
      </w:pPr>
      <w:r>
        <w:rPr>
          <w:rFonts w:hint="eastAsia"/>
        </w:rPr>
        <w:t>3.1电气指标</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8"/>
        <w:gridCol w:w="5925"/>
      </w:tblGrid>
      <w:tr w14:paraId="27F16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8" w:type="dxa"/>
            <w:vAlign w:val="center"/>
          </w:tcPr>
          <w:p w14:paraId="522C74CF">
            <w:pPr>
              <w:rPr>
                <w:rFonts w:ascii="宋体" w:hAnsi="宋体" w:eastAsia="宋体" w:cs="宋体"/>
                <w:sz w:val="24"/>
                <w:szCs w:val="24"/>
              </w:rPr>
            </w:pPr>
            <w:r>
              <w:rPr>
                <w:rFonts w:hint="eastAsia" w:ascii="宋体" w:hAnsi="宋体" w:eastAsia="宋体" w:cs="宋体"/>
                <w:sz w:val="24"/>
                <w:szCs w:val="24"/>
              </w:rPr>
              <w:t>交流输入参数</w:t>
            </w:r>
          </w:p>
        </w:tc>
        <w:tc>
          <w:tcPr>
            <w:tcW w:w="5925" w:type="dxa"/>
            <w:vAlign w:val="center"/>
          </w:tcPr>
          <w:p w14:paraId="7AC8EB4D">
            <w:pPr>
              <w:rPr>
                <w:rFonts w:ascii="宋体" w:hAnsi="宋体" w:eastAsia="宋体" w:cs="宋体"/>
                <w:sz w:val="24"/>
                <w:szCs w:val="24"/>
              </w:rPr>
            </w:pPr>
            <w:r>
              <w:rPr>
                <w:rFonts w:hint="eastAsia" w:ascii="宋体" w:hAnsi="宋体" w:eastAsia="宋体" w:cs="宋体"/>
                <w:sz w:val="24"/>
                <w:szCs w:val="24"/>
              </w:rPr>
              <w:t>额定输入电压：AC 220V</w:t>
            </w:r>
          </w:p>
          <w:p w14:paraId="1FBEAC3F">
            <w:pPr>
              <w:rPr>
                <w:rFonts w:ascii="宋体" w:hAnsi="宋体" w:eastAsia="宋体" w:cs="宋体"/>
                <w:sz w:val="24"/>
                <w:szCs w:val="24"/>
              </w:rPr>
            </w:pPr>
            <w:r>
              <w:rPr>
                <w:rFonts w:hint="eastAsia" w:ascii="宋体" w:hAnsi="宋体" w:eastAsia="宋体" w:cs="宋体"/>
                <w:sz w:val="24"/>
                <w:szCs w:val="24"/>
              </w:rPr>
              <w:t>输入电压范围：AC 220V±15%</w:t>
            </w:r>
          </w:p>
          <w:p w14:paraId="19C47D73">
            <w:pPr>
              <w:rPr>
                <w:rFonts w:ascii="宋体" w:hAnsi="宋体" w:eastAsia="宋体" w:cs="宋体"/>
                <w:sz w:val="24"/>
                <w:szCs w:val="24"/>
              </w:rPr>
            </w:pPr>
            <w:r>
              <w:rPr>
                <w:rFonts w:hint="eastAsia" w:ascii="宋体" w:hAnsi="宋体" w:eastAsia="宋体" w:cs="宋体"/>
                <w:sz w:val="24"/>
                <w:szCs w:val="24"/>
              </w:rPr>
              <w:t>额定频率：50Hz</w:t>
            </w:r>
          </w:p>
        </w:tc>
      </w:tr>
      <w:tr w14:paraId="7518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8" w:type="dxa"/>
            <w:vAlign w:val="center"/>
          </w:tcPr>
          <w:p w14:paraId="14C785B7">
            <w:pPr>
              <w:rPr>
                <w:rFonts w:ascii="宋体" w:hAnsi="宋体" w:eastAsia="宋体" w:cs="宋体"/>
                <w:sz w:val="24"/>
                <w:szCs w:val="24"/>
              </w:rPr>
            </w:pPr>
            <w:r>
              <w:rPr>
                <w:rFonts w:hint="eastAsia" w:ascii="宋体" w:hAnsi="宋体" w:eastAsia="宋体" w:cs="宋体"/>
                <w:sz w:val="24"/>
                <w:szCs w:val="24"/>
              </w:rPr>
              <w:t>交流输出参数</w:t>
            </w:r>
          </w:p>
        </w:tc>
        <w:tc>
          <w:tcPr>
            <w:tcW w:w="5925" w:type="dxa"/>
            <w:vAlign w:val="center"/>
          </w:tcPr>
          <w:p w14:paraId="7B535330">
            <w:pPr>
              <w:rPr>
                <w:rFonts w:ascii="宋体" w:hAnsi="宋体" w:eastAsia="宋体" w:cs="宋体"/>
                <w:sz w:val="24"/>
                <w:szCs w:val="24"/>
              </w:rPr>
            </w:pPr>
            <w:r>
              <w:rPr>
                <w:rFonts w:hint="eastAsia" w:ascii="宋体" w:hAnsi="宋体" w:eastAsia="宋体" w:cs="宋体"/>
                <w:sz w:val="24"/>
                <w:szCs w:val="24"/>
              </w:rPr>
              <w:t>额定输出电压：AC 220V/50Hz</w:t>
            </w:r>
          </w:p>
          <w:p w14:paraId="4D64935A">
            <w:pPr>
              <w:rPr>
                <w:rFonts w:ascii="宋体" w:hAnsi="宋体" w:eastAsia="宋体" w:cs="宋体"/>
                <w:sz w:val="24"/>
                <w:szCs w:val="24"/>
              </w:rPr>
            </w:pPr>
            <w:r>
              <w:rPr>
                <w:rFonts w:hint="eastAsia" w:ascii="宋体" w:hAnsi="宋体" w:eastAsia="宋体" w:cs="宋体"/>
                <w:sz w:val="24"/>
                <w:szCs w:val="24"/>
              </w:rPr>
              <w:t>并网模式额定功率：≤250W（超级电容浮充）</w:t>
            </w:r>
          </w:p>
          <w:p w14:paraId="32801526">
            <w:pPr>
              <w:rPr>
                <w:rFonts w:ascii="宋体" w:hAnsi="宋体" w:eastAsia="宋体" w:cs="宋体"/>
                <w:sz w:val="24"/>
                <w:szCs w:val="24"/>
              </w:rPr>
            </w:pPr>
            <w:r>
              <w:rPr>
                <w:rFonts w:hint="eastAsia" w:ascii="宋体" w:hAnsi="宋体" w:eastAsia="宋体" w:cs="宋体"/>
                <w:sz w:val="24"/>
                <w:szCs w:val="24"/>
              </w:rPr>
              <w:t>离网模式带载能力：≤250W（交流负载）</w:t>
            </w:r>
          </w:p>
        </w:tc>
      </w:tr>
      <w:tr w14:paraId="0154E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8" w:type="dxa"/>
            <w:vAlign w:val="center"/>
          </w:tcPr>
          <w:p w14:paraId="20135A8E">
            <w:pPr>
              <w:rPr>
                <w:rFonts w:ascii="宋体" w:hAnsi="宋体" w:eastAsia="宋体" w:cs="宋体"/>
                <w:sz w:val="24"/>
                <w:szCs w:val="24"/>
              </w:rPr>
            </w:pPr>
            <w:r>
              <w:rPr>
                <w:rFonts w:hint="eastAsia" w:ascii="宋体" w:hAnsi="宋体" w:eastAsia="宋体" w:cs="宋体"/>
                <w:sz w:val="24"/>
                <w:szCs w:val="24"/>
              </w:rPr>
              <w:t>直流参数</w:t>
            </w:r>
          </w:p>
        </w:tc>
        <w:tc>
          <w:tcPr>
            <w:tcW w:w="5925" w:type="dxa"/>
            <w:vAlign w:val="center"/>
          </w:tcPr>
          <w:p w14:paraId="211FDB0F">
            <w:pPr>
              <w:rPr>
                <w:rFonts w:ascii="宋体" w:hAnsi="宋体" w:eastAsia="宋体" w:cs="宋体"/>
                <w:sz w:val="24"/>
                <w:szCs w:val="24"/>
              </w:rPr>
            </w:pPr>
            <w:r>
              <w:rPr>
                <w:rFonts w:hint="eastAsia" w:ascii="宋体" w:hAnsi="宋体" w:eastAsia="宋体" w:cs="宋体"/>
                <w:sz w:val="24"/>
                <w:szCs w:val="24"/>
              </w:rPr>
              <w:t>适配直流母线电压：DC 560V</w:t>
            </w:r>
          </w:p>
          <w:p w14:paraId="7C022170">
            <w:pPr>
              <w:rPr>
                <w:rFonts w:ascii="宋体" w:hAnsi="宋体" w:eastAsia="宋体" w:cs="宋体"/>
                <w:sz w:val="24"/>
                <w:szCs w:val="24"/>
              </w:rPr>
            </w:pPr>
            <w:r>
              <w:rPr>
                <w:rFonts w:hint="eastAsia" w:ascii="宋体" w:hAnsi="宋体" w:eastAsia="宋体" w:cs="宋体"/>
                <w:sz w:val="24"/>
                <w:szCs w:val="24"/>
              </w:rPr>
              <w:t>超级电容充电目标电压：96%×DC 560V</w:t>
            </w:r>
          </w:p>
          <w:p w14:paraId="3D1FD034">
            <w:pPr>
              <w:rPr>
                <w:rFonts w:ascii="宋体" w:hAnsi="宋体" w:eastAsia="宋体" w:cs="宋体"/>
                <w:sz w:val="24"/>
                <w:szCs w:val="24"/>
              </w:rPr>
            </w:pPr>
            <w:r>
              <w:rPr>
                <w:rFonts w:hint="eastAsia" w:ascii="宋体" w:hAnsi="宋体" w:eastAsia="宋体" w:cs="宋体"/>
                <w:sz w:val="24"/>
                <w:szCs w:val="24"/>
              </w:rPr>
              <w:t>直流侧兼容负载：1套≤1.5kW，1套≤1</w:t>
            </w:r>
            <w:r>
              <w:rPr>
                <w:rFonts w:ascii="宋体" w:hAnsi="宋体" w:eastAsia="宋体" w:cs="宋体"/>
                <w:sz w:val="24"/>
                <w:szCs w:val="24"/>
              </w:rPr>
              <w:t>5</w:t>
            </w:r>
            <w:r>
              <w:rPr>
                <w:rFonts w:hint="eastAsia" w:ascii="宋体" w:hAnsi="宋体" w:eastAsia="宋体" w:cs="宋体"/>
                <w:sz w:val="24"/>
                <w:szCs w:val="24"/>
              </w:rPr>
              <w:t>kW</w:t>
            </w:r>
          </w:p>
        </w:tc>
      </w:tr>
      <w:tr w14:paraId="71D4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8" w:type="dxa"/>
            <w:vAlign w:val="center"/>
          </w:tcPr>
          <w:p w14:paraId="4BF0A30D">
            <w:pPr>
              <w:rPr>
                <w:rFonts w:ascii="宋体" w:hAnsi="宋体" w:eastAsia="宋体" w:cs="宋体"/>
                <w:sz w:val="24"/>
                <w:szCs w:val="24"/>
              </w:rPr>
            </w:pPr>
            <w:bookmarkStart w:id="13" w:name="_Toc8096"/>
            <w:bookmarkStart w:id="14" w:name="_Toc6951"/>
            <w:bookmarkStart w:id="15" w:name="_Toc4094"/>
            <w:bookmarkStart w:id="16" w:name="_Toc26920"/>
            <w:bookmarkStart w:id="17" w:name="_Toc4710"/>
            <w:r>
              <w:rPr>
                <w:rFonts w:hint="eastAsia" w:ascii="宋体" w:hAnsi="宋体" w:eastAsia="宋体" w:cs="宋体"/>
                <w:sz w:val="24"/>
                <w:szCs w:val="24"/>
              </w:rPr>
              <w:t>响应速度</w:t>
            </w:r>
          </w:p>
        </w:tc>
        <w:tc>
          <w:tcPr>
            <w:tcW w:w="5925" w:type="dxa"/>
            <w:vAlign w:val="center"/>
          </w:tcPr>
          <w:p w14:paraId="7B00EAD2">
            <w:pPr>
              <w:rPr>
                <w:rFonts w:ascii="宋体" w:hAnsi="宋体" w:eastAsia="宋体" w:cs="宋体"/>
                <w:sz w:val="24"/>
                <w:szCs w:val="24"/>
              </w:rPr>
            </w:pPr>
            <w:r>
              <w:rPr>
                <w:rFonts w:hint="eastAsia" w:ascii="宋体" w:hAnsi="宋体" w:eastAsia="宋体" w:cs="宋体"/>
                <w:sz w:val="24"/>
                <w:szCs w:val="24"/>
              </w:rPr>
              <w:t>直流侧输出电压响应时间：0s</w:t>
            </w:r>
          </w:p>
          <w:p w14:paraId="5C4F63BE">
            <w:pPr>
              <w:rPr>
                <w:rFonts w:ascii="宋体" w:hAnsi="宋体" w:eastAsia="宋体" w:cs="宋体"/>
                <w:sz w:val="24"/>
                <w:szCs w:val="24"/>
              </w:rPr>
            </w:pPr>
            <w:r>
              <w:rPr>
                <w:rFonts w:hint="eastAsia" w:ascii="宋体" w:hAnsi="宋体" w:eastAsia="宋体" w:cs="宋体"/>
                <w:sz w:val="24"/>
                <w:szCs w:val="24"/>
              </w:rPr>
              <w:t>交流侧电源切换时间：≤10ms</w:t>
            </w:r>
          </w:p>
        </w:tc>
      </w:tr>
    </w:tbl>
    <w:p w14:paraId="62EE4B2B">
      <w:pPr>
        <w:pStyle w:val="4"/>
        <w:ind w:firstLine="643" w:firstLineChars="200"/>
      </w:pPr>
      <w:r>
        <w:rPr>
          <w:rFonts w:hint="eastAsia"/>
        </w:rPr>
        <w:t>3.2</w:t>
      </w:r>
      <w:bookmarkEnd w:id="13"/>
      <w:bookmarkEnd w:id="14"/>
      <w:bookmarkEnd w:id="15"/>
      <w:bookmarkEnd w:id="16"/>
      <w:r>
        <w:rPr>
          <w:rFonts w:hint="eastAsia"/>
        </w:rPr>
        <w:t>功能要求</w:t>
      </w:r>
      <w:bookmarkEnd w:id="17"/>
    </w:p>
    <w:tbl>
      <w:tblPr>
        <w:tblStyle w:val="20"/>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7"/>
        <w:gridCol w:w="5938"/>
      </w:tblGrid>
      <w:tr w14:paraId="04F49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4" w:type="pct"/>
            <w:vAlign w:val="center"/>
          </w:tcPr>
          <w:p w14:paraId="5D718C7F">
            <w:pPr>
              <w:rPr>
                <w:rFonts w:ascii="宋体" w:hAnsi="宋体" w:eastAsia="宋体" w:cs="宋体"/>
                <w:sz w:val="24"/>
                <w:szCs w:val="24"/>
              </w:rPr>
            </w:pPr>
            <w:r>
              <w:rPr>
                <w:rFonts w:hint="eastAsia" w:ascii="宋体" w:hAnsi="宋体" w:eastAsia="宋体" w:cs="宋体"/>
                <w:sz w:val="24"/>
                <w:szCs w:val="24"/>
              </w:rPr>
              <w:t>电压正常工作模式（并网电流源模式）</w:t>
            </w:r>
          </w:p>
          <w:p w14:paraId="5A85F9C4">
            <w:pPr>
              <w:rPr>
                <w:rFonts w:ascii="宋体" w:hAnsi="宋体" w:eastAsia="宋体" w:cs="宋体"/>
                <w:sz w:val="24"/>
                <w:szCs w:val="24"/>
              </w:rPr>
            </w:pPr>
          </w:p>
        </w:tc>
        <w:tc>
          <w:tcPr>
            <w:tcW w:w="3515" w:type="pct"/>
            <w:vAlign w:val="center"/>
          </w:tcPr>
          <w:p w14:paraId="18C26111">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当 ACU1 处于 AC 220V±1</w:t>
            </w:r>
            <w:r>
              <w:rPr>
                <w:rFonts w:hint="eastAsia" w:asciiTheme="minorEastAsia" w:hAnsiTheme="minorEastAsia" w:cstheme="minorEastAsia"/>
                <w:sz w:val="24"/>
                <w:szCs w:val="24"/>
              </w:rPr>
              <w:t>0</w:t>
            </w:r>
            <w:r>
              <w:rPr>
                <w:rFonts w:asciiTheme="minorEastAsia" w:hAnsiTheme="minorEastAsia" w:cstheme="minorEastAsia"/>
                <w:sz w:val="24"/>
                <w:szCs w:val="24"/>
              </w:rPr>
              <w:t>% 正常范围内时，开关电源自动工作于电流源并网模式，执行以下逻辑：</w:t>
            </w:r>
          </w:p>
          <w:p w14:paraId="384C253F">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w:t>
            </w:r>
            <w:r>
              <w:rPr>
                <w:rFonts w:asciiTheme="minorEastAsia" w:hAnsiTheme="minorEastAsia" w:cstheme="minorEastAsia"/>
                <w:sz w:val="24"/>
                <w:szCs w:val="24"/>
              </w:rPr>
              <w:t>实时采集 DCU1 直流母线电压，以96%×DCU1作为超级电容浮充的目标电压（DCU2 设定值）。</w:t>
            </w:r>
          </w:p>
          <w:p w14:paraId="77293A2E">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w:t>
            </w:r>
            <w:r>
              <w:rPr>
                <w:rFonts w:asciiTheme="minorEastAsia" w:hAnsiTheme="minorEastAsia" w:cstheme="minorEastAsia"/>
                <w:sz w:val="24"/>
                <w:szCs w:val="24"/>
              </w:rPr>
              <w:t>充电启停控制：</w:t>
            </w:r>
          </w:p>
          <w:p w14:paraId="6B22B7EC">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启动充电条件：DCU2 电压低于96%×DCU1 的 95%</w:t>
            </w:r>
          </w:p>
          <w:p w14:paraId="66E458E8">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停止充电条件：DCU2 电压达到98%×DCU1</w:t>
            </w:r>
          </w:p>
          <w:p w14:paraId="7B6C7467">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并网模式下，开关电源输出电流谐波含量满足 GB/T 14549《电能质量 公用电网谐波》要求，不对电网造成污染。</w:t>
            </w:r>
          </w:p>
          <w:p w14:paraId="03B8FC27">
            <w:pPr>
              <w:rPr>
                <w:rFonts w:ascii="宋体" w:hAnsi="宋体" w:eastAsia="宋体" w:cs="宋体"/>
                <w:sz w:val="24"/>
                <w:szCs w:val="24"/>
              </w:rPr>
            </w:pPr>
          </w:p>
        </w:tc>
      </w:tr>
      <w:tr w14:paraId="10B3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4" w:type="pct"/>
            <w:vAlign w:val="center"/>
          </w:tcPr>
          <w:p w14:paraId="3472400D">
            <w:pPr>
              <w:rPr>
                <w:rFonts w:ascii="宋体" w:hAnsi="宋体" w:eastAsia="宋体" w:cs="宋体"/>
                <w:sz w:val="24"/>
                <w:szCs w:val="24"/>
              </w:rPr>
            </w:pPr>
            <w:r>
              <w:rPr>
                <w:rFonts w:hint="eastAsia" w:ascii="宋体" w:hAnsi="宋体" w:eastAsia="宋体" w:cs="宋体"/>
                <w:sz w:val="24"/>
                <w:szCs w:val="24"/>
              </w:rPr>
              <w:t>低电压穿越工作模式（离网电压源模式）</w:t>
            </w:r>
          </w:p>
          <w:p w14:paraId="7B2EA029">
            <w:pPr>
              <w:rPr>
                <w:rFonts w:ascii="宋体" w:hAnsi="宋体" w:eastAsia="宋体" w:cs="宋体"/>
                <w:sz w:val="24"/>
                <w:szCs w:val="24"/>
              </w:rPr>
            </w:pPr>
          </w:p>
        </w:tc>
        <w:tc>
          <w:tcPr>
            <w:tcW w:w="3515" w:type="pct"/>
            <w:vAlign w:val="center"/>
          </w:tcPr>
          <w:p w14:paraId="171CA813">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当 ACU1 电压降至预设阈值以下时，触发电网异常判定，执行以下逻辑：</w:t>
            </w:r>
          </w:p>
          <w:p w14:paraId="488AC500">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w:t>
            </w:r>
            <w:r>
              <w:rPr>
                <w:rFonts w:asciiTheme="minorEastAsia" w:hAnsiTheme="minorEastAsia" w:cstheme="minorEastAsia"/>
                <w:sz w:val="24"/>
                <w:szCs w:val="24"/>
              </w:rPr>
              <w:t>异常判定后，立即输出开关量信号，将自身常闭接点转为常开，控制外部交流继电器分断。</w:t>
            </w:r>
          </w:p>
          <w:p w14:paraId="2B8773DE">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w:t>
            </w:r>
            <w:r>
              <w:rPr>
                <w:rFonts w:asciiTheme="minorEastAsia" w:hAnsiTheme="minorEastAsia" w:cstheme="minorEastAsia"/>
                <w:sz w:val="24"/>
                <w:szCs w:val="24"/>
              </w:rPr>
              <w:t>接收到交流继电器分闸辅助触点返回信号后，自动切换至电压源离网工作模式，为交流负载提供稳定的 AC 220V/50Hz 供电。</w:t>
            </w:r>
          </w:p>
          <w:p w14:paraId="0CB301E5">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离网模式下，直流负载工作导致 DCU2 因超级电容放电自然衰减时，开关电源无需干预，仅需维持交流负载正常供电。</w:t>
            </w:r>
          </w:p>
          <w:p w14:paraId="26D3B2DA">
            <w:pPr>
              <w:rPr>
                <w:rFonts w:ascii="宋体" w:hAnsi="宋体" w:eastAsia="宋体" w:cs="宋体"/>
                <w:sz w:val="24"/>
                <w:szCs w:val="24"/>
              </w:rPr>
            </w:pPr>
          </w:p>
        </w:tc>
      </w:tr>
      <w:tr w14:paraId="546C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4" w:type="pct"/>
            <w:vAlign w:val="center"/>
          </w:tcPr>
          <w:p w14:paraId="37062700">
            <w:pPr>
              <w:rPr>
                <w:rFonts w:ascii="宋体" w:hAnsi="宋体" w:eastAsia="宋体" w:cs="宋体"/>
                <w:sz w:val="24"/>
                <w:szCs w:val="24"/>
              </w:rPr>
            </w:pPr>
            <w:r>
              <w:rPr>
                <w:rFonts w:hint="eastAsia" w:ascii="宋体" w:hAnsi="宋体" w:eastAsia="宋体" w:cs="宋体"/>
                <w:sz w:val="24"/>
                <w:szCs w:val="24"/>
              </w:rPr>
              <w:t>低电压穿越结束切换模式</w:t>
            </w:r>
          </w:p>
          <w:p w14:paraId="6EF1294C">
            <w:pPr>
              <w:rPr>
                <w:rFonts w:ascii="宋体" w:hAnsi="宋体" w:eastAsia="宋体" w:cs="宋体"/>
                <w:sz w:val="24"/>
                <w:szCs w:val="24"/>
              </w:rPr>
            </w:pPr>
          </w:p>
        </w:tc>
        <w:tc>
          <w:tcPr>
            <w:tcW w:w="3515" w:type="pct"/>
            <w:vAlign w:val="center"/>
          </w:tcPr>
          <w:p w14:paraId="0C3C72ED">
            <w:pPr>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当电网从异常状态恢复时，执行以下无缝切换逻辑：</w:t>
            </w:r>
          </w:p>
          <w:p w14:paraId="0A8FB1AC">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w:t>
            </w:r>
            <w:r>
              <w:rPr>
                <w:rFonts w:asciiTheme="minorEastAsia" w:hAnsiTheme="minorEastAsia" w:cstheme="minorEastAsia"/>
                <w:sz w:val="24"/>
                <w:szCs w:val="24"/>
              </w:rPr>
              <w:t>实时检测 ACU1 电压，当电压恢复至 AC 220V±1</w:t>
            </w:r>
            <w:r>
              <w:rPr>
                <w:rFonts w:hint="eastAsia" w:asciiTheme="minorEastAsia" w:hAnsiTheme="minorEastAsia" w:cstheme="minorEastAsia"/>
                <w:sz w:val="24"/>
                <w:szCs w:val="24"/>
              </w:rPr>
              <w:t>0</w:t>
            </w:r>
            <w:r>
              <w:rPr>
                <w:rFonts w:asciiTheme="minorEastAsia" w:hAnsiTheme="minorEastAsia" w:cstheme="minorEastAsia"/>
                <w:sz w:val="24"/>
                <w:szCs w:val="24"/>
              </w:rPr>
              <w:t>% 正常范围且持续稳定 3 个工频周波（60ms）时，判定电网已恢复正常。</w:t>
            </w:r>
          </w:p>
          <w:p w14:paraId="154BCB64">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w:t>
            </w:r>
            <w:r>
              <w:rPr>
                <w:rFonts w:asciiTheme="minorEastAsia" w:hAnsiTheme="minorEastAsia" w:cstheme="minorEastAsia"/>
                <w:sz w:val="24"/>
                <w:szCs w:val="24"/>
              </w:rPr>
              <w:t>电网恢复判定后，开关电源自动调节输出 ACU2 的电压幅值、频率及相位，使其与 ACU1 实现同期。</w:t>
            </w:r>
          </w:p>
          <w:p w14:paraId="0A74719B">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3.</w:t>
            </w:r>
            <w:r>
              <w:rPr>
                <w:rFonts w:asciiTheme="minorEastAsia" w:hAnsiTheme="minorEastAsia" w:cstheme="minorEastAsia"/>
                <w:sz w:val="24"/>
                <w:szCs w:val="24"/>
              </w:rPr>
              <w:t>同期完成后，发出交流继电器合闸指令。</w:t>
            </w:r>
          </w:p>
          <w:p w14:paraId="0A110E24">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4.</w:t>
            </w:r>
            <w:r>
              <w:rPr>
                <w:rFonts w:asciiTheme="minorEastAsia" w:hAnsiTheme="minorEastAsia" w:cstheme="minorEastAsia"/>
                <w:sz w:val="24"/>
                <w:szCs w:val="24"/>
              </w:rPr>
              <w:t xml:space="preserve">接收到交流继电器合闸辅助触点返回信号后，自动切换回电流源并网工作模式，按照 </w:t>
            </w:r>
            <w:r>
              <w:rPr>
                <w:rFonts w:hint="eastAsia" w:asciiTheme="minorEastAsia" w:hAnsiTheme="minorEastAsia" w:cstheme="minorEastAsia"/>
                <w:sz w:val="24"/>
                <w:szCs w:val="24"/>
              </w:rPr>
              <w:t>4</w:t>
            </w:r>
            <w:r>
              <w:rPr>
                <w:rFonts w:asciiTheme="minorEastAsia" w:hAnsiTheme="minorEastAsia" w:cstheme="minorEastAsia"/>
                <w:sz w:val="24"/>
                <w:szCs w:val="24"/>
              </w:rPr>
              <w:t>.1 条的充电逻辑为超级电容重新浮充至目标电压。</w:t>
            </w:r>
          </w:p>
          <w:p w14:paraId="66236AB4">
            <w:pPr>
              <w:rPr>
                <w:rFonts w:ascii="宋体" w:hAnsi="宋体" w:eastAsia="宋体" w:cs="宋体"/>
                <w:sz w:val="24"/>
                <w:szCs w:val="24"/>
              </w:rPr>
            </w:pPr>
          </w:p>
        </w:tc>
      </w:tr>
    </w:tbl>
    <w:p w14:paraId="65CF9D5B">
      <w:pPr>
        <w:pStyle w:val="4"/>
        <w:ind w:firstLine="643" w:firstLineChars="200"/>
      </w:pPr>
      <w:r>
        <w:rPr>
          <w:rFonts w:hint="eastAsia"/>
        </w:rPr>
        <w:t>3.3电气接口</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984"/>
        <w:gridCol w:w="706"/>
        <w:gridCol w:w="2734"/>
        <w:gridCol w:w="2257"/>
      </w:tblGrid>
      <w:tr w14:paraId="0630A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120BAC26">
            <w:pPr>
              <w:jc w:val="center"/>
              <w:rPr>
                <w:rFonts w:asciiTheme="minorEastAsia" w:hAnsiTheme="minorEastAsia" w:cstheme="minorEastAsia"/>
                <w:sz w:val="24"/>
                <w:szCs w:val="24"/>
              </w:rPr>
            </w:pPr>
            <w:r>
              <w:rPr>
                <w:rFonts w:hint="eastAsia" w:asciiTheme="minorEastAsia" w:hAnsiTheme="minorEastAsia" w:cstheme="minorEastAsia"/>
                <w:sz w:val="24"/>
                <w:szCs w:val="24"/>
              </w:rPr>
              <w:t>序号</w:t>
            </w:r>
          </w:p>
        </w:tc>
        <w:tc>
          <w:tcPr>
            <w:tcW w:w="1984" w:type="dxa"/>
            <w:vAlign w:val="center"/>
          </w:tcPr>
          <w:p w14:paraId="077533F9">
            <w:pPr>
              <w:jc w:val="center"/>
              <w:rPr>
                <w:rFonts w:asciiTheme="minorEastAsia" w:hAnsiTheme="minorEastAsia" w:cstheme="minorEastAsia"/>
                <w:sz w:val="24"/>
                <w:szCs w:val="24"/>
              </w:rPr>
            </w:pPr>
            <w:r>
              <w:rPr>
                <w:rFonts w:hint="eastAsia" w:asciiTheme="minorEastAsia" w:hAnsiTheme="minorEastAsia" w:cstheme="minorEastAsia"/>
                <w:sz w:val="24"/>
                <w:szCs w:val="24"/>
              </w:rPr>
              <w:t>接口类型</w:t>
            </w:r>
          </w:p>
        </w:tc>
        <w:tc>
          <w:tcPr>
            <w:tcW w:w="706" w:type="dxa"/>
            <w:vAlign w:val="center"/>
          </w:tcPr>
          <w:p w14:paraId="4C663AEB">
            <w:pPr>
              <w:jc w:val="center"/>
              <w:rPr>
                <w:rFonts w:asciiTheme="minorEastAsia" w:hAnsiTheme="minorEastAsia" w:cstheme="minorEastAsia"/>
                <w:sz w:val="24"/>
                <w:szCs w:val="24"/>
              </w:rPr>
            </w:pPr>
            <w:r>
              <w:rPr>
                <w:rFonts w:hint="eastAsia" w:asciiTheme="minorEastAsia" w:hAnsiTheme="minorEastAsia" w:cstheme="minorEastAsia"/>
                <w:sz w:val="24"/>
                <w:szCs w:val="24"/>
              </w:rPr>
              <w:t>数量</w:t>
            </w:r>
          </w:p>
        </w:tc>
        <w:tc>
          <w:tcPr>
            <w:tcW w:w="2734" w:type="dxa"/>
            <w:vAlign w:val="center"/>
          </w:tcPr>
          <w:p w14:paraId="4DA49674">
            <w:pPr>
              <w:jc w:val="center"/>
              <w:rPr>
                <w:rFonts w:asciiTheme="minorEastAsia" w:hAnsiTheme="minorEastAsia" w:cstheme="minorEastAsia"/>
                <w:sz w:val="24"/>
                <w:szCs w:val="24"/>
              </w:rPr>
            </w:pPr>
            <w:r>
              <w:rPr>
                <w:rFonts w:hint="eastAsia" w:asciiTheme="minorEastAsia" w:hAnsiTheme="minorEastAsia" w:cstheme="minorEastAsia"/>
                <w:sz w:val="24"/>
                <w:szCs w:val="24"/>
              </w:rPr>
              <w:t>功能描述</w:t>
            </w:r>
          </w:p>
        </w:tc>
        <w:tc>
          <w:tcPr>
            <w:tcW w:w="2257" w:type="dxa"/>
            <w:vAlign w:val="center"/>
          </w:tcPr>
          <w:p w14:paraId="1385F369">
            <w:pPr>
              <w:jc w:val="center"/>
              <w:rPr>
                <w:rFonts w:asciiTheme="minorEastAsia" w:hAnsiTheme="minorEastAsia" w:cstheme="minorEastAsia"/>
                <w:sz w:val="24"/>
                <w:szCs w:val="24"/>
              </w:rPr>
            </w:pPr>
            <w:r>
              <w:rPr>
                <w:rFonts w:hint="eastAsia" w:asciiTheme="minorEastAsia" w:hAnsiTheme="minorEastAsia" w:cstheme="minorEastAsia"/>
                <w:sz w:val="24"/>
                <w:szCs w:val="24"/>
              </w:rPr>
              <w:t>技术参数</w:t>
            </w:r>
          </w:p>
        </w:tc>
      </w:tr>
      <w:tr w14:paraId="34DB7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2F9ECAE8">
            <w:pPr>
              <w:jc w:val="center"/>
              <w:rPr>
                <w:rFonts w:asciiTheme="minorEastAsia" w:hAnsiTheme="minorEastAsia" w:cstheme="minorEastAsia"/>
                <w:sz w:val="24"/>
                <w:szCs w:val="24"/>
              </w:rPr>
            </w:pPr>
            <w:r>
              <w:rPr>
                <w:rFonts w:hint="eastAsia" w:asciiTheme="minorEastAsia" w:hAnsiTheme="minorEastAsia" w:cstheme="minorEastAsia"/>
                <w:sz w:val="24"/>
                <w:szCs w:val="24"/>
              </w:rPr>
              <w:t>1</w:t>
            </w:r>
          </w:p>
        </w:tc>
        <w:tc>
          <w:tcPr>
            <w:tcW w:w="1984" w:type="dxa"/>
            <w:vAlign w:val="center"/>
          </w:tcPr>
          <w:p w14:paraId="2755FFBD">
            <w:pPr>
              <w:rPr>
                <w:rFonts w:asciiTheme="minorEastAsia" w:hAnsiTheme="minorEastAsia" w:cstheme="minorEastAsia"/>
                <w:sz w:val="24"/>
                <w:szCs w:val="24"/>
              </w:rPr>
            </w:pPr>
            <w:r>
              <w:rPr>
                <w:rFonts w:hint="eastAsia" w:asciiTheme="minorEastAsia" w:hAnsiTheme="minorEastAsia" w:cstheme="minorEastAsia"/>
                <w:sz w:val="24"/>
                <w:szCs w:val="24"/>
              </w:rPr>
              <w:t>交流输入端子</w:t>
            </w:r>
          </w:p>
        </w:tc>
        <w:tc>
          <w:tcPr>
            <w:tcW w:w="706" w:type="dxa"/>
            <w:vAlign w:val="center"/>
          </w:tcPr>
          <w:p w14:paraId="54F33017">
            <w:pPr>
              <w:jc w:val="center"/>
              <w:rPr>
                <w:rFonts w:asciiTheme="minorEastAsia" w:hAnsiTheme="minorEastAsia" w:cstheme="minorEastAsia"/>
                <w:sz w:val="24"/>
                <w:szCs w:val="24"/>
              </w:rPr>
            </w:pPr>
            <w:r>
              <w:rPr>
                <w:rFonts w:hint="eastAsia" w:asciiTheme="minorEastAsia" w:hAnsiTheme="minorEastAsia" w:cstheme="minorEastAsia"/>
                <w:sz w:val="24"/>
                <w:szCs w:val="24"/>
              </w:rPr>
              <w:t>1组</w:t>
            </w:r>
          </w:p>
        </w:tc>
        <w:tc>
          <w:tcPr>
            <w:tcW w:w="2734" w:type="dxa"/>
            <w:vAlign w:val="center"/>
          </w:tcPr>
          <w:p w14:paraId="68B2D6C5">
            <w:pPr>
              <w:rPr>
                <w:rFonts w:asciiTheme="minorEastAsia" w:hAnsiTheme="minorEastAsia" w:cstheme="minorEastAsia"/>
                <w:sz w:val="24"/>
                <w:szCs w:val="24"/>
              </w:rPr>
            </w:pPr>
            <w:r>
              <w:rPr>
                <w:rFonts w:hint="eastAsia" w:asciiTheme="minorEastAsia" w:hAnsiTheme="minorEastAsia" w:cstheme="minorEastAsia"/>
                <w:sz w:val="24"/>
                <w:szCs w:val="24"/>
              </w:rPr>
              <w:t>连接电网AC 220V</w:t>
            </w:r>
          </w:p>
        </w:tc>
        <w:tc>
          <w:tcPr>
            <w:tcW w:w="2257" w:type="dxa"/>
            <w:vAlign w:val="center"/>
          </w:tcPr>
          <w:p w14:paraId="3AA88994">
            <w:pPr>
              <w:rPr>
                <w:rFonts w:asciiTheme="minorEastAsia" w:hAnsiTheme="minorEastAsia" w:cstheme="minorEastAsia"/>
                <w:sz w:val="24"/>
                <w:szCs w:val="24"/>
              </w:rPr>
            </w:pPr>
            <w:r>
              <w:rPr>
                <w:rFonts w:hint="eastAsia" w:asciiTheme="minorEastAsia" w:hAnsiTheme="minorEastAsia" w:cstheme="minorEastAsia"/>
                <w:sz w:val="24"/>
                <w:szCs w:val="24"/>
              </w:rPr>
              <w:t>L、N、PE 三线制</w:t>
            </w:r>
          </w:p>
        </w:tc>
      </w:tr>
      <w:tr w14:paraId="647B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56767822">
            <w:pPr>
              <w:jc w:val="center"/>
              <w:rPr>
                <w:rFonts w:asciiTheme="minorEastAsia" w:hAnsiTheme="minorEastAsia" w:cstheme="minorEastAsia"/>
                <w:sz w:val="24"/>
                <w:szCs w:val="24"/>
              </w:rPr>
            </w:pPr>
            <w:r>
              <w:rPr>
                <w:rFonts w:hint="eastAsia" w:asciiTheme="minorEastAsia" w:hAnsiTheme="minorEastAsia" w:cstheme="minorEastAsia"/>
                <w:sz w:val="24"/>
                <w:szCs w:val="24"/>
              </w:rPr>
              <w:t>2</w:t>
            </w:r>
          </w:p>
        </w:tc>
        <w:tc>
          <w:tcPr>
            <w:tcW w:w="1984" w:type="dxa"/>
            <w:vAlign w:val="center"/>
          </w:tcPr>
          <w:p w14:paraId="25693E98">
            <w:pPr>
              <w:rPr>
                <w:rFonts w:asciiTheme="minorEastAsia" w:hAnsiTheme="minorEastAsia" w:cstheme="minorEastAsia"/>
                <w:sz w:val="24"/>
                <w:szCs w:val="24"/>
              </w:rPr>
            </w:pPr>
            <w:r>
              <w:rPr>
                <w:rFonts w:hint="eastAsia" w:asciiTheme="minorEastAsia" w:hAnsiTheme="minorEastAsia" w:cstheme="minorEastAsia"/>
                <w:sz w:val="24"/>
                <w:szCs w:val="24"/>
              </w:rPr>
              <w:t>交流输出端子</w:t>
            </w:r>
          </w:p>
        </w:tc>
        <w:tc>
          <w:tcPr>
            <w:tcW w:w="706" w:type="dxa"/>
            <w:vAlign w:val="center"/>
          </w:tcPr>
          <w:p w14:paraId="758CD618">
            <w:pPr>
              <w:jc w:val="center"/>
              <w:rPr>
                <w:rFonts w:asciiTheme="minorEastAsia" w:hAnsiTheme="minorEastAsia" w:cstheme="minorEastAsia"/>
                <w:sz w:val="24"/>
                <w:szCs w:val="24"/>
              </w:rPr>
            </w:pPr>
            <w:r>
              <w:rPr>
                <w:rFonts w:hint="eastAsia" w:asciiTheme="minorEastAsia" w:hAnsiTheme="minorEastAsia" w:cstheme="minorEastAsia"/>
                <w:sz w:val="24"/>
                <w:szCs w:val="24"/>
              </w:rPr>
              <w:t>1组</w:t>
            </w:r>
          </w:p>
        </w:tc>
        <w:tc>
          <w:tcPr>
            <w:tcW w:w="2734" w:type="dxa"/>
            <w:vAlign w:val="center"/>
          </w:tcPr>
          <w:p w14:paraId="6A79CA59">
            <w:pPr>
              <w:rPr>
                <w:rFonts w:asciiTheme="minorEastAsia" w:hAnsiTheme="minorEastAsia" w:cstheme="minorEastAsia"/>
                <w:sz w:val="24"/>
                <w:szCs w:val="24"/>
              </w:rPr>
            </w:pPr>
            <w:r>
              <w:rPr>
                <w:rFonts w:hint="eastAsia" w:asciiTheme="minorEastAsia" w:hAnsiTheme="minorEastAsia" w:cstheme="minorEastAsia"/>
                <w:sz w:val="24"/>
                <w:szCs w:val="24"/>
              </w:rPr>
              <w:t>连接交流负载</w:t>
            </w:r>
          </w:p>
        </w:tc>
        <w:tc>
          <w:tcPr>
            <w:tcW w:w="2257" w:type="dxa"/>
            <w:vAlign w:val="center"/>
          </w:tcPr>
          <w:p w14:paraId="00E0DB4C">
            <w:pPr>
              <w:rPr>
                <w:rFonts w:asciiTheme="minorEastAsia" w:hAnsiTheme="minorEastAsia" w:cstheme="minorEastAsia"/>
                <w:sz w:val="24"/>
                <w:szCs w:val="24"/>
              </w:rPr>
            </w:pPr>
            <w:r>
              <w:rPr>
                <w:rFonts w:hint="eastAsia" w:asciiTheme="minorEastAsia" w:hAnsiTheme="minorEastAsia" w:cstheme="minorEastAsia"/>
                <w:sz w:val="24"/>
                <w:szCs w:val="24"/>
              </w:rPr>
              <w:t>L、N 两线制</w:t>
            </w:r>
          </w:p>
        </w:tc>
      </w:tr>
      <w:tr w14:paraId="72CF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31AB474F">
            <w:pPr>
              <w:jc w:val="center"/>
              <w:rPr>
                <w:rFonts w:asciiTheme="minorEastAsia" w:hAnsiTheme="minorEastAsia" w:cstheme="minorEastAsia"/>
                <w:sz w:val="24"/>
                <w:szCs w:val="24"/>
              </w:rPr>
            </w:pPr>
            <w:r>
              <w:rPr>
                <w:rFonts w:hint="eastAsia" w:asciiTheme="minorEastAsia" w:hAnsiTheme="minorEastAsia" w:cstheme="minorEastAsia"/>
                <w:sz w:val="24"/>
                <w:szCs w:val="24"/>
              </w:rPr>
              <w:t>3</w:t>
            </w:r>
          </w:p>
        </w:tc>
        <w:tc>
          <w:tcPr>
            <w:tcW w:w="1984" w:type="dxa"/>
            <w:vAlign w:val="center"/>
          </w:tcPr>
          <w:p w14:paraId="4B3A82FC">
            <w:pPr>
              <w:rPr>
                <w:rFonts w:asciiTheme="minorEastAsia" w:hAnsiTheme="minorEastAsia" w:cstheme="minorEastAsia"/>
                <w:sz w:val="24"/>
                <w:szCs w:val="24"/>
              </w:rPr>
            </w:pPr>
            <w:r>
              <w:rPr>
                <w:rFonts w:hint="eastAsia" w:asciiTheme="minorEastAsia" w:hAnsiTheme="minorEastAsia" w:cstheme="minorEastAsia"/>
                <w:sz w:val="24"/>
                <w:szCs w:val="24"/>
              </w:rPr>
              <w:t>直流检测端子</w:t>
            </w:r>
          </w:p>
        </w:tc>
        <w:tc>
          <w:tcPr>
            <w:tcW w:w="706" w:type="dxa"/>
            <w:vAlign w:val="center"/>
          </w:tcPr>
          <w:p w14:paraId="1BC5286A">
            <w:pPr>
              <w:jc w:val="center"/>
              <w:rPr>
                <w:rFonts w:asciiTheme="minorEastAsia" w:hAnsiTheme="minorEastAsia" w:cstheme="minorEastAsia"/>
                <w:sz w:val="24"/>
                <w:szCs w:val="24"/>
              </w:rPr>
            </w:pPr>
            <w:r>
              <w:rPr>
                <w:rFonts w:hint="eastAsia" w:asciiTheme="minorEastAsia" w:hAnsiTheme="minorEastAsia" w:cstheme="minorEastAsia"/>
                <w:sz w:val="24"/>
                <w:szCs w:val="24"/>
              </w:rPr>
              <w:t>2组</w:t>
            </w:r>
          </w:p>
        </w:tc>
        <w:tc>
          <w:tcPr>
            <w:tcW w:w="2734" w:type="dxa"/>
            <w:vAlign w:val="center"/>
          </w:tcPr>
          <w:p w14:paraId="5553FDA6">
            <w:pPr>
              <w:rPr>
                <w:rFonts w:asciiTheme="minorEastAsia" w:hAnsiTheme="minorEastAsia" w:cstheme="minorEastAsia"/>
                <w:sz w:val="24"/>
                <w:szCs w:val="24"/>
              </w:rPr>
            </w:pPr>
            <w:r>
              <w:rPr>
                <w:rFonts w:hint="eastAsia" w:asciiTheme="minorEastAsia" w:hAnsiTheme="minorEastAsia" w:cstheme="minorEastAsia"/>
                <w:sz w:val="24"/>
                <w:szCs w:val="24"/>
              </w:rPr>
              <w:t>采DCU1和DCU2电压</w:t>
            </w:r>
          </w:p>
        </w:tc>
        <w:tc>
          <w:tcPr>
            <w:tcW w:w="2257" w:type="dxa"/>
            <w:vAlign w:val="center"/>
          </w:tcPr>
          <w:p w14:paraId="3EE83F0B">
            <w:pPr>
              <w:rPr>
                <w:rFonts w:asciiTheme="minorEastAsia" w:hAnsiTheme="minorEastAsia" w:cstheme="minorEastAsia"/>
                <w:sz w:val="24"/>
                <w:szCs w:val="24"/>
              </w:rPr>
            </w:pPr>
            <w:r>
              <w:rPr>
                <w:rFonts w:hint="eastAsia" w:asciiTheme="minorEastAsia" w:hAnsiTheme="minorEastAsia" w:cstheme="minorEastAsia"/>
                <w:sz w:val="24"/>
                <w:szCs w:val="24"/>
              </w:rPr>
              <w:t>DC 400-650V 输入</w:t>
            </w:r>
          </w:p>
        </w:tc>
      </w:tr>
      <w:tr w14:paraId="2B43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39F0899B">
            <w:pPr>
              <w:jc w:val="center"/>
              <w:rPr>
                <w:rFonts w:asciiTheme="minorEastAsia" w:hAnsiTheme="minorEastAsia" w:cstheme="minorEastAsia"/>
                <w:sz w:val="24"/>
                <w:szCs w:val="24"/>
              </w:rPr>
            </w:pPr>
            <w:r>
              <w:rPr>
                <w:rFonts w:hint="eastAsia" w:asciiTheme="minorEastAsia" w:hAnsiTheme="minorEastAsia" w:cstheme="minorEastAsia"/>
                <w:sz w:val="24"/>
                <w:szCs w:val="24"/>
              </w:rPr>
              <w:t>4</w:t>
            </w:r>
          </w:p>
        </w:tc>
        <w:tc>
          <w:tcPr>
            <w:tcW w:w="1984" w:type="dxa"/>
            <w:vAlign w:val="center"/>
          </w:tcPr>
          <w:p w14:paraId="646B9F09">
            <w:pPr>
              <w:rPr>
                <w:rFonts w:asciiTheme="minorEastAsia" w:hAnsiTheme="minorEastAsia" w:cstheme="minorEastAsia"/>
                <w:sz w:val="24"/>
                <w:szCs w:val="24"/>
              </w:rPr>
            </w:pPr>
            <w:r>
              <w:rPr>
                <w:rFonts w:hint="eastAsia" w:asciiTheme="minorEastAsia" w:hAnsiTheme="minorEastAsia" w:cstheme="minorEastAsia"/>
                <w:sz w:val="24"/>
                <w:szCs w:val="24"/>
              </w:rPr>
              <w:t>继电器控制输出</w:t>
            </w:r>
          </w:p>
        </w:tc>
        <w:tc>
          <w:tcPr>
            <w:tcW w:w="706" w:type="dxa"/>
            <w:vAlign w:val="center"/>
          </w:tcPr>
          <w:p w14:paraId="4DF55C10">
            <w:pPr>
              <w:jc w:val="center"/>
              <w:rPr>
                <w:rFonts w:asciiTheme="minorEastAsia" w:hAnsiTheme="minorEastAsia" w:cstheme="minorEastAsia"/>
                <w:sz w:val="24"/>
                <w:szCs w:val="24"/>
              </w:rPr>
            </w:pPr>
            <w:r>
              <w:rPr>
                <w:rFonts w:hint="eastAsia" w:asciiTheme="minorEastAsia" w:hAnsiTheme="minorEastAsia" w:cstheme="minorEastAsia"/>
                <w:sz w:val="24"/>
                <w:szCs w:val="24"/>
              </w:rPr>
              <w:t>1路</w:t>
            </w:r>
          </w:p>
        </w:tc>
        <w:tc>
          <w:tcPr>
            <w:tcW w:w="2734" w:type="dxa"/>
            <w:vAlign w:val="center"/>
          </w:tcPr>
          <w:p w14:paraId="6B6B385C">
            <w:pPr>
              <w:rPr>
                <w:rFonts w:asciiTheme="minorEastAsia" w:hAnsiTheme="minorEastAsia" w:cstheme="minorEastAsia"/>
                <w:sz w:val="24"/>
                <w:szCs w:val="24"/>
              </w:rPr>
            </w:pPr>
            <w:r>
              <w:rPr>
                <w:rFonts w:hint="eastAsia" w:asciiTheme="minorEastAsia" w:hAnsiTheme="minorEastAsia" w:cstheme="minorEastAsia"/>
                <w:sz w:val="24"/>
                <w:szCs w:val="24"/>
              </w:rPr>
              <w:t>控制交流继电器分合闸</w:t>
            </w:r>
          </w:p>
        </w:tc>
        <w:tc>
          <w:tcPr>
            <w:tcW w:w="2257" w:type="dxa"/>
            <w:vAlign w:val="center"/>
          </w:tcPr>
          <w:p w14:paraId="0EE68222">
            <w:pPr>
              <w:rPr>
                <w:rFonts w:asciiTheme="minorEastAsia" w:hAnsiTheme="minorEastAsia" w:cstheme="minorEastAsia"/>
                <w:sz w:val="24"/>
                <w:szCs w:val="24"/>
              </w:rPr>
            </w:pPr>
            <w:r>
              <w:rPr>
                <w:rFonts w:hint="eastAsia" w:asciiTheme="minorEastAsia" w:hAnsiTheme="minorEastAsia" w:cstheme="minorEastAsia"/>
                <w:sz w:val="24"/>
                <w:szCs w:val="24"/>
              </w:rPr>
              <w:t>容量 AC 250V/5A</w:t>
            </w:r>
          </w:p>
        </w:tc>
      </w:tr>
      <w:tr w14:paraId="4D71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6A531F6E">
            <w:pPr>
              <w:jc w:val="center"/>
              <w:rPr>
                <w:rFonts w:asciiTheme="minorEastAsia" w:hAnsiTheme="minorEastAsia" w:cstheme="minorEastAsia"/>
                <w:sz w:val="24"/>
                <w:szCs w:val="24"/>
              </w:rPr>
            </w:pPr>
            <w:r>
              <w:rPr>
                <w:rFonts w:hint="eastAsia" w:asciiTheme="minorEastAsia" w:hAnsiTheme="minorEastAsia" w:cstheme="minorEastAsia"/>
                <w:sz w:val="24"/>
                <w:szCs w:val="24"/>
              </w:rPr>
              <w:t>5</w:t>
            </w:r>
          </w:p>
        </w:tc>
        <w:tc>
          <w:tcPr>
            <w:tcW w:w="1984" w:type="dxa"/>
            <w:vAlign w:val="center"/>
          </w:tcPr>
          <w:p w14:paraId="14E48CF0">
            <w:pPr>
              <w:rPr>
                <w:rFonts w:asciiTheme="minorEastAsia" w:hAnsiTheme="minorEastAsia" w:cstheme="minorEastAsia"/>
                <w:sz w:val="24"/>
                <w:szCs w:val="24"/>
              </w:rPr>
            </w:pPr>
            <w:r>
              <w:rPr>
                <w:rFonts w:hint="eastAsia" w:asciiTheme="minorEastAsia" w:hAnsiTheme="minorEastAsia" w:cstheme="minorEastAsia"/>
                <w:sz w:val="24"/>
                <w:szCs w:val="24"/>
              </w:rPr>
              <w:t>辅助触点输入</w:t>
            </w:r>
          </w:p>
        </w:tc>
        <w:tc>
          <w:tcPr>
            <w:tcW w:w="706" w:type="dxa"/>
            <w:vAlign w:val="center"/>
          </w:tcPr>
          <w:p w14:paraId="1DD6C40A">
            <w:pPr>
              <w:jc w:val="center"/>
              <w:rPr>
                <w:rFonts w:asciiTheme="minorEastAsia" w:hAnsiTheme="minorEastAsia" w:cstheme="minorEastAsia"/>
                <w:sz w:val="24"/>
                <w:szCs w:val="24"/>
              </w:rPr>
            </w:pPr>
            <w:r>
              <w:rPr>
                <w:rFonts w:hint="eastAsia" w:asciiTheme="minorEastAsia" w:hAnsiTheme="minorEastAsia" w:cstheme="minorEastAsia"/>
                <w:sz w:val="24"/>
                <w:szCs w:val="24"/>
              </w:rPr>
              <w:t>2路</w:t>
            </w:r>
          </w:p>
        </w:tc>
        <w:tc>
          <w:tcPr>
            <w:tcW w:w="2734" w:type="dxa"/>
            <w:vAlign w:val="center"/>
          </w:tcPr>
          <w:p w14:paraId="5D4D3046">
            <w:pPr>
              <w:rPr>
                <w:rFonts w:asciiTheme="minorEastAsia" w:hAnsiTheme="minorEastAsia" w:cstheme="minorEastAsia"/>
                <w:sz w:val="24"/>
                <w:szCs w:val="24"/>
              </w:rPr>
            </w:pPr>
            <w:r>
              <w:rPr>
                <w:rFonts w:hint="eastAsia" w:asciiTheme="minorEastAsia" w:hAnsiTheme="minorEastAsia" w:cstheme="minorEastAsia"/>
                <w:sz w:val="24"/>
                <w:szCs w:val="24"/>
              </w:rPr>
              <w:t>接收继电器分合闸反馈</w:t>
            </w:r>
          </w:p>
        </w:tc>
        <w:tc>
          <w:tcPr>
            <w:tcW w:w="2257" w:type="dxa"/>
            <w:vAlign w:val="center"/>
          </w:tcPr>
          <w:p w14:paraId="0DA7561C">
            <w:pPr>
              <w:rPr>
                <w:rFonts w:asciiTheme="minorEastAsia" w:hAnsiTheme="minorEastAsia" w:cstheme="minorEastAsia"/>
                <w:sz w:val="24"/>
                <w:szCs w:val="24"/>
              </w:rPr>
            </w:pPr>
            <w:r>
              <w:rPr>
                <w:rFonts w:hint="eastAsia" w:asciiTheme="minorEastAsia" w:hAnsiTheme="minorEastAsia" w:cstheme="minorEastAsia"/>
                <w:sz w:val="24"/>
                <w:szCs w:val="24"/>
              </w:rPr>
              <w:t>无源干接点输入</w:t>
            </w:r>
          </w:p>
        </w:tc>
      </w:tr>
      <w:tr w14:paraId="365D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41" w:type="dxa"/>
            <w:vAlign w:val="center"/>
          </w:tcPr>
          <w:p w14:paraId="528C965E">
            <w:pPr>
              <w:jc w:val="center"/>
              <w:rPr>
                <w:rFonts w:asciiTheme="minorEastAsia" w:hAnsiTheme="minorEastAsia" w:cstheme="minorEastAsia"/>
                <w:sz w:val="24"/>
                <w:szCs w:val="24"/>
              </w:rPr>
            </w:pPr>
            <w:r>
              <w:rPr>
                <w:rFonts w:hint="eastAsia" w:asciiTheme="minorEastAsia" w:hAnsiTheme="minorEastAsia" w:cstheme="minorEastAsia"/>
                <w:sz w:val="24"/>
                <w:szCs w:val="24"/>
              </w:rPr>
              <w:t>6</w:t>
            </w:r>
          </w:p>
        </w:tc>
        <w:tc>
          <w:tcPr>
            <w:tcW w:w="1984" w:type="dxa"/>
            <w:vAlign w:val="center"/>
          </w:tcPr>
          <w:p w14:paraId="71B860F3">
            <w:pPr>
              <w:rPr>
                <w:rFonts w:asciiTheme="minorEastAsia" w:hAnsiTheme="minorEastAsia" w:cstheme="minorEastAsia"/>
                <w:sz w:val="24"/>
                <w:szCs w:val="24"/>
              </w:rPr>
            </w:pPr>
            <w:r>
              <w:rPr>
                <w:rFonts w:hint="eastAsia" w:asciiTheme="minorEastAsia" w:hAnsiTheme="minorEastAsia" w:cstheme="minorEastAsia"/>
                <w:sz w:val="24"/>
                <w:szCs w:val="24"/>
              </w:rPr>
              <w:t>故障报警输出</w:t>
            </w:r>
          </w:p>
        </w:tc>
        <w:tc>
          <w:tcPr>
            <w:tcW w:w="706" w:type="dxa"/>
            <w:vAlign w:val="center"/>
          </w:tcPr>
          <w:p w14:paraId="6C48AC41">
            <w:pPr>
              <w:jc w:val="center"/>
              <w:rPr>
                <w:rFonts w:asciiTheme="minorEastAsia" w:hAnsiTheme="minorEastAsia" w:cstheme="minorEastAsia"/>
                <w:sz w:val="24"/>
                <w:szCs w:val="24"/>
              </w:rPr>
            </w:pPr>
            <w:r>
              <w:rPr>
                <w:rFonts w:hint="eastAsia" w:asciiTheme="minorEastAsia" w:hAnsiTheme="minorEastAsia" w:cstheme="minorEastAsia"/>
                <w:sz w:val="24"/>
                <w:szCs w:val="24"/>
              </w:rPr>
              <w:t>1对</w:t>
            </w:r>
          </w:p>
        </w:tc>
        <w:tc>
          <w:tcPr>
            <w:tcW w:w="2734" w:type="dxa"/>
            <w:vAlign w:val="center"/>
          </w:tcPr>
          <w:p w14:paraId="7E3A0151">
            <w:pPr>
              <w:rPr>
                <w:rFonts w:asciiTheme="minorEastAsia" w:hAnsiTheme="minorEastAsia" w:cstheme="minorEastAsia"/>
                <w:sz w:val="24"/>
                <w:szCs w:val="24"/>
              </w:rPr>
            </w:pPr>
            <w:r>
              <w:rPr>
                <w:rFonts w:hint="eastAsia" w:asciiTheme="minorEastAsia" w:hAnsiTheme="minorEastAsia" w:cstheme="minorEastAsia"/>
                <w:sz w:val="24"/>
                <w:szCs w:val="24"/>
              </w:rPr>
              <w:t>输出故障报警信号</w:t>
            </w:r>
          </w:p>
        </w:tc>
        <w:tc>
          <w:tcPr>
            <w:tcW w:w="2257" w:type="dxa"/>
            <w:vAlign w:val="center"/>
          </w:tcPr>
          <w:p w14:paraId="25E94041">
            <w:pPr>
              <w:rPr>
                <w:rFonts w:asciiTheme="minorEastAsia" w:hAnsiTheme="minorEastAsia" w:cstheme="minorEastAsia"/>
                <w:sz w:val="24"/>
                <w:szCs w:val="24"/>
              </w:rPr>
            </w:pPr>
            <w:r>
              <w:rPr>
                <w:rFonts w:hint="eastAsia" w:asciiTheme="minorEastAsia" w:hAnsiTheme="minorEastAsia" w:cstheme="minorEastAsia"/>
                <w:sz w:val="24"/>
                <w:szCs w:val="24"/>
              </w:rPr>
              <w:t>无源干接点</w:t>
            </w:r>
          </w:p>
        </w:tc>
      </w:tr>
    </w:tbl>
    <w:p w14:paraId="6F119F6D">
      <w:pPr>
        <w:pStyle w:val="4"/>
        <w:ind w:firstLine="643" w:firstLineChars="200"/>
      </w:pPr>
      <w:r>
        <w:rPr>
          <w:rFonts w:hint="eastAsia"/>
        </w:rPr>
        <w:t>3.4其它接口</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3"/>
        <w:gridCol w:w="5999"/>
      </w:tblGrid>
      <w:tr w14:paraId="4A08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3" w:type="dxa"/>
          </w:tcPr>
          <w:p w14:paraId="7E839818">
            <w:pPr>
              <w:rPr>
                <w:rFonts w:ascii="宋体" w:hAnsi="宋体" w:eastAsia="宋体" w:cs="宋体"/>
                <w:sz w:val="24"/>
                <w:szCs w:val="24"/>
              </w:rPr>
            </w:pPr>
            <w:r>
              <w:rPr>
                <w:rFonts w:hint="eastAsia" w:ascii="宋体" w:hAnsi="宋体" w:eastAsia="宋体" w:cs="宋体"/>
                <w:sz w:val="24"/>
                <w:szCs w:val="24"/>
              </w:rPr>
              <w:t>通信接口</w:t>
            </w:r>
          </w:p>
        </w:tc>
        <w:tc>
          <w:tcPr>
            <w:tcW w:w="5999" w:type="dxa"/>
          </w:tcPr>
          <w:p w14:paraId="6B4E3AD0">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1.提供 1 路标准 RS485 通信接口，采用 Modbus-RTU 通信协议。</w:t>
            </w:r>
          </w:p>
          <w:p w14:paraId="32E8DFBB">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2.通信接口仅用于上传设备运行状态及故障报警信号，无需传输具体故障类型。</w:t>
            </w:r>
          </w:p>
          <w:p w14:paraId="4CC0045E">
            <w:pPr>
              <w:spacing w:line="360" w:lineRule="auto"/>
              <w:rPr>
                <w:rFonts w:ascii="宋体" w:hAnsi="宋体" w:eastAsia="宋体" w:cs="宋体"/>
                <w:sz w:val="24"/>
                <w:szCs w:val="24"/>
              </w:rPr>
            </w:pPr>
            <w:r>
              <w:rPr>
                <w:rFonts w:hint="eastAsia" w:asciiTheme="minorEastAsia" w:hAnsiTheme="minorEastAsia" w:cstheme="minorEastAsia"/>
                <w:sz w:val="24"/>
                <w:szCs w:val="24"/>
              </w:rPr>
              <w:t>3.通信波特率支持 9600/19200bps 可配置，默认 9600bps。</w:t>
            </w:r>
          </w:p>
        </w:tc>
      </w:tr>
      <w:tr w14:paraId="667F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3" w:type="dxa"/>
          </w:tcPr>
          <w:p w14:paraId="43125327">
            <w:pPr>
              <w:rPr>
                <w:rFonts w:ascii="宋体" w:hAnsi="宋体" w:eastAsia="宋体" w:cs="宋体"/>
                <w:sz w:val="24"/>
                <w:szCs w:val="24"/>
              </w:rPr>
            </w:pPr>
            <w:r>
              <w:rPr>
                <w:rFonts w:hint="eastAsia" w:ascii="宋体" w:hAnsi="宋体" w:eastAsia="宋体" w:cs="宋体"/>
                <w:sz w:val="24"/>
                <w:szCs w:val="24"/>
              </w:rPr>
              <w:t>故障报警要求</w:t>
            </w:r>
          </w:p>
        </w:tc>
        <w:tc>
          <w:tcPr>
            <w:tcW w:w="5999" w:type="dxa"/>
          </w:tcPr>
          <w:p w14:paraId="302FA046">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1.设备发生任意硬件或软件故障时，立即触发故障报警。</w:t>
            </w:r>
          </w:p>
          <w:p w14:paraId="38511EBF">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2.报警方式同时支持两种：</w:t>
            </w:r>
          </w:p>
          <w:p w14:paraId="3CA539B6">
            <w:pPr>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无源干接点输出（接点容量：AC 250V/5A，DC 30V/5A）</w:t>
            </w:r>
          </w:p>
          <w:p w14:paraId="788E062B">
            <w:pPr>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RS485 通信上传故障状态码</w:t>
            </w:r>
          </w:p>
          <w:p w14:paraId="16B89826">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3.故障报警无需区分具体故障类型，仅需指示设备处于故障状态。</w:t>
            </w:r>
          </w:p>
          <w:p w14:paraId="0CCACC67">
            <w:pPr>
              <w:spacing w:line="360" w:lineRule="auto"/>
              <w:rPr>
                <w:rFonts w:ascii="宋体" w:hAnsi="宋体" w:eastAsia="宋体" w:cs="宋体"/>
                <w:sz w:val="24"/>
                <w:szCs w:val="24"/>
              </w:rPr>
            </w:pPr>
            <w:r>
              <w:rPr>
                <w:rFonts w:hint="eastAsia" w:asciiTheme="minorEastAsia" w:hAnsiTheme="minorEastAsia" w:cstheme="minorEastAsia"/>
                <w:sz w:val="24"/>
                <w:szCs w:val="24"/>
              </w:rPr>
              <w:t>4.故障排除后，报警信号支持自动复位及手动复位两种方式。</w:t>
            </w:r>
          </w:p>
        </w:tc>
      </w:tr>
      <w:tr w14:paraId="6582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3" w:type="dxa"/>
          </w:tcPr>
          <w:p w14:paraId="54676E98">
            <w:pPr>
              <w:rPr>
                <w:rFonts w:ascii="宋体" w:hAnsi="宋体" w:eastAsia="宋体" w:cs="宋体"/>
                <w:sz w:val="24"/>
                <w:szCs w:val="24"/>
              </w:rPr>
            </w:pPr>
            <w:r>
              <w:rPr>
                <w:rFonts w:hint="eastAsia" w:ascii="宋体" w:hAnsi="宋体" w:eastAsia="宋体" w:cs="宋体"/>
                <w:sz w:val="24"/>
                <w:szCs w:val="24"/>
              </w:rPr>
              <w:t>环境与可靠性要求</w:t>
            </w:r>
          </w:p>
        </w:tc>
        <w:tc>
          <w:tcPr>
            <w:tcW w:w="5999" w:type="dxa"/>
          </w:tcPr>
          <w:p w14:paraId="37D41C42">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1.环境适应性</w:t>
            </w:r>
          </w:p>
          <w:p w14:paraId="23A6D22A">
            <w:pPr>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工作环境温度：-10℃ ~ +55℃</w:t>
            </w:r>
          </w:p>
          <w:p w14:paraId="721C59F0">
            <w:pPr>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存储环境温度：-25℃ ~ +70℃</w:t>
            </w:r>
          </w:p>
          <w:p w14:paraId="34BFA404">
            <w:pPr>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相对湿度：5% ~ 95%（无凝露）</w:t>
            </w:r>
          </w:p>
          <w:p w14:paraId="6A0A3BE1">
            <w:pPr>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防护等级：IP20（室内安装）</w:t>
            </w:r>
          </w:p>
          <w:p w14:paraId="59A38BF6">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2.电磁兼容性：符合 GB/T 17626 系列电磁兼容标准要求。</w:t>
            </w:r>
          </w:p>
          <w:p w14:paraId="15DCA145">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3.安全要求：符合 GB 4943.1《信息技术设备 安全 第 1 部分：通用要求》。</w:t>
            </w:r>
          </w:p>
          <w:p w14:paraId="1CF8AABA">
            <w:pPr>
              <w:spacing w:line="360" w:lineRule="auto"/>
              <w:rPr>
                <w:rFonts w:ascii="宋体" w:hAnsi="宋体" w:eastAsia="宋体" w:cs="宋体"/>
                <w:sz w:val="24"/>
                <w:szCs w:val="24"/>
              </w:rPr>
            </w:pPr>
            <w:r>
              <w:rPr>
                <w:rFonts w:hint="eastAsia" w:asciiTheme="minorEastAsia" w:hAnsiTheme="minorEastAsia" w:cstheme="minorEastAsia"/>
                <w:sz w:val="24"/>
                <w:szCs w:val="24"/>
              </w:rPr>
              <w:t>4.可靠性：平均无故障时间（MTBF）≥100000h，设计使用寿命≥10 年。</w:t>
            </w:r>
          </w:p>
        </w:tc>
      </w:tr>
      <w:tr w14:paraId="4FC8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3" w:type="dxa"/>
          </w:tcPr>
          <w:p w14:paraId="738482ED">
            <w:pPr>
              <w:rPr>
                <w:rFonts w:ascii="宋体" w:hAnsi="宋体" w:eastAsia="宋体" w:cs="宋体"/>
                <w:sz w:val="24"/>
                <w:szCs w:val="24"/>
              </w:rPr>
            </w:pPr>
            <w:r>
              <w:rPr>
                <w:rFonts w:hint="eastAsia" w:ascii="宋体" w:hAnsi="宋体" w:eastAsia="宋体" w:cs="宋体"/>
                <w:sz w:val="24"/>
                <w:szCs w:val="24"/>
              </w:rPr>
              <w:t>验收要求</w:t>
            </w:r>
          </w:p>
        </w:tc>
        <w:tc>
          <w:tcPr>
            <w:tcW w:w="5999" w:type="dxa"/>
          </w:tcPr>
          <w:p w14:paraId="118DC540">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出厂验收：</w:t>
            </w:r>
          </w:p>
          <w:p w14:paraId="488031D8">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1.外观检查：产品外观无损伤，标识清晰完整，接口齐全。</w:t>
            </w:r>
          </w:p>
          <w:p w14:paraId="1014088B">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2.电气性能测试：验证输入输出电压、电流、功率等参数符合本文件要求。</w:t>
            </w:r>
          </w:p>
          <w:p w14:paraId="36C7BAFA">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3.功能测试：逐项验证并网充电逻辑、离网供电逻辑、模式切换逻辑及同期合闸功能。</w:t>
            </w:r>
          </w:p>
          <w:p w14:paraId="773A1778">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故障报警测试：模拟各类故障，验证干接点及 RS485 报警功能正常。</w:t>
            </w:r>
          </w:p>
          <w:p w14:paraId="6564875D">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现场验收：</w:t>
            </w:r>
          </w:p>
          <w:p w14:paraId="5866AD24">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1.安装调试完成后，验证所有功能正常运行。</w:t>
            </w:r>
          </w:p>
          <w:p w14:paraId="7536606C">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2.进行 72 小时连续运行测试，期间无故障发生。</w:t>
            </w:r>
          </w:p>
          <w:p w14:paraId="54E4E02A">
            <w:pPr>
              <w:spacing w:line="360" w:lineRule="auto"/>
              <w:rPr>
                <w:rFonts w:ascii="宋体" w:hAnsi="宋体" w:eastAsia="宋体" w:cs="宋体"/>
                <w:sz w:val="24"/>
                <w:szCs w:val="24"/>
              </w:rPr>
            </w:pPr>
            <w:r>
              <w:rPr>
                <w:rFonts w:hint="eastAsia" w:asciiTheme="minorEastAsia" w:hAnsiTheme="minorEastAsia" w:cstheme="minorEastAsia"/>
                <w:sz w:val="24"/>
                <w:szCs w:val="24"/>
              </w:rPr>
              <w:t>3.模拟电网异常及恢复场景，验证离并网切换的准确性和可靠性。</w:t>
            </w:r>
          </w:p>
        </w:tc>
      </w:tr>
    </w:tbl>
    <w:p w14:paraId="3019C2A9">
      <w:pPr>
        <w:pStyle w:val="3"/>
        <w:spacing w:line="560" w:lineRule="exact"/>
        <w:ind w:firstLine="643" w:firstLineChars="200"/>
      </w:pPr>
      <w:bookmarkStart w:id="18" w:name="_Toc24836"/>
      <w:r>
        <w:rPr>
          <w:rFonts w:hint="eastAsia"/>
        </w:rPr>
        <w:t>4、交货周期及供货清单</w:t>
      </w:r>
      <w:bookmarkEnd w:id="18"/>
    </w:p>
    <w:p w14:paraId="02BF2744">
      <w:pPr>
        <w:pStyle w:val="5"/>
        <w:numPr>
          <w:ilvl w:val="255"/>
          <w:numId w:val="0"/>
        </w:num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4.1合同签订后30天内运抵珠海市香洲区桂山岛。提供设备操作使用手册、通信协议手册纸质版和电子版各1份，以及产品合格证、检测报告等必要证书、资料。</w:t>
      </w:r>
    </w:p>
    <w:p w14:paraId="0E0165D2">
      <w:pPr>
        <w:ind w:firstLine="560" w:firstLineChars="200"/>
        <w:rPr>
          <w:rFonts w:ascii="仿宋_GB2312" w:hAnsi="仿宋_GB2312" w:eastAsia="仿宋_GB2312" w:cs="仿宋_GB2312"/>
          <w:sz w:val="28"/>
          <w:szCs w:val="28"/>
        </w:rPr>
      </w:pPr>
      <w:bookmarkStart w:id="19" w:name="_Toc29086"/>
      <w:r>
        <w:rPr>
          <w:rFonts w:hint="eastAsia" w:ascii="仿宋_GB2312" w:hAnsi="仿宋_GB2312" w:eastAsia="仿宋_GB2312" w:cs="仿宋_GB2312"/>
          <w:sz w:val="28"/>
          <w:szCs w:val="28"/>
        </w:rPr>
        <w:t>4.2供货清单</w:t>
      </w:r>
      <w:bookmarkEnd w:id="19"/>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755"/>
        <w:gridCol w:w="3533"/>
        <w:gridCol w:w="703"/>
        <w:gridCol w:w="816"/>
      </w:tblGrid>
      <w:tr w14:paraId="3EB6A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2" w:type="dxa"/>
            <w:vAlign w:val="center"/>
          </w:tcPr>
          <w:p w14:paraId="1BAB75C6">
            <w:pPr>
              <w:jc w:val="center"/>
              <w:rPr>
                <w:rFonts w:asciiTheme="minorEastAsia" w:hAnsiTheme="minorEastAsia" w:cstheme="minorEastAsia"/>
                <w:sz w:val="24"/>
                <w:szCs w:val="24"/>
              </w:rPr>
            </w:pPr>
            <w:r>
              <w:rPr>
                <w:rFonts w:hint="eastAsia" w:asciiTheme="minorEastAsia" w:hAnsiTheme="minorEastAsia" w:cstheme="minorEastAsia"/>
                <w:sz w:val="24"/>
                <w:szCs w:val="24"/>
              </w:rPr>
              <w:t>序号</w:t>
            </w:r>
          </w:p>
        </w:tc>
        <w:tc>
          <w:tcPr>
            <w:tcW w:w="2810" w:type="dxa"/>
            <w:vAlign w:val="center"/>
          </w:tcPr>
          <w:p w14:paraId="689BF6EE">
            <w:pPr>
              <w:jc w:val="center"/>
              <w:rPr>
                <w:rFonts w:asciiTheme="minorEastAsia" w:hAnsiTheme="minorEastAsia" w:cstheme="minorEastAsia"/>
                <w:sz w:val="24"/>
                <w:szCs w:val="24"/>
              </w:rPr>
            </w:pPr>
            <w:r>
              <w:rPr>
                <w:rFonts w:hint="eastAsia" w:asciiTheme="minorEastAsia" w:hAnsiTheme="minorEastAsia" w:cstheme="minorEastAsia"/>
                <w:sz w:val="24"/>
                <w:szCs w:val="24"/>
              </w:rPr>
              <w:t>产品名称</w:t>
            </w:r>
          </w:p>
        </w:tc>
        <w:tc>
          <w:tcPr>
            <w:tcW w:w="3569" w:type="dxa"/>
            <w:vAlign w:val="center"/>
          </w:tcPr>
          <w:p w14:paraId="763EDB59">
            <w:pPr>
              <w:jc w:val="center"/>
              <w:rPr>
                <w:rFonts w:asciiTheme="minorEastAsia" w:hAnsiTheme="minorEastAsia" w:cstheme="minorEastAsia"/>
                <w:sz w:val="24"/>
                <w:szCs w:val="24"/>
              </w:rPr>
            </w:pPr>
            <w:r>
              <w:rPr>
                <w:rFonts w:hint="eastAsia" w:asciiTheme="minorEastAsia" w:hAnsiTheme="minorEastAsia" w:cstheme="minorEastAsia"/>
                <w:sz w:val="24"/>
                <w:szCs w:val="24"/>
              </w:rPr>
              <w:t>规格型号</w:t>
            </w:r>
          </w:p>
        </w:tc>
        <w:tc>
          <w:tcPr>
            <w:tcW w:w="709" w:type="dxa"/>
            <w:vAlign w:val="center"/>
          </w:tcPr>
          <w:p w14:paraId="098B766C">
            <w:pPr>
              <w:jc w:val="center"/>
              <w:rPr>
                <w:rFonts w:asciiTheme="minorEastAsia" w:hAnsiTheme="minorEastAsia" w:cstheme="minorEastAsia"/>
                <w:sz w:val="24"/>
                <w:szCs w:val="24"/>
              </w:rPr>
            </w:pPr>
            <w:r>
              <w:rPr>
                <w:rFonts w:hint="eastAsia" w:asciiTheme="minorEastAsia" w:hAnsiTheme="minorEastAsia" w:cstheme="minorEastAsia"/>
                <w:sz w:val="24"/>
                <w:szCs w:val="24"/>
              </w:rPr>
              <w:t>数量</w:t>
            </w:r>
          </w:p>
        </w:tc>
        <w:tc>
          <w:tcPr>
            <w:tcW w:w="709" w:type="dxa"/>
            <w:vAlign w:val="center"/>
          </w:tcPr>
          <w:p w14:paraId="1B49CBC3">
            <w:pPr>
              <w:jc w:val="center"/>
              <w:rPr>
                <w:rFonts w:asciiTheme="minorEastAsia" w:hAnsiTheme="minorEastAsia" w:cstheme="minorEastAsia"/>
                <w:sz w:val="24"/>
                <w:szCs w:val="24"/>
              </w:rPr>
            </w:pPr>
            <w:r>
              <w:rPr>
                <w:rFonts w:hint="eastAsia" w:asciiTheme="minorEastAsia" w:hAnsiTheme="minorEastAsia" w:cstheme="minorEastAsia"/>
                <w:sz w:val="24"/>
                <w:szCs w:val="24"/>
              </w:rPr>
              <w:t>备注</w:t>
            </w:r>
          </w:p>
        </w:tc>
      </w:tr>
      <w:tr w14:paraId="7DA7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2" w:type="dxa"/>
            <w:vAlign w:val="center"/>
          </w:tcPr>
          <w:p w14:paraId="7CB412A5">
            <w:pPr>
              <w:jc w:val="center"/>
              <w:rPr>
                <w:rFonts w:asciiTheme="minorEastAsia" w:hAnsiTheme="minorEastAsia" w:cstheme="minorEastAsia"/>
                <w:sz w:val="24"/>
                <w:szCs w:val="24"/>
              </w:rPr>
            </w:pPr>
            <w:r>
              <w:rPr>
                <w:rFonts w:hint="eastAsia" w:asciiTheme="minorEastAsia" w:hAnsiTheme="minorEastAsia" w:cstheme="minorEastAsia"/>
                <w:sz w:val="24"/>
                <w:szCs w:val="24"/>
              </w:rPr>
              <w:t>1</w:t>
            </w:r>
          </w:p>
        </w:tc>
        <w:tc>
          <w:tcPr>
            <w:tcW w:w="2810" w:type="dxa"/>
            <w:vAlign w:val="center"/>
          </w:tcPr>
          <w:p w14:paraId="229303D6">
            <w:pP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风机塔筒低电压穿越装置</w:t>
            </w:r>
          </w:p>
        </w:tc>
        <w:tc>
          <w:tcPr>
            <w:tcW w:w="3569" w:type="dxa"/>
            <w:vAlign w:val="center"/>
          </w:tcPr>
          <w:p w14:paraId="2AB7C1BF">
            <w:pP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AC</w:t>
            </w:r>
            <w:r>
              <w:rPr>
                <w:rFonts w:asciiTheme="minorEastAsia" w:hAnsiTheme="minorEastAsia" w:cstheme="minorEastAsia"/>
                <w:sz w:val="24"/>
                <w:szCs w:val="24"/>
                <w:highlight w:val="none"/>
              </w:rPr>
              <w:t>-</w:t>
            </w:r>
            <w:r>
              <w:rPr>
                <w:rFonts w:hint="eastAsia" w:asciiTheme="minorEastAsia" w:hAnsiTheme="minorEastAsia" w:cstheme="minorEastAsia"/>
                <w:sz w:val="24"/>
                <w:szCs w:val="24"/>
                <w:highlight w:val="none"/>
              </w:rPr>
              <w:t>220V/250W-DC 560V/1</w:t>
            </w:r>
            <w:r>
              <w:rPr>
                <w:rFonts w:asciiTheme="minorEastAsia" w:hAnsiTheme="minorEastAsia" w:cstheme="minorEastAsia"/>
                <w:sz w:val="24"/>
                <w:szCs w:val="24"/>
                <w:highlight w:val="none"/>
              </w:rPr>
              <w:t>.5kW</w:t>
            </w:r>
            <w:r>
              <w:rPr>
                <w:rFonts w:hint="eastAsia" w:asciiTheme="minorEastAsia" w:hAnsiTheme="minorEastAsia" w:cstheme="minorEastAsia"/>
                <w:sz w:val="24"/>
                <w:szCs w:val="24"/>
                <w:highlight w:val="none"/>
              </w:rPr>
              <w:t xml:space="preserve">-0.5s </w:t>
            </w:r>
          </w:p>
        </w:tc>
        <w:tc>
          <w:tcPr>
            <w:tcW w:w="709" w:type="dxa"/>
            <w:vAlign w:val="center"/>
          </w:tcPr>
          <w:p w14:paraId="347EB9EF">
            <w:pPr>
              <w:jc w:val="cente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p>
        </w:tc>
        <w:tc>
          <w:tcPr>
            <w:tcW w:w="709" w:type="dxa"/>
            <w:vAlign w:val="center"/>
          </w:tcPr>
          <w:p w14:paraId="2BC45ECF">
            <w:pPr>
              <w:jc w:val="cente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1.5KW</w:t>
            </w:r>
          </w:p>
        </w:tc>
      </w:tr>
      <w:tr w14:paraId="1805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2" w:type="dxa"/>
            <w:vAlign w:val="center"/>
          </w:tcPr>
          <w:p w14:paraId="1D3C3FB7">
            <w:pPr>
              <w:jc w:val="center"/>
              <w:rPr>
                <w:rFonts w:asciiTheme="minorEastAsia" w:hAnsiTheme="minorEastAsia" w:cstheme="minorEastAsia"/>
                <w:sz w:val="24"/>
                <w:szCs w:val="24"/>
              </w:rPr>
            </w:pPr>
            <w:bookmarkStart w:id="20" w:name="_Toc14180"/>
            <w:r>
              <w:rPr>
                <w:rFonts w:hint="eastAsia" w:asciiTheme="minorEastAsia" w:hAnsiTheme="minorEastAsia" w:cstheme="minorEastAsia"/>
                <w:sz w:val="24"/>
                <w:szCs w:val="24"/>
              </w:rPr>
              <w:t>2</w:t>
            </w:r>
          </w:p>
        </w:tc>
        <w:tc>
          <w:tcPr>
            <w:tcW w:w="2810" w:type="dxa"/>
            <w:vAlign w:val="center"/>
          </w:tcPr>
          <w:p w14:paraId="25BF03A4">
            <w:pP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eastAsia="zh-CN"/>
              </w:rPr>
              <w:t>公共电梯</w:t>
            </w:r>
            <w:r>
              <w:rPr>
                <w:rFonts w:hint="eastAsia" w:asciiTheme="minorEastAsia" w:hAnsiTheme="minorEastAsia" w:cstheme="minorEastAsia"/>
                <w:sz w:val="24"/>
                <w:szCs w:val="24"/>
                <w:highlight w:val="none"/>
              </w:rPr>
              <w:t>低电压穿越装置</w:t>
            </w:r>
          </w:p>
        </w:tc>
        <w:tc>
          <w:tcPr>
            <w:tcW w:w="3569" w:type="dxa"/>
            <w:vAlign w:val="center"/>
          </w:tcPr>
          <w:p w14:paraId="46B5DE24">
            <w:pP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AC</w:t>
            </w:r>
            <w:r>
              <w:rPr>
                <w:rFonts w:asciiTheme="minorEastAsia" w:hAnsiTheme="minorEastAsia" w:cstheme="minorEastAsia"/>
                <w:sz w:val="24"/>
                <w:szCs w:val="24"/>
                <w:highlight w:val="none"/>
              </w:rPr>
              <w:t>-</w:t>
            </w:r>
            <w:r>
              <w:rPr>
                <w:rFonts w:hint="eastAsia" w:asciiTheme="minorEastAsia" w:hAnsiTheme="minorEastAsia" w:cstheme="minorEastAsia"/>
                <w:sz w:val="24"/>
                <w:szCs w:val="24"/>
                <w:highlight w:val="none"/>
              </w:rPr>
              <w:t>220V/250W-DC 560V/1</w:t>
            </w:r>
            <w:r>
              <w:rPr>
                <w:rFonts w:asciiTheme="minorEastAsia" w:hAnsiTheme="minorEastAsia" w:cstheme="minorEastAsia"/>
                <w:sz w:val="24"/>
                <w:szCs w:val="24"/>
                <w:highlight w:val="none"/>
              </w:rPr>
              <w:t>5kW</w:t>
            </w:r>
            <w:r>
              <w:rPr>
                <w:rFonts w:hint="eastAsia" w:asciiTheme="minorEastAsia" w:hAnsiTheme="minorEastAsia" w:cstheme="minorEastAsia"/>
                <w:sz w:val="24"/>
                <w:szCs w:val="24"/>
                <w:highlight w:val="none"/>
              </w:rPr>
              <w:t>-0.5s</w:t>
            </w:r>
          </w:p>
        </w:tc>
        <w:tc>
          <w:tcPr>
            <w:tcW w:w="709" w:type="dxa"/>
            <w:vAlign w:val="center"/>
          </w:tcPr>
          <w:p w14:paraId="3563601F">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w:t>
            </w:r>
          </w:p>
        </w:tc>
        <w:tc>
          <w:tcPr>
            <w:tcW w:w="709" w:type="dxa"/>
            <w:vAlign w:val="center"/>
          </w:tcPr>
          <w:p w14:paraId="36C241B1">
            <w:pPr>
              <w:jc w:val="center"/>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15KW</w:t>
            </w:r>
          </w:p>
        </w:tc>
      </w:tr>
    </w:tbl>
    <w:p w14:paraId="5CE3A88F">
      <w:pPr>
        <w:pStyle w:val="3"/>
        <w:spacing w:line="560" w:lineRule="exact"/>
        <w:ind w:firstLine="643" w:firstLineChars="200"/>
      </w:pPr>
      <w:r>
        <w:t>5</w:t>
      </w:r>
      <w:r>
        <w:rPr>
          <w:rFonts w:hint="eastAsia"/>
        </w:rPr>
        <w:t>、</w:t>
      </w:r>
      <w:r>
        <w:t>培训支持</w:t>
      </w:r>
      <w:bookmarkEnd w:id="20"/>
    </w:p>
    <w:p w14:paraId="18D3A94C">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投标方负责对招标方技术人员及运行、维护人员培训，内容包括设备安装、接线、调试、操作、故障排查、数据读取与状态判断。</w:t>
      </w:r>
    </w:p>
    <w:p w14:paraId="32CEDD6C">
      <w:pPr>
        <w:pStyle w:val="3"/>
        <w:spacing w:line="560" w:lineRule="exact"/>
        <w:ind w:firstLine="643" w:firstLineChars="200"/>
      </w:pPr>
      <w:bookmarkStart w:id="21" w:name="_Toc31920"/>
      <w:r>
        <w:t>6</w:t>
      </w:r>
      <w:r>
        <w:rPr>
          <w:rFonts w:hint="eastAsia"/>
        </w:rPr>
        <w:t>、</w:t>
      </w:r>
      <w:r>
        <w:t>质量保证</w:t>
      </w:r>
      <w:bookmarkEnd w:id="21"/>
    </w:p>
    <w:p w14:paraId="17F93642">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6.1 设备质保期12个月，自现场验收合格之日起计算。质保期内凡因产品质量造成损坏或故障，投标方免费修复或更换，更换部件保修期顺延。</w:t>
      </w:r>
    </w:p>
    <w:p w14:paraId="67198273">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6.2 投标方承诺质保期内元器件损坏可及时提供更换。</w:t>
      </w:r>
    </w:p>
    <w:p w14:paraId="6A2FC1DC">
      <w:pPr>
        <w:widowControl/>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6.3 质保期后，投标方有义务协助招标方解决设备运行异常，提供技术支持与维修方案。</w:t>
      </w:r>
    </w:p>
    <w:p w14:paraId="71B2F793">
      <w:pPr>
        <w:widowControl/>
        <w:spacing w:line="560" w:lineRule="exact"/>
        <w:ind w:firstLine="560" w:firstLineChars="200"/>
        <w:rPr>
          <w:rFonts w:hint="eastAsia" w:ascii="仿宋_GB2312" w:hAnsi="仿宋_GB2312" w:eastAsia="仿宋_GB2312" w:cs="仿宋_GB2312"/>
          <w:sz w:val="28"/>
          <w:szCs w:val="28"/>
        </w:rPr>
      </w:pPr>
    </w:p>
    <w:p w14:paraId="5B0855A4">
      <w:pPr>
        <w:widowControl/>
        <w:spacing w:line="560" w:lineRule="exact"/>
        <w:ind w:firstLine="560" w:firstLineChars="200"/>
        <w:rPr>
          <w:rFonts w:hint="eastAsia" w:ascii="仿宋_GB2312" w:hAnsi="仿宋_GB2312" w:eastAsia="仿宋_GB2312" w:cs="仿宋_GB2312"/>
          <w:sz w:val="28"/>
          <w:szCs w:val="28"/>
        </w:rPr>
      </w:pPr>
    </w:p>
    <w:p w14:paraId="07AE132C">
      <w:pPr>
        <w:widowControl/>
        <w:spacing w:line="560" w:lineRule="exact"/>
        <w:ind w:firstLine="560" w:firstLineChars="200"/>
        <w:rPr>
          <w:rFonts w:hint="eastAsia" w:ascii="仿宋_GB2312" w:hAnsi="仿宋_GB2312" w:eastAsia="仿宋_GB2312" w:cs="仿宋_GB2312"/>
          <w:sz w:val="28"/>
          <w:szCs w:val="28"/>
        </w:rPr>
      </w:pPr>
    </w:p>
    <w:p w14:paraId="7BE9BCC1">
      <w:pPr>
        <w:widowControl/>
        <w:spacing w:line="560" w:lineRule="exact"/>
        <w:ind w:firstLine="560" w:firstLineChars="200"/>
        <w:rPr>
          <w:rFonts w:hint="eastAsia" w:ascii="仿宋_GB2312" w:hAnsi="仿宋_GB2312" w:eastAsia="仿宋_GB2312" w:cs="仿宋_GB2312"/>
          <w:sz w:val="28"/>
          <w:szCs w:val="28"/>
        </w:rPr>
      </w:pPr>
    </w:p>
    <w:p w14:paraId="67491F77">
      <w:pPr>
        <w:pStyle w:val="3"/>
        <w:numPr>
          <w:ilvl w:val="0"/>
          <w:numId w:val="3"/>
        </w:numPr>
        <w:spacing w:line="560" w:lineRule="exact"/>
        <w:ind w:firstLine="643" w:firstLineChars="200"/>
        <w:rPr>
          <w:rFonts w:hint="eastAsia"/>
        </w:rPr>
      </w:pPr>
      <w:bookmarkStart w:id="22" w:name="_Toc28985"/>
      <w:r>
        <w:rPr>
          <w:rFonts w:hint="eastAsia"/>
        </w:rPr>
        <w:t>附件</w:t>
      </w:r>
      <w:bookmarkEnd w:id="22"/>
    </w:p>
    <w:p w14:paraId="78821DF3">
      <w:pPr>
        <w:numPr>
          <w:ilvl w:val="-1"/>
          <w:numId w:val="0"/>
        </w:numPr>
      </w:pPr>
      <w:bookmarkStart w:id="30" w:name="_GoBack"/>
      <w:bookmarkEnd w:id="30"/>
    </w:p>
    <w:p w14:paraId="6295521B"/>
    <w:p w14:paraId="68A7243E">
      <w:pPr>
        <w:ind w:firstLine="643" w:firstLineChars="200"/>
        <w:rPr>
          <w:b/>
          <w:bCs/>
          <w:sz w:val="32"/>
          <w:szCs w:val="32"/>
        </w:rPr>
      </w:pPr>
      <w:bookmarkStart w:id="23" w:name="_Toc19062"/>
      <w:bookmarkStart w:id="24" w:name="_Toc5807"/>
      <w:bookmarkStart w:id="25" w:name="_Toc24976"/>
      <w:r>
        <w:rPr>
          <w:rFonts w:hint="eastAsia"/>
          <w:b/>
          <w:bCs/>
          <w:sz w:val="32"/>
          <w:szCs w:val="32"/>
        </w:rPr>
        <w:t>附件：工程验收单</w:t>
      </w:r>
      <w:bookmarkEnd w:id="23"/>
      <w:bookmarkEnd w:id="24"/>
      <w:bookmarkEnd w:id="25"/>
    </w:p>
    <w:p w14:paraId="4D44D54A">
      <w:pPr>
        <w:jc w:val="center"/>
        <w:rPr>
          <w:sz w:val="32"/>
          <w:szCs w:val="32"/>
        </w:rPr>
      </w:pPr>
      <w:bookmarkStart w:id="26" w:name="_Toc18206"/>
      <w:bookmarkStart w:id="27" w:name="_Toc28537"/>
      <w:bookmarkStart w:id="28" w:name="_Toc29623"/>
      <w:bookmarkStart w:id="29" w:name="_Toc1743"/>
      <w:r>
        <w:rPr>
          <w:rFonts w:hint="eastAsia"/>
          <w:sz w:val="32"/>
          <w:szCs w:val="32"/>
        </w:rPr>
        <w:t>技术/咨询/服务/项目验收报告</w:t>
      </w:r>
      <w:bookmarkEnd w:id="26"/>
      <w:bookmarkEnd w:id="27"/>
      <w:bookmarkEnd w:id="28"/>
      <w:bookmarkEnd w:id="29"/>
    </w:p>
    <w:p w14:paraId="7A4DCF8F">
      <w:pPr>
        <w:ind w:firstLine="480"/>
        <w:jc w:val="center"/>
        <w:rPr>
          <w:sz w:val="24"/>
          <w:szCs w:val="24"/>
        </w:rPr>
      </w:pPr>
      <w:r>
        <w:rPr>
          <w:rFonts w:hint="eastAsia"/>
          <w:sz w:val="24"/>
          <w:szCs w:val="24"/>
        </w:rPr>
        <w:t xml:space="preserve">                                           时间：20xx-xx-xx</w:t>
      </w:r>
    </w:p>
    <w:tbl>
      <w:tblPr>
        <w:tblStyle w:val="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412"/>
        <w:gridCol w:w="2604"/>
        <w:gridCol w:w="1523"/>
        <w:gridCol w:w="2489"/>
      </w:tblGrid>
      <w:tr w14:paraId="3DB8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494" w:type="dxa"/>
            <w:shd w:val="clear" w:color="auto" w:fill="auto"/>
          </w:tcPr>
          <w:p w14:paraId="0D8EB477">
            <w:pPr>
              <w:jc w:val="center"/>
              <w:rPr>
                <w:sz w:val="28"/>
                <w:szCs w:val="28"/>
              </w:rPr>
            </w:pPr>
            <w:r>
              <w:rPr>
                <w:rFonts w:hint="eastAsia"/>
                <w:sz w:val="28"/>
                <w:szCs w:val="28"/>
              </w:rPr>
              <w:t>项目名称</w:t>
            </w:r>
          </w:p>
        </w:tc>
        <w:tc>
          <w:tcPr>
            <w:tcW w:w="3016" w:type="dxa"/>
            <w:gridSpan w:val="2"/>
            <w:shd w:val="clear" w:color="auto" w:fill="auto"/>
            <w:vAlign w:val="center"/>
          </w:tcPr>
          <w:p w14:paraId="2738AC02">
            <w:pPr>
              <w:rPr>
                <w:rFonts w:ascii="宋体" w:hAnsi="宋体"/>
                <w:szCs w:val="21"/>
              </w:rPr>
            </w:pPr>
          </w:p>
        </w:tc>
        <w:tc>
          <w:tcPr>
            <w:tcW w:w="1523" w:type="dxa"/>
            <w:shd w:val="clear" w:color="auto" w:fill="auto"/>
          </w:tcPr>
          <w:p w14:paraId="026BA325">
            <w:pPr>
              <w:jc w:val="center"/>
              <w:rPr>
                <w:sz w:val="28"/>
                <w:szCs w:val="28"/>
              </w:rPr>
            </w:pPr>
            <w:r>
              <w:rPr>
                <w:rFonts w:hint="eastAsia"/>
                <w:sz w:val="28"/>
                <w:szCs w:val="28"/>
              </w:rPr>
              <w:t>合同单位</w:t>
            </w:r>
          </w:p>
        </w:tc>
        <w:tc>
          <w:tcPr>
            <w:tcW w:w="2489" w:type="dxa"/>
            <w:shd w:val="clear" w:color="auto" w:fill="auto"/>
            <w:vAlign w:val="center"/>
          </w:tcPr>
          <w:p w14:paraId="1A26FBDF">
            <w:pPr>
              <w:jc w:val="center"/>
              <w:rPr>
                <w:rFonts w:ascii="楷体_GB2312" w:eastAsia="楷体_GB2312"/>
                <w:b/>
                <w:sz w:val="28"/>
                <w:szCs w:val="28"/>
              </w:rPr>
            </w:pPr>
            <w:r>
              <w:rPr>
                <w:rFonts w:hint="eastAsia" w:ascii="仿宋_GB2312"/>
              </w:rPr>
              <w:t>xxxxxx公司</w:t>
            </w:r>
          </w:p>
        </w:tc>
      </w:tr>
      <w:tr w14:paraId="387D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shd w:val="clear" w:color="auto" w:fill="auto"/>
          </w:tcPr>
          <w:p w14:paraId="7DADC3DE">
            <w:pPr>
              <w:jc w:val="center"/>
              <w:rPr>
                <w:sz w:val="28"/>
                <w:szCs w:val="28"/>
              </w:rPr>
            </w:pPr>
            <w:r>
              <w:rPr>
                <w:rFonts w:hint="eastAsia"/>
                <w:sz w:val="28"/>
                <w:szCs w:val="28"/>
              </w:rPr>
              <w:t>合同编号</w:t>
            </w:r>
          </w:p>
        </w:tc>
        <w:tc>
          <w:tcPr>
            <w:tcW w:w="3016" w:type="dxa"/>
            <w:gridSpan w:val="2"/>
            <w:shd w:val="clear" w:color="auto" w:fill="auto"/>
            <w:vAlign w:val="center"/>
          </w:tcPr>
          <w:p w14:paraId="756FE50F">
            <w:pPr>
              <w:jc w:val="center"/>
              <w:rPr>
                <w:rFonts w:ascii="黑体" w:hAnsi="黑体" w:eastAsia="黑体"/>
                <w:b/>
                <w:sz w:val="24"/>
                <w:szCs w:val="24"/>
              </w:rPr>
            </w:pPr>
          </w:p>
        </w:tc>
        <w:tc>
          <w:tcPr>
            <w:tcW w:w="1523" w:type="dxa"/>
            <w:shd w:val="clear" w:color="auto" w:fill="auto"/>
          </w:tcPr>
          <w:p w14:paraId="0361B359">
            <w:pPr>
              <w:jc w:val="center"/>
              <w:rPr>
                <w:sz w:val="28"/>
                <w:szCs w:val="28"/>
              </w:rPr>
            </w:pPr>
            <w:r>
              <w:rPr>
                <w:rFonts w:hint="eastAsia"/>
                <w:sz w:val="28"/>
                <w:szCs w:val="28"/>
              </w:rPr>
              <w:t>验收阶段</w:t>
            </w:r>
          </w:p>
        </w:tc>
        <w:tc>
          <w:tcPr>
            <w:tcW w:w="2489" w:type="dxa"/>
            <w:shd w:val="clear" w:color="auto" w:fill="auto"/>
          </w:tcPr>
          <w:p w14:paraId="499B0480">
            <w:pPr>
              <w:rPr>
                <w:sz w:val="28"/>
                <w:szCs w:val="28"/>
              </w:rPr>
            </w:pPr>
          </w:p>
        </w:tc>
      </w:tr>
      <w:tr w14:paraId="14C1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522" w:type="dxa"/>
            <w:gridSpan w:val="5"/>
            <w:shd w:val="clear" w:color="auto" w:fill="auto"/>
            <w:vAlign w:val="center"/>
          </w:tcPr>
          <w:p w14:paraId="235190E3">
            <w:pPr>
              <w:jc w:val="center"/>
              <w:rPr>
                <w:b/>
                <w:sz w:val="28"/>
                <w:szCs w:val="28"/>
              </w:rPr>
            </w:pPr>
            <w:r>
              <w:rPr>
                <w:rFonts w:hint="eastAsia"/>
                <w:bCs/>
                <w:sz w:val="28"/>
                <w:szCs w:val="28"/>
              </w:rPr>
              <w:t>项目阶段详情</w:t>
            </w:r>
          </w:p>
        </w:tc>
      </w:tr>
      <w:tr w14:paraId="63E0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906" w:type="dxa"/>
            <w:gridSpan w:val="2"/>
            <w:shd w:val="clear" w:color="auto" w:fill="auto"/>
            <w:vAlign w:val="center"/>
          </w:tcPr>
          <w:p w14:paraId="716ABF47">
            <w:pPr>
              <w:jc w:val="center"/>
              <w:rPr>
                <w:rFonts w:asciiTheme="minorEastAsia" w:hAnsiTheme="minorEastAsia"/>
                <w:sz w:val="24"/>
                <w:szCs w:val="24"/>
              </w:rPr>
            </w:pPr>
            <w:r>
              <w:rPr>
                <w:rFonts w:hint="eastAsia" w:asciiTheme="minorEastAsia" w:hAnsiTheme="minorEastAsia"/>
                <w:sz w:val="24"/>
                <w:szCs w:val="24"/>
              </w:rPr>
              <w:t>项目阶段概况</w:t>
            </w:r>
          </w:p>
        </w:tc>
        <w:tc>
          <w:tcPr>
            <w:tcW w:w="6616" w:type="dxa"/>
            <w:gridSpan w:val="3"/>
            <w:shd w:val="clear" w:color="auto" w:fill="auto"/>
            <w:vAlign w:val="center"/>
          </w:tcPr>
          <w:p w14:paraId="6918EFAE">
            <w:pPr>
              <w:pStyle w:val="11"/>
              <w:adjustRightInd w:val="0"/>
              <w:snapToGrid w:val="0"/>
              <w:spacing w:line="360" w:lineRule="auto"/>
              <w:rPr>
                <w:rFonts w:asciiTheme="minorEastAsia" w:hAnsiTheme="minorEastAsia" w:eastAsiaTheme="minorEastAsia"/>
                <w:highlight w:val="yellow"/>
              </w:rPr>
            </w:pPr>
          </w:p>
        </w:tc>
      </w:tr>
      <w:tr w14:paraId="7701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06" w:type="dxa"/>
            <w:gridSpan w:val="2"/>
            <w:shd w:val="clear" w:color="auto" w:fill="auto"/>
            <w:vAlign w:val="center"/>
          </w:tcPr>
          <w:p w14:paraId="4AEBEE02">
            <w:pPr>
              <w:adjustRightInd w:val="0"/>
              <w:snapToGrid w:val="0"/>
              <w:jc w:val="center"/>
              <w:rPr>
                <w:rFonts w:asciiTheme="minorEastAsia" w:hAnsiTheme="minorEastAsia"/>
                <w:sz w:val="24"/>
                <w:szCs w:val="24"/>
              </w:rPr>
            </w:pPr>
            <w:r>
              <w:rPr>
                <w:rFonts w:hint="eastAsia" w:asciiTheme="minorEastAsia" w:hAnsiTheme="minorEastAsia"/>
                <w:sz w:val="24"/>
                <w:szCs w:val="24"/>
              </w:rPr>
              <w:t>完成情况及</w:t>
            </w:r>
          </w:p>
          <w:p w14:paraId="754835AC">
            <w:pPr>
              <w:adjustRightInd w:val="0"/>
              <w:snapToGrid w:val="0"/>
              <w:jc w:val="center"/>
              <w:rPr>
                <w:rFonts w:asciiTheme="minorEastAsia" w:hAnsiTheme="minorEastAsia"/>
                <w:sz w:val="24"/>
                <w:szCs w:val="24"/>
              </w:rPr>
            </w:pPr>
            <w:r>
              <w:rPr>
                <w:rFonts w:hint="eastAsia" w:asciiTheme="minorEastAsia" w:hAnsiTheme="minorEastAsia"/>
                <w:sz w:val="24"/>
                <w:szCs w:val="24"/>
              </w:rPr>
              <w:t>交付件名称</w:t>
            </w:r>
          </w:p>
          <w:p w14:paraId="1B9B38AC">
            <w:pPr>
              <w:adjustRightInd w:val="0"/>
              <w:snapToGrid w:val="0"/>
              <w:jc w:val="center"/>
              <w:rPr>
                <w:rFonts w:asciiTheme="minorEastAsia" w:hAnsiTheme="minorEastAsia"/>
                <w:sz w:val="24"/>
                <w:szCs w:val="24"/>
              </w:rPr>
            </w:pPr>
          </w:p>
        </w:tc>
        <w:tc>
          <w:tcPr>
            <w:tcW w:w="6616" w:type="dxa"/>
            <w:gridSpan w:val="3"/>
            <w:shd w:val="clear" w:color="auto" w:fill="auto"/>
          </w:tcPr>
          <w:p w14:paraId="3499193B">
            <w:pPr>
              <w:numPr>
                <w:ilvl w:val="0"/>
                <w:numId w:val="4"/>
              </w:numPr>
              <w:ind w:left="225" w:firstLine="0"/>
              <w:rPr>
                <w:rFonts w:cs="宋体" w:asciiTheme="minorEastAsia" w:hAnsiTheme="minorEastAsia"/>
                <w:szCs w:val="21"/>
              </w:rPr>
            </w:pPr>
            <w:r>
              <w:rPr>
                <w:rFonts w:hint="eastAsia" w:cs="宋体" w:asciiTheme="minorEastAsia" w:hAnsiTheme="minorEastAsia"/>
                <w:szCs w:val="21"/>
              </w:rPr>
              <w:t xml:space="preserve">  </w:t>
            </w:r>
          </w:p>
          <w:p w14:paraId="6E4B1F15">
            <w:pPr>
              <w:numPr>
                <w:ilvl w:val="0"/>
                <w:numId w:val="4"/>
              </w:numPr>
              <w:ind w:left="225" w:firstLine="0"/>
              <w:rPr>
                <w:rFonts w:cs="宋体" w:asciiTheme="minorEastAsia" w:hAnsiTheme="minorEastAsia"/>
                <w:szCs w:val="21"/>
              </w:rPr>
            </w:pPr>
            <w:r>
              <w:rPr>
                <w:rFonts w:hint="eastAsia" w:cs="宋体" w:asciiTheme="minorEastAsia" w:hAnsiTheme="minorEastAsia"/>
                <w:szCs w:val="21"/>
              </w:rPr>
              <w:t xml:space="preserve"> </w:t>
            </w:r>
          </w:p>
          <w:p w14:paraId="50632226">
            <w:pPr>
              <w:rPr>
                <w:rFonts w:cs="宋体" w:asciiTheme="minorEastAsia" w:hAnsiTheme="minorEastAsia"/>
                <w:szCs w:val="21"/>
              </w:rPr>
            </w:pPr>
            <w:r>
              <w:rPr>
                <w:rFonts w:hint="eastAsia" w:cs="宋体" w:asciiTheme="minorEastAsia" w:hAnsiTheme="minorEastAsia"/>
                <w:szCs w:val="21"/>
              </w:rPr>
              <w:t xml:space="preserve">                             </w:t>
            </w:r>
          </w:p>
          <w:p w14:paraId="3FC1775A">
            <w:pPr>
              <w:spacing w:line="260" w:lineRule="exact"/>
              <w:rPr>
                <w:rFonts w:ascii="宋体" w:hAnsi="宋体"/>
                <w:szCs w:val="24"/>
                <w:lang w:val="en-GB"/>
              </w:rPr>
            </w:pPr>
          </w:p>
          <w:p w14:paraId="34130797">
            <w:pPr>
              <w:pStyle w:val="11"/>
              <w:adjustRightInd w:val="0"/>
              <w:snapToGrid w:val="0"/>
              <w:rPr>
                <w:rFonts w:cs="宋体" w:asciiTheme="minorEastAsia" w:hAnsiTheme="minorEastAsia" w:eastAsiaTheme="minorEastAsia"/>
                <w:sz w:val="24"/>
                <w:szCs w:val="24"/>
                <w:lang w:val="en-GB"/>
              </w:rPr>
            </w:pPr>
            <w:r>
              <w:rPr>
                <w:rFonts w:cs="宋体" w:asciiTheme="minorEastAsia" w:hAnsiTheme="minorEastAsia" w:eastAsiaTheme="minorEastAsia"/>
                <w:sz w:val="24"/>
                <w:szCs w:val="24"/>
                <w:lang w:val="en-GB"/>
              </w:rPr>
              <w:t>负责人签字:</w:t>
            </w:r>
          </w:p>
          <w:p w14:paraId="699C1013">
            <w:pPr>
              <w:pStyle w:val="11"/>
              <w:adjustRightInd w:val="0"/>
              <w:snapToGrid w:val="0"/>
              <w:rPr>
                <w:rFonts w:cs="宋体" w:asciiTheme="minorEastAsia" w:hAnsiTheme="minorEastAsia" w:eastAsiaTheme="minorEastAsia"/>
                <w:sz w:val="24"/>
                <w:szCs w:val="24"/>
                <w:lang w:val="en-GB"/>
              </w:rPr>
            </w:pPr>
            <w:r>
              <w:rPr>
                <w:rFonts w:cs="宋体" w:asciiTheme="minorEastAsia" w:hAnsiTheme="minorEastAsia" w:eastAsiaTheme="minorEastAsia"/>
                <w:sz w:val="24"/>
                <w:szCs w:val="24"/>
                <w:lang w:val="en-GB"/>
              </w:rPr>
              <w:t>合同单位公章：</w:t>
            </w:r>
          </w:p>
          <w:p w14:paraId="08EDAE86">
            <w:pPr>
              <w:rPr>
                <w:rFonts w:cs="宋体" w:asciiTheme="minorEastAsia" w:hAnsiTheme="minorEastAsia"/>
                <w:szCs w:val="21"/>
              </w:rPr>
            </w:pPr>
          </w:p>
        </w:tc>
      </w:tr>
      <w:tr w14:paraId="34B0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trPr>
        <w:tc>
          <w:tcPr>
            <w:tcW w:w="1906" w:type="dxa"/>
            <w:gridSpan w:val="2"/>
            <w:shd w:val="clear" w:color="auto" w:fill="auto"/>
            <w:vAlign w:val="center"/>
          </w:tcPr>
          <w:p w14:paraId="44B5CC67">
            <w:pPr>
              <w:jc w:val="center"/>
              <w:rPr>
                <w:rFonts w:asciiTheme="minorEastAsia" w:hAnsiTheme="minorEastAsia"/>
                <w:sz w:val="24"/>
                <w:szCs w:val="24"/>
              </w:rPr>
            </w:pPr>
            <w:r>
              <w:rPr>
                <w:rFonts w:hint="eastAsia" w:asciiTheme="minorEastAsia" w:hAnsiTheme="minorEastAsia"/>
                <w:sz w:val="24"/>
                <w:szCs w:val="24"/>
              </w:rPr>
              <w:t>验收评价</w:t>
            </w:r>
          </w:p>
        </w:tc>
        <w:tc>
          <w:tcPr>
            <w:tcW w:w="6616" w:type="dxa"/>
            <w:gridSpan w:val="3"/>
            <w:shd w:val="clear" w:color="auto" w:fill="auto"/>
            <w:vAlign w:val="center"/>
          </w:tcPr>
          <w:p w14:paraId="347E4D47">
            <w:pPr>
              <w:pStyle w:val="11"/>
              <w:adjustRightInd w:val="0"/>
              <w:snapToGrid w:val="0"/>
              <w:spacing w:line="360" w:lineRule="auto"/>
              <w:rPr>
                <w:rFonts w:cs="宋体" w:asciiTheme="minorEastAsia" w:hAnsiTheme="minorEastAsia" w:eastAsiaTheme="minorEastAsia"/>
              </w:rPr>
            </w:pPr>
          </w:p>
          <w:p w14:paraId="1BAC9F00">
            <w:pPr>
              <w:pStyle w:val="11"/>
              <w:adjustRightInd w:val="0"/>
              <w:snapToGrid w:val="0"/>
              <w:spacing w:line="360" w:lineRule="auto"/>
              <w:rPr>
                <w:rFonts w:cs="宋体" w:asciiTheme="minorEastAsia" w:hAnsiTheme="minorEastAsia" w:eastAsiaTheme="minorEastAsia"/>
              </w:rPr>
            </w:pPr>
          </w:p>
          <w:p w14:paraId="0434CB6D">
            <w:pPr>
              <w:pStyle w:val="11"/>
              <w:adjustRightInd w:val="0"/>
              <w:snapToGrid w:val="0"/>
              <w:rPr>
                <w:rFonts w:cs="宋体" w:asciiTheme="minorEastAsia" w:hAnsiTheme="minorEastAsia" w:eastAsiaTheme="minorEastAsia"/>
                <w:sz w:val="24"/>
                <w:szCs w:val="24"/>
              </w:rPr>
            </w:pPr>
            <w:r>
              <w:rPr>
                <w:rFonts w:cs="宋体" w:asciiTheme="minorEastAsia" w:hAnsiTheme="minorEastAsia" w:eastAsiaTheme="minorEastAsia"/>
                <w:sz w:val="24"/>
                <w:szCs w:val="24"/>
              </w:rPr>
              <w:t>项目负责人签名:</w:t>
            </w:r>
          </w:p>
        </w:tc>
      </w:tr>
      <w:tr w14:paraId="17C9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trPr>
        <w:tc>
          <w:tcPr>
            <w:tcW w:w="1906" w:type="dxa"/>
            <w:gridSpan w:val="2"/>
            <w:shd w:val="clear" w:color="auto" w:fill="auto"/>
            <w:vAlign w:val="center"/>
          </w:tcPr>
          <w:p w14:paraId="69FD086F">
            <w:pPr>
              <w:spacing w:line="360" w:lineRule="auto"/>
              <w:jc w:val="center"/>
              <w:rPr>
                <w:rFonts w:cs="宋体" w:asciiTheme="minorEastAsia" w:hAnsiTheme="minorEastAsia"/>
                <w:sz w:val="24"/>
                <w:szCs w:val="24"/>
              </w:rPr>
            </w:pPr>
          </w:p>
          <w:p w14:paraId="00153324">
            <w:pPr>
              <w:spacing w:line="360" w:lineRule="auto"/>
              <w:jc w:val="center"/>
              <w:rPr>
                <w:rFonts w:cs="宋体" w:asciiTheme="minorEastAsia" w:hAnsiTheme="minorEastAsia"/>
                <w:sz w:val="24"/>
                <w:szCs w:val="24"/>
              </w:rPr>
            </w:pPr>
            <w:r>
              <w:rPr>
                <w:rFonts w:hint="eastAsia" w:cs="宋体" w:asciiTheme="minorEastAsia" w:hAnsiTheme="minorEastAsia"/>
                <w:sz w:val="24"/>
                <w:szCs w:val="24"/>
              </w:rPr>
              <w:t>运行维护部</w:t>
            </w:r>
          </w:p>
          <w:p w14:paraId="68C88A1F">
            <w:pPr>
              <w:spacing w:line="360" w:lineRule="auto"/>
              <w:jc w:val="center"/>
              <w:rPr>
                <w:rFonts w:asciiTheme="minorEastAsia" w:hAnsiTheme="minorEastAsia"/>
                <w:sz w:val="24"/>
                <w:szCs w:val="24"/>
              </w:rPr>
            </w:pPr>
            <w:r>
              <w:rPr>
                <w:rFonts w:hint="eastAsia" w:cs="宋体" w:asciiTheme="minorEastAsia" w:hAnsiTheme="minorEastAsia"/>
                <w:sz w:val="24"/>
                <w:szCs w:val="24"/>
              </w:rPr>
              <w:t>验收意见</w:t>
            </w:r>
          </w:p>
        </w:tc>
        <w:tc>
          <w:tcPr>
            <w:tcW w:w="6616" w:type="dxa"/>
            <w:gridSpan w:val="3"/>
            <w:shd w:val="clear" w:color="auto" w:fill="auto"/>
          </w:tcPr>
          <w:p w14:paraId="41E1B7EA">
            <w:pPr>
              <w:jc w:val="left"/>
              <w:rPr>
                <w:rFonts w:asciiTheme="minorEastAsia" w:hAnsiTheme="minorEastAsia"/>
                <w:szCs w:val="21"/>
              </w:rPr>
            </w:pPr>
            <w:r>
              <w:rPr>
                <w:rFonts w:hint="eastAsia" w:asciiTheme="minorEastAsia" w:hAnsiTheme="minorEastAsia"/>
                <w:szCs w:val="21"/>
              </w:rPr>
              <w:t>部门专业人员验收意见</w:t>
            </w:r>
          </w:p>
          <w:p w14:paraId="4D13BA30">
            <w:pPr>
              <w:jc w:val="left"/>
              <w:rPr>
                <w:rFonts w:asciiTheme="minorEastAsia" w:hAnsiTheme="minorEastAsia"/>
                <w:szCs w:val="21"/>
              </w:rPr>
            </w:pPr>
          </w:p>
          <w:p w14:paraId="2A08D32C">
            <w:pPr>
              <w:jc w:val="left"/>
              <w:rPr>
                <w:rFonts w:asciiTheme="minorEastAsia" w:hAnsiTheme="minorEastAsia"/>
                <w:szCs w:val="21"/>
              </w:rPr>
            </w:pPr>
          </w:p>
          <w:p w14:paraId="24C4B6A2">
            <w:pPr>
              <w:jc w:val="left"/>
              <w:rPr>
                <w:rFonts w:asciiTheme="minorEastAsia" w:hAnsiTheme="minorEastAsia"/>
                <w:szCs w:val="21"/>
              </w:rPr>
            </w:pPr>
            <w:r>
              <w:rPr>
                <w:rFonts w:hint="eastAsia" w:asciiTheme="minorEastAsia" w:hAnsiTheme="minorEastAsia"/>
                <w:szCs w:val="21"/>
              </w:rPr>
              <w:t>签名：                               年    月    日</w:t>
            </w:r>
          </w:p>
          <w:p w14:paraId="21CDC4BA">
            <w:pPr>
              <w:jc w:val="left"/>
              <w:rPr>
                <w:rFonts w:asciiTheme="minorEastAsia" w:hAnsiTheme="minorEastAsia"/>
                <w:szCs w:val="21"/>
              </w:rPr>
            </w:pPr>
          </w:p>
          <w:p w14:paraId="3D860A68">
            <w:pPr>
              <w:jc w:val="left"/>
              <w:rPr>
                <w:rFonts w:asciiTheme="minorEastAsia" w:hAnsiTheme="minorEastAsia"/>
                <w:szCs w:val="21"/>
              </w:rPr>
            </w:pPr>
            <w:r>
              <w:rPr>
                <w:rFonts w:hint="eastAsia" w:asciiTheme="minorEastAsia" w:hAnsiTheme="minorEastAsia"/>
                <w:szCs w:val="21"/>
              </w:rPr>
              <w:t>部门负责人验收意见:</w:t>
            </w:r>
          </w:p>
          <w:p w14:paraId="4E24F59D">
            <w:pPr>
              <w:jc w:val="left"/>
              <w:rPr>
                <w:rFonts w:asciiTheme="minorEastAsia" w:hAnsiTheme="minorEastAsia"/>
                <w:szCs w:val="21"/>
              </w:rPr>
            </w:pPr>
          </w:p>
          <w:p w14:paraId="79F07D8F">
            <w:pPr>
              <w:jc w:val="left"/>
              <w:rPr>
                <w:rFonts w:asciiTheme="minorEastAsia" w:hAnsiTheme="minorEastAsia"/>
                <w:sz w:val="10"/>
                <w:szCs w:val="10"/>
              </w:rPr>
            </w:pPr>
            <w:r>
              <w:rPr>
                <w:rFonts w:hint="eastAsia" w:asciiTheme="minorEastAsia" w:hAnsiTheme="minorEastAsia"/>
                <w:szCs w:val="21"/>
              </w:rPr>
              <w:t>签名:                                年    月    日</w:t>
            </w:r>
          </w:p>
        </w:tc>
      </w:tr>
      <w:tr w14:paraId="73B2B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906" w:type="dxa"/>
            <w:gridSpan w:val="2"/>
            <w:shd w:val="clear" w:color="auto" w:fill="auto"/>
            <w:vAlign w:val="center"/>
          </w:tcPr>
          <w:p w14:paraId="17AC5DB0">
            <w:pPr>
              <w:pStyle w:val="15"/>
              <w:pBdr>
                <w:bottom w:val="none" w:color="auto" w:sz="0" w:space="0"/>
              </w:pBdr>
              <w:tabs>
                <w:tab w:val="clear" w:pos="4153"/>
                <w:tab w:val="clear" w:pos="8306"/>
              </w:tabs>
              <w:snapToGrid/>
              <w:spacing w:line="260" w:lineRule="exact"/>
              <w:rPr>
                <w:rFonts w:ascii="宋体" w:hAnsi="宋体"/>
                <w:sz w:val="24"/>
                <w:szCs w:val="24"/>
              </w:rPr>
            </w:pPr>
            <w:r>
              <w:rPr>
                <w:rFonts w:hint="eastAsia" w:ascii="宋体" w:hAnsi="宋体"/>
                <w:sz w:val="24"/>
                <w:szCs w:val="24"/>
              </w:rPr>
              <w:t>经营部</w:t>
            </w:r>
          </w:p>
          <w:p w14:paraId="18AC75D4">
            <w:pPr>
              <w:pStyle w:val="15"/>
              <w:pBdr>
                <w:bottom w:val="none" w:color="auto" w:sz="0" w:space="0"/>
              </w:pBdr>
              <w:tabs>
                <w:tab w:val="clear" w:pos="4153"/>
                <w:tab w:val="clear" w:pos="8306"/>
              </w:tabs>
              <w:snapToGrid/>
              <w:spacing w:line="260" w:lineRule="exact"/>
              <w:rPr>
                <w:rFonts w:ascii="宋体" w:hAnsi="宋体"/>
              </w:rPr>
            </w:pPr>
            <w:r>
              <w:rPr>
                <w:rFonts w:hint="eastAsia" w:ascii="宋体" w:hAnsi="宋体"/>
                <w:sz w:val="24"/>
              </w:rPr>
              <w:t>验收意见</w:t>
            </w:r>
          </w:p>
        </w:tc>
        <w:tc>
          <w:tcPr>
            <w:tcW w:w="6616" w:type="dxa"/>
            <w:gridSpan w:val="3"/>
            <w:shd w:val="clear" w:color="auto" w:fill="auto"/>
            <w:vAlign w:val="center"/>
          </w:tcPr>
          <w:p w14:paraId="30AA231B">
            <w:pPr>
              <w:spacing w:line="260" w:lineRule="exact"/>
              <w:rPr>
                <w:rFonts w:ascii="宋体" w:hAnsi="宋体"/>
              </w:rPr>
            </w:pPr>
            <w:r>
              <w:rPr>
                <w:rFonts w:hint="eastAsia" w:ascii="宋体" w:hAnsi="宋体"/>
              </w:rPr>
              <w:t>部门验收意见:</w:t>
            </w:r>
          </w:p>
          <w:p w14:paraId="316F2130">
            <w:pPr>
              <w:spacing w:line="260" w:lineRule="exact"/>
              <w:rPr>
                <w:rFonts w:ascii="宋体" w:hAnsi="宋体"/>
              </w:rPr>
            </w:pPr>
          </w:p>
          <w:p w14:paraId="65A86018">
            <w:pPr>
              <w:spacing w:line="260" w:lineRule="exact"/>
              <w:rPr>
                <w:rFonts w:ascii="宋体" w:hAnsi="宋体"/>
              </w:rPr>
            </w:pPr>
          </w:p>
          <w:p w14:paraId="4443E985">
            <w:pPr>
              <w:pStyle w:val="15"/>
              <w:pBdr>
                <w:bottom w:val="none" w:color="auto" w:sz="0" w:space="0"/>
              </w:pBdr>
              <w:tabs>
                <w:tab w:val="clear" w:pos="4153"/>
                <w:tab w:val="clear" w:pos="8306"/>
              </w:tabs>
              <w:snapToGrid/>
              <w:spacing w:line="260" w:lineRule="exact"/>
              <w:rPr>
                <w:rFonts w:ascii="宋体" w:hAnsi="宋体"/>
                <w:sz w:val="24"/>
                <w:szCs w:val="24"/>
              </w:rPr>
            </w:pPr>
          </w:p>
          <w:p w14:paraId="215BA175">
            <w:pPr>
              <w:spacing w:line="260" w:lineRule="exact"/>
              <w:rPr>
                <w:rFonts w:asciiTheme="minorEastAsia" w:hAnsiTheme="minorEastAsia"/>
                <w:sz w:val="24"/>
                <w:szCs w:val="24"/>
              </w:rPr>
            </w:pPr>
            <w:r>
              <w:rPr>
                <w:rFonts w:hint="eastAsia" w:ascii="宋体" w:hAnsi="宋体"/>
              </w:rPr>
              <w:t>签名:                                年    月    日</w:t>
            </w:r>
          </w:p>
        </w:tc>
      </w:tr>
    </w:tbl>
    <w:p w14:paraId="5F83EA5A"/>
    <w:sectPr>
      <w:footerReference r:id="rId5" w:type="default"/>
      <w:pgSz w:w="11906" w:h="16838"/>
      <w:pgMar w:top="1440" w:right="1800" w:bottom="1440" w:left="1800" w:header="851" w:footer="992" w:gutter="0"/>
      <w:pgBorders w:offsetFrom="page">
        <w:top w:val="single" w:color="FFFFFF" w:sz="8" w:space="24"/>
        <w:left w:val="single" w:color="FFFFFF" w:sz="8" w:space="24"/>
        <w:bottom w:val="single" w:color="FFFFFF" w:sz="8" w:space="24"/>
        <w:right w:val="single" w:color="FFFFFF" w:sz="8"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汉仪雅酷黑-95J">
    <w:panose1 w:val="00020600040101010101"/>
    <w:charset w:val="86"/>
    <w:family w:val="auto"/>
    <w:pitch w:val="default"/>
    <w:sig w:usb0="A00002FF" w:usb1="0AC17CFA" w:usb2="00000016" w:usb3="00000000" w:csb0="2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76DD6">
    <w:pPr>
      <w:pStyle w:val="14"/>
      <w:jc w:val="center"/>
      <w:rPr>
        <w:rFonts w:asciiTheme="minorEastAsia" w:hAnsiTheme="minorEastAsia"/>
        <w:sz w:val="21"/>
        <w:szCs w:val="21"/>
      </w:rP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16</w:t>
    </w:r>
    <w:r>
      <w:rPr>
        <w:rFonts w:asciiTheme="minorEastAsia" w:hAnsiTheme="minorEastAsia"/>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253E4">
    <w:pPr>
      <w:pStyle w:val="14"/>
      <w:rPr>
        <w:rFonts w:asciiTheme="minorEastAsia" w:hAnsiTheme="minorEastAsia"/>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BB49E">
    <w:pPr>
      <w:pStyle w:val="14"/>
      <w:jc w:val="center"/>
      <w:rPr>
        <w:rFonts w:asciiTheme="minorEastAsia" w:hAnsiTheme="minorEastAsia"/>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F89D6">
                          <w:pPr>
                            <w:pStyle w:val="14"/>
                            <w:jc w:val="cente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16</w:t>
                          </w:r>
                          <w:r>
                            <w:rPr>
                              <w:rFonts w:asciiTheme="minorEastAsia" w:hAnsiTheme="minor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F5F89D6">
                    <w:pPr>
                      <w:pStyle w:val="14"/>
                      <w:jc w:val="center"/>
                    </w:pPr>
                    <w:r>
                      <w:rPr>
                        <w:rFonts w:asciiTheme="minorEastAsia" w:hAnsiTheme="minorEastAsia"/>
                        <w:sz w:val="21"/>
                        <w:szCs w:val="21"/>
                      </w:rPr>
                      <w:fldChar w:fldCharType="begin"/>
                    </w:r>
                    <w:r>
                      <w:rPr>
                        <w:rFonts w:asciiTheme="minorEastAsia" w:hAnsiTheme="minorEastAsia"/>
                        <w:sz w:val="21"/>
                        <w:szCs w:val="21"/>
                      </w:rPr>
                      <w:instrText xml:space="preserve">PAGE   \* MERGEFORMAT</w:instrText>
                    </w:r>
                    <w:r>
                      <w:rPr>
                        <w:rFonts w:asciiTheme="minorEastAsia" w:hAnsiTheme="minorEastAsia"/>
                        <w:sz w:val="21"/>
                        <w:szCs w:val="21"/>
                      </w:rPr>
                      <w:fldChar w:fldCharType="separate"/>
                    </w:r>
                    <w:r>
                      <w:rPr>
                        <w:rFonts w:asciiTheme="minorEastAsia" w:hAnsiTheme="minorEastAsia"/>
                        <w:sz w:val="21"/>
                        <w:szCs w:val="21"/>
                        <w:lang w:val="zh-CN"/>
                      </w:rPr>
                      <w:t>16</w:t>
                    </w:r>
                    <w:r>
                      <w:rPr>
                        <w:rFonts w:asciiTheme="minorEastAsia" w:hAnsiTheme="minorEastAsia"/>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118618"/>
    <w:multiLevelType w:val="singleLevel"/>
    <w:tmpl w:val="BE118618"/>
    <w:lvl w:ilvl="0" w:tentative="0">
      <w:start w:val="1"/>
      <w:numFmt w:val="decimal"/>
      <w:lvlText w:val="%1."/>
      <w:lvlJc w:val="left"/>
      <w:pPr>
        <w:ind w:left="425" w:hanging="425"/>
      </w:pPr>
      <w:rPr>
        <w:rFonts w:hint="default"/>
      </w:rPr>
    </w:lvl>
  </w:abstractNum>
  <w:abstractNum w:abstractNumId="1">
    <w:nsid w:val="D57A07D9"/>
    <w:multiLevelType w:val="singleLevel"/>
    <w:tmpl w:val="D57A07D9"/>
    <w:lvl w:ilvl="0" w:tentative="0">
      <w:start w:val="7"/>
      <w:numFmt w:val="decimal"/>
      <w:suff w:val="nothing"/>
      <w:lvlText w:val="%1、"/>
      <w:lvlJc w:val="left"/>
    </w:lvl>
  </w:abstractNum>
  <w:abstractNum w:abstractNumId="2">
    <w:nsid w:val="03724A5B"/>
    <w:multiLevelType w:val="multilevel"/>
    <w:tmpl w:val="03724A5B"/>
    <w:lvl w:ilvl="0" w:tentative="0">
      <w:start w:val="1"/>
      <w:numFmt w:val="decimal"/>
      <w:pStyle w:val="57"/>
      <w:lvlText w:val="1.%1"/>
      <w:lvlJc w:val="left"/>
      <w:pPr>
        <w:ind w:left="620" w:hanging="420"/>
      </w:pPr>
      <w:rPr>
        <w:rFonts w:hint="eastAsia"/>
        <w:sz w:val="21"/>
        <w:szCs w:val="21"/>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3">
    <w:nsid w:val="79103E64"/>
    <w:multiLevelType w:val="multilevel"/>
    <w:tmpl w:val="79103E64"/>
    <w:lvl w:ilvl="0" w:tentative="0">
      <w:start w:val="1"/>
      <w:numFmt w:val="decimal"/>
      <w:pStyle w:val="2"/>
      <w:lvlText w:val="%1、"/>
      <w:lvlJc w:val="left"/>
      <w:pPr>
        <w:ind w:left="420" w:hanging="420"/>
      </w:pPr>
      <w:rPr>
        <w:rFonts w:hint="default" w:ascii="宋体" w:hAnsi="宋体" w:eastAsia="宋体"/>
        <w:sz w:val="32"/>
        <w:szCs w:val="32"/>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trackRevisions w:val="1"/>
  <w:documentProtection w:enforcement="0"/>
  <w:defaultTabStop w:val="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iNmZhOWU2Njg0MmFkMWFjNTljNjBjNjZlZTlmNDIifQ=="/>
    <w:docVar w:name="KSO_WPS_MARK_KEY" w:val="7494bcb5-9748-4021-91f5-19372eb7045e"/>
  </w:docVars>
  <w:rsids>
    <w:rsidRoot w:val="008205A2"/>
    <w:rsid w:val="000057D5"/>
    <w:rsid w:val="00007620"/>
    <w:rsid w:val="000104BF"/>
    <w:rsid w:val="0001157D"/>
    <w:rsid w:val="00014A99"/>
    <w:rsid w:val="00015C27"/>
    <w:rsid w:val="000161F8"/>
    <w:rsid w:val="0001718F"/>
    <w:rsid w:val="00017521"/>
    <w:rsid w:val="00020C24"/>
    <w:rsid w:val="00020D8F"/>
    <w:rsid w:val="00021A20"/>
    <w:rsid w:val="00024883"/>
    <w:rsid w:val="000265EA"/>
    <w:rsid w:val="00027148"/>
    <w:rsid w:val="00036FBC"/>
    <w:rsid w:val="000405DF"/>
    <w:rsid w:val="00040DCB"/>
    <w:rsid w:val="00043917"/>
    <w:rsid w:val="00047384"/>
    <w:rsid w:val="00047F08"/>
    <w:rsid w:val="000534CC"/>
    <w:rsid w:val="00063C56"/>
    <w:rsid w:val="00064C1C"/>
    <w:rsid w:val="00066021"/>
    <w:rsid w:val="000672D0"/>
    <w:rsid w:val="0007249D"/>
    <w:rsid w:val="00073879"/>
    <w:rsid w:val="00074D4D"/>
    <w:rsid w:val="000756EC"/>
    <w:rsid w:val="00080DF7"/>
    <w:rsid w:val="0008168E"/>
    <w:rsid w:val="00081EEE"/>
    <w:rsid w:val="00082538"/>
    <w:rsid w:val="00082B5B"/>
    <w:rsid w:val="00082BA2"/>
    <w:rsid w:val="000908B4"/>
    <w:rsid w:val="00095C23"/>
    <w:rsid w:val="000A0A67"/>
    <w:rsid w:val="000A3FDC"/>
    <w:rsid w:val="000A6DAD"/>
    <w:rsid w:val="000B0B14"/>
    <w:rsid w:val="000B0EEE"/>
    <w:rsid w:val="000B2173"/>
    <w:rsid w:val="000B3102"/>
    <w:rsid w:val="000B3D86"/>
    <w:rsid w:val="000B45A6"/>
    <w:rsid w:val="000C08EA"/>
    <w:rsid w:val="000C334E"/>
    <w:rsid w:val="000D3DB8"/>
    <w:rsid w:val="000D7808"/>
    <w:rsid w:val="000D793F"/>
    <w:rsid w:val="000E0CB4"/>
    <w:rsid w:val="000E2A90"/>
    <w:rsid w:val="000E368A"/>
    <w:rsid w:val="000E47DB"/>
    <w:rsid w:val="000E4AE6"/>
    <w:rsid w:val="000E54EA"/>
    <w:rsid w:val="000E5CAE"/>
    <w:rsid w:val="000E6AA9"/>
    <w:rsid w:val="000F0E2B"/>
    <w:rsid w:val="000F3856"/>
    <w:rsid w:val="000F7264"/>
    <w:rsid w:val="001006E1"/>
    <w:rsid w:val="00102E12"/>
    <w:rsid w:val="001030B0"/>
    <w:rsid w:val="00104275"/>
    <w:rsid w:val="00107733"/>
    <w:rsid w:val="00107A1E"/>
    <w:rsid w:val="001135D6"/>
    <w:rsid w:val="00114DA0"/>
    <w:rsid w:val="00115748"/>
    <w:rsid w:val="00115D15"/>
    <w:rsid w:val="0012281C"/>
    <w:rsid w:val="0012552C"/>
    <w:rsid w:val="00130C27"/>
    <w:rsid w:val="001351FA"/>
    <w:rsid w:val="00137F14"/>
    <w:rsid w:val="00142C3F"/>
    <w:rsid w:val="00143A04"/>
    <w:rsid w:val="001513AC"/>
    <w:rsid w:val="00153196"/>
    <w:rsid w:val="00160C43"/>
    <w:rsid w:val="0016132F"/>
    <w:rsid w:val="0016144E"/>
    <w:rsid w:val="001632BE"/>
    <w:rsid w:val="001661C5"/>
    <w:rsid w:val="001707A9"/>
    <w:rsid w:val="00174652"/>
    <w:rsid w:val="0017677E"/>
    <w:rsid w:val="00176E01"/>
    <w:rsid w:val="00181B20"/>
    <w:rsid w:val="001871AF"/>
    <w:rsid w:val="00187D77"/>
    <w:rsid w:val="001906A7"/>
    <w:rsid w:val="001918BC"/>
    <w:rsid w:val="00191FF6"/>
    <w:rsid w:val="001937A5"/>
    <w:rsid w:val="00193A30"/>
    <w:rsid w:val="0019420A"/>
    <w:rsid w:val="001966F8"/>
    <w:rsid w:val="00196B79"/>
    <w:rsid w:val="001970F3"/>
    <w:rsid w:val="00197684"/>
    <w:rsid w:val="001976BD"/>
    <w:rsid w:val="001A22AC"/>
    <w:rsid w:val="001A4900"/>
    <w:rsid w:val="001A4F07"/>
    <w:rsid w:val="001A5337"/>
    <w:rsid w:val="001A7E57"/>
    <w:rsid w:val="001B0CDA"/>
    <w:rsid w:val="001B23E6"/>
    <w:rsid w:val="001B4B00"/>
    <w:rsid w:val="001B6D82"/>
    <w:rsid w:val="001C2746"/>
    <w:rsid w:val="001C577A"/>
    <w:rsid w:val="001C7673"/>
    <w:rsid w:val="001D0189"/>
    <w:rsid w:val="001D02D8"/>
    <w:rsid w:val="001D26ED"/>
    <w:rsid w:val="001D3E81"/>
    <w:rsid w:val="001D3FB3"/>
    <w:rsid w:val="001D6AFE"/>
    <w:rsid w:val="001D7510"/>
    <w:rsid w:val="001E1C18"/>
    <w:rsid w:val="001E4490"/>
    <w:rsid w:val="001E578A"/>
    <w:rsid w:val="001E637B"/>
    <w:rsid w:val="001F0C44"/>
    <w:rsid w:val="001F1561"/>
    <w:rsid w:val="001F2A3B"/>
    <w:rsid w:val="001F5B55"/>
    <w:rsid w:val="001F7093"/>
    <w:rsid w:val="00202E83"/>
    <w:rsid w:val="0020531A"/>
    <w:rsid w:val="002066D5"/>
    <w:rsid w:val="00210014"/>
    <w:rsid w:val="00213F8E"/>
    <w:rsid w:val="00215D16"/>
    <w:rsid w:val="00220EA4"/>
    <w:rsid w:val="002240ED"/>
    <w:rsid w:val="00224BEF"/>
    <w:rsid w:val="0023053E"/>
    <w:rsid w:val="00231642"/>
    <w:rsid w:val="00231F19"/>
    <w:rsid w:val="00233558"/>
    <w:rsid w:val="0023485A"/>
    <w:rsid w:val="0023524B"/>
    <w:rsid w:val="00236A4E"/>
    <w:rsid w:val="0024139F"/>
    <w:rsid w:val="002431E0"/>
    <w:rsid w:val="00247242"/>
    <w:rsid w:val="0024788C"/>
    <w:rsid w:val="002478E5"/>
    <w:rsid w:val="002513A0"/>
    <w:rsid w:val="00252EC1"/>
    <w:rsid w:val="002604BE"/>
    <w:rsid w:val="002616D6"/>
    <w:rsid w:val="00264948"/>
    <w:rsid w:val="00264A45"/>
    <w:rsid w:val="0026543F"/>
    <w:rsid w:val="00270089"/>
    <w:rsid w:val="00270CFA"/>
    <w:rsid w:val="00271D6C"/>
    <w:rsid w:val="00276E13"/>
    <w:rsid w:val="00281031"/>
    <w:rsid w:val="00285ED7"/>
    <w:rsid w:val="00287A63"/>
    <w:rsid w:val="00291823"/>
    <w:rsid w:val="00293157"/>
    <w:rsid w:val="0029393B"/>
    <w:rsid w:val="00295B2C"/>
    <w:rsid w:val="002979B0"/>
    <w:rsid w:val="00297E82"/>
    <w:rsid w:val="002A0EA0"/>
    <w:rsid w:val="002A46E7"/>
    <w:rsid w:val="002A6960"/>
    <w:rsid w:val="002A6B69"/>
    <w:rsid w:val="002A790E"/>
    <w:rsid w:val="002B13B5"/>
    <w:rsid w:val="002B2414"/>
    <w:rsid w:val="002B281D"/>
    <w:rsid w:val="002B624A"/>
    <w:rsid w:val="002B7969"/>
    <w:rsid w:val="002C5F08"/>
    <w:rsid w:val="002C75CA"/>
    <w:rsid w:val="002D22DC"/>
    <w:rsid w:val="002D35F4"/>
    <w:rsid w:val="002D3FDF"/>
    <w:rsid w:val="002D58F4"/>
    <w:rsid w:val="002E0917"/>
    <w:rsid w:val="002E15EA"/>
    <w:rsid w:val="002E29AC"/>
    <w:rsid w:val="002E5412"/>
    <w:rsid w:val="002E5B16"/>
    <w:rsid w:val="002E6BAE"/>
    <w:rsid w:val="002F42F8"/>
    <w:rsid w:val="00304C04"/>
    <w:rsid w:val="00305E90"/>
    <w:rsid w:val="00307957"/>
    <w:rsid w:val="00311359"/>
    <w:rsid w:val="00312142"/>
    <w:rsid w:val="0031302C"/>
    <w:rsid w:val="0031313E"/>
    <w:rsid w:val="0031699A"/>
    <w:rsid w:val="0032073C"/>
    <w:rsid w:val="0032143D"/>
    <w:rsid w:val="003238CB"/>
    <w:rsid w:val="00323D59"/>
    <w:rsid w:val="00327FA3"/>
    <w:rsid w:val="00330118"/>
    <w:rsid w:val="003327C2"/>
    <w:rsid w:val="00333C92"/>
    <w:rsid w:val="00335F0A"/>
    <w:rsid w:val="00337158"/>
    <w:rsid w:val="00341290"/>
    <w:rsid w:val="003417CA"/>
    <w:rsid w:val="00345738"/>
    <w:rsid w:val="00345C30"/>
    <w:rsid w:val="00346060"/>
    <w:rsid w:val="00346066"/>
    <w:rsid w:val="00352858"/>
    <w:rsid w:val="00352BE5"/>
    <w:rsid w:val="00353F30"/>
    <w:rsid w:val="00360C43"/>
    <w:rsid w:val="0036285F"/>
    <w:rsid w:val="00363243"/>
    <w:rsid w:val="00363D2F"/>
    <w:rsid w:val="0036624C"/>
    <w:rsid w:val="003677F6"/>
    <w:rsid w:val="00373166"/>
    <w:rsid w:val="003808FE"/>
    <w:rsid w:val="00381135"/>
    <w:rsid w:val="003821E8"/>
    <w:rsid w:val="00384DD5"/>
    <w:rsid w:val="00386608"/>
    <w:rsid w:val="0039082E"/>
    <w:rsid w:val="00392567"/>
    <w:rsid w:val="00392C20"/>
    <w:rsid w:val="003962CD"/>
    <w:rsid w:val="00397F36"/>
    <w:rsid w:val="003A297C"/>
    <w:rsid w:val="003A5FE4"/>
    <w:rsid w:val="003A6F01"/>
    <w:rsid w:val="003B01B4"/>
    <w:rsid w:val="003B32BE"/>
    <w:rsid w:val="003B6338"/>
    <w:rsid w:val="003B6DBB"/>
    <w:rsid w:val="003B7CA2"/>
    <w:rsid w:val="003C5277"/>
    <w:rsid w:val="003C5949"/>
    <w:rsid w:val="003D3406"/>
    <w:rsid w:val="003D4798"/>
    <w:rsid w:val="003D78F3"/>
    <w:rsid w:val="003E00FA"/>
    <w:rsid w:val="003E135F"/>
    <w:rsid w:val="003E2122"/>
    <w:rsid w:val="003E2205"/>
    <w:rsid w:val="003E235A"/>
    <w:rsid w:val="003E4108"/>
    <w:rsid w:val="003E4113"/>
    <w:rsid w:val="003E5F16"/>
    <w:rsid w:val="003E687E"/>
    <w:rsid w:val="003E6EB7"/>
    <w:rsid w:val="003E7E63"/>
    <w:rsid w:val="003F0EAD"/>
    <w:rsid w:val="003F4182"/>
    <w:rsid w:val="003F4A22"/>
    <w:rsid w:val="003F4ABA"/>
    <w:rsid w:val="003F6F04"/>
    <w:rsid w:val="0040162F"/>
    <w:rsid w:val="004023CB"/>
    <w:rsid w:val="00407F52"/>
    <w:rsid w:val="004101FB"/>
    <w:rsid w:val="00414C4E"/>
    <w:rsid w:val="0041608F"/>
    <w:rsid w:val="00417B26"/>
    <w:rsid w:val="00423497"/>
    <w:rsid w:val="00424058"/>
    <w:rsid w:val="00425E0A"/>
    <w:rsid w:val="0042612B"/>
    <w:rsid w:val="00427BA1"/>
    <w:rsid w:val="00427DB1"/>
    <w:rsid w:val="0043436A"/>
    <w:rsid w:val="004354A6"/>
    <w:rsid w:val="0044047F"/>
    <w:rsid w:val="00441A28"/>
    <w:rsid w:val="00444297"/>
    <w:rsid w:val="00445644"/>
    <w:rsid w:val="0044695E"/>
    <w:rsid w:val="00446D72"/>
    <w:rsid w:val="004475F5"/>
    <w:rsid w:val="00447A1E"/>
    <w:rsid w:val="00452813"/>
    <w:rsid w:val="0045596B"/>
    <w:rsid w:val="00460F53"/>
    <w:rsid w:val="004614B0"/>
    <w:rsid w:val="00462B83"/>
    <w:rsid w:val="00463359"/>
    <w:rsid w:val="00466F1A"/>
    <w:rsid w:val="00477C5B"/>
    <w:rsid w:val="00477C9A"/>
    <w:rsid w:val="00480E59"/>
    <w:rsid w:val="00482956"/>
    <w:rsid w:val="00482AA7"/>
    <w:rsid w:val="0048325F"/>
    <w:rsid w:val="00484746"/>
    <w:rsid w:val="004848FC"/>
    <w:rsid w:val="00485FBA"/>
    <w:rsid w:val="0048795D"/>
    <w:rsid w:val="004925CD"/>
    <w:rsid w:val="004928AB"/>
    <w:rsid w:val="00492E07"/>
    <w:rsid w:val="00493F6F"/>
    <w:rsid w:val="004A2C97"/>
    <w:rsid w:val="004A3BC4"/>
    <w:rsid w:val="004A72EB"/>
    <w:rsid w:val="004B7762"/>
    <w:rsid w:val="004C0C70"/>
    <w:rsid w:val="004C605A"/>
    <w:rsid w:val="004C7A76"/>
    <w:rsid w:val="004D0C6E"/>
    <w:rsid w:val="004D1AEA"/>
    <w:rsid w:val="004E105C"/>
    <w:rsid w:val="004E1075"/>
    <w:rsid w:val="004E1733"/>
    <w:rsid w:val="004E2692"/>
    <w:rsid w:val="004E3342"/>
    <w:rsid w:val="004E43A4"/>
    <w:rsid w:val="004E5266"/>
    <w:rsid w:val="004E6D34"/>
    <w:rsid w:val="004F0A08"/>
    <w:rsid w:val="004F0BA9"/>
    <w:rsid w:val="004F1901"/>
    <w:rsid w:val="004F71B7"/>
    <w:rsid w:val="004F7969"/>
    <w:rsid w:val="005020A6"/>
    <w:rsid w:val="00503050"/>
    <w:rsid w:val="005126B1"/>
    <w:rsid w:val="0051287B"/>
    <w:rsid w:val="005130D7"/>
    <w:rsid w:val="0051452B"/>
    <w:rsid w:val="00516AD5"/>
    <w:rsid w:val="00517E7C"/>
    <w:rsid w:val="005226EB"/>
    <w:rsid w:val="00525EBF"/>
    <w:rsid w:val="00526C5C"/>
    <w:rsid w:val="00531360"/>
    <w:rsid w:val="00535167"/>
    <w:rsid w:val="0053671B"/>
    <w:rsid w:val="00537043"/>
    <w:rsid w:val="00540945"/>
    <w:rsid w:val="0054099C"/>
    <w:rsid w:val="005422E3"/>
    <w:rsid w:val="0054252F"/>
    <w:rsid w:val="00542766"/>
    <w:rsid w:val="00543B21"/>
    <w:rsid w:val="005442A7"/>
    <w:rsid w:val="00550109"/>
    <w:rsid w:val="00551BA1"/>
    <w:rsid w:val="00553B1C"/>
    <w:rsid w:val="00557BC7"/>
    <w:rsid w:val="00557F61"/>
    <w:rsid w:val="00560254"/>
    <w:rsid w:val="00561D91"/>
    <w:rsid w:val="00562DE2"/>
    <w:rsid w:val="0056522A"/>
    <w:rsid w:val="00566C1A"/>
    <w:rsid w:val="0057303A"/>
    <w:rsid w:val="00573AC6"/>
    <w:rsid w:val="0057666D"/>
    <w:rsid w:val="00581C26"/>
    <w:rsid w:val="005855DB"/>
    <w:rsid w:val="00585C06"/>
    <w:rsid w:val="00585FCA"/>
    <w:rsid w:val="00587670"/>
    <w:rsid w:val="00587EF7"/>
    <w:rsid w:val="00592B99"/>
    <w:rsid w:val="00594E6E"/>
    <w:rsid w:val="00595FE7"/>
    <w:rsid w:val="005A1D61"/>
    <w:rsid w:val="005A2787"/>
    <w:rsid w:val="005A342B"/>
    <w:rsid w:val="005A3507"/>
    <w:rsid w:val="005B3F65"/>
    <w:rsid w:val="005B5083"/>
    <w:rsid w:val="005C1A5D"/>
    <w:rsid w:val="005C1AE8"/>
    <w:rsid w:val="005C2658"/>
    <w:rsid w:val="005C45CC"/>
    <w:rsid w:val="005C6105"/>
    <w:rsid w:val="005D2579"/>
    <w:rsid w:val="005D43B8"/>
    <w:rsid w:val="005D596E"/>
    <w:rsid w:val="005E0619"/>
    <w:rsid w:val="005E17AA"/>
    <w:rsid w:val="005E336E"/>
    <w:rsid w:val="005E4BE1"/>
    <w:rsid w:val="005E4F81"/>
    <w:rsid w:val="005E77F1"/>
    <w:rsid w:val="005E7EC7"/>
    <w:rsid w:val="005F4843"/>
    <w:rsid w:val="00600EC7"/>
    <w:rsid w:val="00601AC9"/>
    <w:rsid w:val="006021E1"/>
    <w:rsid w:val="00606B48"/>
    <w:rsid w:val="00606C68"/>
    <w:rsid w:val="00615DE6"/>
    <w:rsid w:val="006170E9"/>
    <w:rsid w:val="00620296"/>
    <w:rsid w:val="00622100"/>
    <w:rsid w:val="0062354B"/>
    <w:rsid w:val="00624B48"/>
    <w:rsid w:val="00625C69"/>
    <w:rsid w:val="00625F6A"/>
    <w:rsid w:val="00631261"/>
    <w:rsid w:val="00634220"/>
    <w:rsid w:val="00644FBE"/>
    <w:rsid w:val="00646B8D"/>
    <w:rsid w:val="00652D09"/>
    <w:rsid w:val="006537D8"/>
    <w:rsid w:val="00654DA4"/>
    <w:rsid w:val="00661651"/>
    <w:rsid w:val="00662C3C"/>
    <w:rsid w:val="00663650"/>
    <w:rsid w:val="00675C60"/>
    <w:rsid w:val="00684622"/>
    <w:rsid w:val="00686DE5"/>
    <w:rsid w:val="00687728"/>
    <w:rsid w:val="00687F8D"/>
    <w:rsid w:val="00691285"/>
    <w:rsid w:val="006A2776"/>
    <w:rsid w:val="006A2C6A"/>
    <w:rsid w:val="006A44CB"/>
    <w:rsid w:val="006A6324"/>
    <w:rsid w:val="006B2979"/>
    <w:rsid w:val="006B32F4"/>
    <w:rsid w:val="006B6D4E"/>
    <w:rsid w:val="006B7FFB"/>
    <w:rsid w:val="006C0B2F"/>
    <w:rsid w:val="006C1806"/>
    <w:rsid w:val="006C2C35"/>
    <w:rsid w:val="006C2DA1"/>
    <w:rsid w:val="006C5259"/>
    <w:rsid w:val="006D029A"/>
    <w:rsid w:val="006D35C5"/>
    <w:rsid w:val="006D4846"/>
    <w:rsid w:val="006E05FB"/>
    <w:rsid w:val="006E1928"/>
    <w:rsid w:val="006E207B"/>
    <w:rsid w:val="006E26A5"/>
    <w:rsid w:val="006E2D7F"/>
    <w:rsid w:val="006F0D7F"/>
    <w:rsid w:val="006F2E1B"/>
    <w:rsid w:val="006F3D8A"/>
    <w:rsid w:val="006F3FCD"/>
    <w:rsid w:val="006F679E"/>
    <w:rsid w:val="006F749B"/>
    <w:rsid w:val="00701F55"/>
    <w:rsid w:val="00703FF1"/>
    <w:rsid w:val="0070557A"/>
    <w:rsid w:val="007114D4"/>
    <w:rsid w:val="00714B54"/>
    <w:rsid w:val="0071584D"/>
    <w:rsid w:val="00717700"/>
    <w:rsid w:val="00724B5C"/>
    <w:rsid w:val="007252AC"/>
    <w:rsid w:val="007256B1"/>
    <w:rsid w:val="007257CA"/>
    <w:rsid w:val="00725FA0"/>
    <w:rsid w:val="00730BF1"/>
    <w:rsid w:val="00733176"/>
    <w:rsid w:val="007378A5"/>
    <w:rsid w:val="00737A73"/>
    <w:rsid w:val="00742544"/>
    <w:rsid w:val="007447E7"/>
    <w:rsid w:val="00746C5E"/>
    <w:rsid w:val="00750856"/>
    <w:rsid w:val="00751E5F"/>
    <w:rsid w:val="007570BF"/>
    <w:rsid w:val="007579FA"/>
    <w:rsid w:val="00757F0A"/>
    <w:rsid w:val="00766638"/>
    <w:rsid w:val="00766DDF"/>
    <w:rsid w:val="00766E8A"/>
    <w:rsid w:val="00772375"/>
    <w:rsid w:val="00772D71"/>
    <w:rsid w:val="00773463"/>
    <w:rsid w:val="00773A4F"/>
    <w:rsid w:val="007741F5"/>
    <w:rsid w:val="00780CD8"/>
    <w:rsid w:val="00781AE5"/>
    <w:rsid w:val="00787A99"/>
    <w:rsid w:val="00791F64"/>
    <w:rsid w:val="00793117"/>
    <w:rsid w:val="00793685"/>
    <w:rsid w:val="00793DDB"/>
    <w:rsid w:val="007A09F3"/>
    <w:rsid w:val="007A0C90"/>
    <w:rsid w:val="007A115A"/>
    <w:rsid w:val="007A2451"/>
    <w:rsid w:val="007B06EC"/>
    <w:rsid w:val="007C0A55"/>
    <w:rsid w:val="007C2517"/>
    <w:rsid w:val="007C4B48"/>
    <w:rsid w:val="007D006C"/>
    <w:rsid w:val="007D1049"/>
    <w:rsid w:val="007D22C0"/>
    <w:rsid w:val="007D4119"/>
    <w:rsid w:val="007D425E"/>
    <w:rsid w:val="007D599D"/>
    <w:rsid w:val="007E0227"/>
    <w:rsid w:val="007E05F3"/>
    <w:rsid w:val="007E4102"/>
    <w:rsid w:val="007E454C"/>
    <w:rsid w:val="007F529F"/>
    <w:rsid w:val="007F5C2C"/>
    <w:rsid w:val="007F7BB1"/>
    <w:rsid w:val="00801509"/>
    <w:rsid w:val="00804A7D"/>
    <w:rsid w:val="008068B0"/>
    <w:rsid w:val="0081193E"/>
    <w:rsid w:val="008201AD"/>
    <w:rsid w:val="008203E4"/>
    <w:rsid w:val="008205A2"/>
    <w:rsid w:val="008209C3"/>
    <w:rsid w:val="00825307"/>
    <w:rsid w:val="00830C65"/>
    <w:rsid w:val="00835B2C"/>
    <w:rsid w:val="008402D8"/>
    <w:rsid w:val="0084349A"/>
    <w:rsid w:val="00843D27"/>
    <w:rsid w:val="0084417F"/>
    <w:rsid w:val="0084499F"/>
    <w:rsid w:val="008453F7"/>
    <w:rsid w:val="008472D5"/>
    <w:rsid w:val="008515AE"/>
    <w:rsid w:val="00857692"/>
    <w:rsid w:val="008625DB"/>
    <w:rsid w:val="0086606A"/>
    <w:rsid w:val="00867577"/>
    <w:rsid w:val="008718E8"/>
    <w:rsid w:val="00871C11"/>
    <w:rsid w:val="00873C84"/>
    <w:rsid w:val="00874B13"/>
    <w:rsid w:val="00874E50"/>
    <w:rsid w:val="008759D5"/>
    <w:rsid w:val="0087695A"/>
    <w:rsid w:val="0087783C"/>
    <w:rsid w:val="00884EDE"/>
    <w:rsid w:val="008859A5"/>
    <w:rsid w:val="0088741C"/>
    <w:rsid w:val="00887445"/>
    <w:rsid w:val="00893184"/>
    <w:rsid w:val="008A000A"/>
    <w:rsid w:val="008A4A84"/>
    <w:rsid w:val="008A543E"/>
    <w:rsid w:val="008A58F1"/>
    <w:rsid w:val="008B42B1"/>
    <w:rsid w:val="008B7C87"/>
    <w:rsid w:val="008C0E04"/>
    <w:rsid w:val="008C2712"/>
    <w:rsid w:val="008C3C80"/>
    <w:rsid w:val="008C6A22"/>
    <w:rsid w:val="008D4F1D"/>
    <w:rsid w:val="008E2D41"/>
    <w:rsid w:val="008E45B9"/>
    <w:rsid w:val="008E48F8"/>
    <w:rsid w:val="008E607F"/>
    <w:rsid w:val="008E6401"/>
    <w:rsid w:val="008F16E3"/>
    <w:rsid w:val="008F1864"/>
    <w:rsid w:val="008F66D2"/>
    <w:rsid w:val="008F685E"/>
    <w:rsid w:val="008F790D"/>
    <w:rsid w:val="00904D08"/>
    <w:rsid w:val="0090732F"/>
    <w:rsid w:val="00907F4C"/>
    <w:rsid w:val="009168F2"/>
    <w:rsid w:val="00921998"/>
    <w:rsid w:val="00937218"/>
    <w:rsid w:val="00937A6F"/>
    <w:rsid w:val="009463E0"/>
    <w:rsid w:val="00951380"/>
    <w:rsid w:val="009514BC"/>
    <w:rsid w:val="00951AC6"/>
    <w:rsid w:val="00952F68"/>
    <w:rsid w:val="00955D6A"/>
    <w:rsid w:val="00956BD0"/>
    <w:rsid w:val="0096235B"/>
    <w:rsid w:val="00962F1B"/>
    <w:rsid w:val="00965090"/>
    <w:rsid w:val="0097425A"/>
    <w:rsid w:val="00975948"/>
    <w:rsid w:val="00976679"/>
    <w:rsid w:val="0098017E"/>
    <w:rsid w:val="009804B8"/>
    <w:rsid w:val="00980657"/>
    <w:rsid w:val="00981D93"/>
    <w:rsid w:val="00984387"/>
    <w:rsid w:val="0098613B"/>
    <w:rsid w:val="00986211"/>
    <w:rsid w:val="00990CE1"/>
    <w:rsid w:val="00990DC1"/>
    <w:rsid w:val="00991384"/>
    <w:rsid w:val="00996B20"/>
    <w:rsid w:val="009A0BE0"/>
    <w:rsid w:val="009A127B"/>
    <w:rsid w:val="009A51CF"/>
    <w:rsid w:val="009A5600"/>
    <w:rsid w:val="009A58B7"/>
    <w:rsid w:val="009B285C"/>
    <w:rsid w:val="009B2E91"/>
    <w:rsid w:val="009B3986"/>
    <w:rsid w:val="009B4741"/>
    <w:rsid w:val="009B6E05"/>
    <w:rsid w:val="009B770F"/>
    <w:rsid w:val="009C032B"/>
    <w:rsid w:val="009C1AE4"/>
    <w:rsid w:val="009C5359"/>
    <w:rsid w:val="009C6501"/>
    <w:rsid w:val="009C6B50"/>
    <w:rsid w:val="009D0135"/>
    <w:rsid w:val="009D22A5"/>
    <w:rsid w:val="009D2A80"/>
    <w:rsid w:val="009D3214"/>
    <w:rsid w:val="009D34C5"/>
    <w:rsid w:val="009D51D6"/>
    <w:rsid w:val="009D57F8"/>
    <w:rsid w:val="009E098B"/>
    <w:rsid w:val="009E0BCA"/>
    <w:rsid w:val="009E620D"/>
    <w:rsid w:val="009E7676"/>
    <w:rsid w:val="009E77AD"/>
    <w:rsid w:val="009F2906"/>
    <w:rsid w:val="009F3482"/>
    <w:rsid w:val="009F4CEB"/>
    <w:rsid w:val="009F5DA4"/>
    <w:rsid w:val="009F6D92"/>
    <w:rsid w:val="00A054EF"/>
    <w:rsid w:val="00A07C6B"/>
    <w:rsid w:val="00A1124A"/>
    <w:rsid w:val="00A13512"/>
    <w:rsid w:val="00A14DF4"/>
    <w:rsid w:val="00A1515F"/>
    <w:rsid w:val="00A15D30"/>
    <w:rsid w:val="00A178CD"/>
    <w:rsid w:val="00A20C98"/>
    <w:rsid w:val="00A22846"/>
    <w:rsid w:val="00A2306A"/>
    <w:rsid w:val="00A23BC6"/>
    <w:rsid w:val="00A25556"/>
    <w:rsid w:val="00A304A5"/>
    <w:rsid w:val="00A37AC2"/>
    <w:rsid w:val="00A37C70"/>
    <w:rsid w:val="00A40B48"/>
    <w:rsid w:val="00A41DF9"/>
    <w:rsid w:val="00A42672"/>
    <w:rsid w:val="00A45DAA"/>
    <w:rsid w:val="00A508A7"/>
    <w:rsid w:val="00A668DE"/>
    <w:rsid w:val="00A720E3"/>
    <w:rsid w:val="00A72F55"/>
    <w:rsid w:val="00A75BBD"/>
    <w:rsid w:val="00A7600B"/>
    <w:rsid w:val="00A7624C"/>
    <w:rsid w:val="00A7726E"/>
    <w:rsid w:val="00A91D9F"/>
    <w:rsid w:val="00A92156"/>
    <w:rsid w:val="00A949BC"/>
    <w:rsid w:val="00A96590"/>
    <w:rsid w:val="00A96E20"/>
    <w:rsid w:val="00AA3DEF"/>
    <w:rsid w:val="00AB062B"/>
    <w:rsid w:val="00AB1720"/>
    <w:rsid w:val="00AB271B"/>
    <w:rsid w:val="00AB4D71"/>
    <w:rsid w:val="00AB5F71"/>
    <w:rsid w:val="00AC0D2E"/>
    <w:rsid w:val="00AC62D1"/>
    <w:rsid w:val="00AD4A6A"/>
    <w:rsid w:val="00AE3220"/>
    <w:rsid w:val="00AE49C3"/>
    <w:rsid w:val="00AE64B5"/>
    <w:rsid w:val="00AE6C6F"/>
    <w:rsid w:val="00AE73D1"/>
    <w:rsid w:val="00AF0684"/>
    <w:rsid w:val="00AF3319"/>
    <w:rsid w:val="00AF603F"/>
    <w:rsid w:val="00AF7279"/>
    <w:rsid w:val="00B018AD"/>
    <w:rsid w:val="00B01A8F"/>
    <w:rsid w:val="00B03B38"/>
    <w:rsid w:val="00B03E8B"/>
    <w:rsid w:val="00B0435C"/>
    <w:rsid w:val="00B053A3"/>
    <w:rsid w:val="00B05468"/>
    <w:rsid w:val="00B056D7"/>
    <w:rsid w:val="00B07AA0"/>
    <w:rsid w:val="00B10631"/>
    <w:rsid w:val="00B1192E"/>
    <w:rsid w:val="00B133A7"/>
    <w:rsid w:val="00B140F2"/>
    <w:rsid w:val="00B14415"/>
    <w:rsid w:val="00B17862"/>
    <w:rsid w:val="00B23477"/>
    <w:rsid w:val="00B24021"/>
    <w:rsid w:val="00B25F2B"/>
    <w:rsid w:val="00B329D1"/>
    <w:rsid w:val="00B332EE"/>
    <w:rsid w:val="00B37E41"/>
    <w:rsid w:val="00B40827"/>
    <w:rsid w:val="00B409E8"/>
    <w:rsid w:val="00B41B09"/>
    <w:rsid w:val="00B436C6"/>
    <w:rsid w:val="00B43D72"/>
    <w:rsid w:val="00B4785A"/>
    <w:rsid w:val="00B541A3"/>
    <w:rsid w:val="00B55016"/>
    <w:rsid w:val="00B60043"/>
    <w:rsid w:val="00B60D4F"/>
    <w:rsid w:val="00B622F8"/>
    <w:rsid w:val="00B62602"/>
    <w:rsid w:val="00B642AC"/>
    <w:rsid w:val="00B65380"/>
    <w:rsid w:val="00B662FE"/>
    <w:rsid w:val="00B66C40"/>
    <w:rsid w:val="00B66DB8"/>
    <w:rsid w:val="00B676A7"/>
    <w:rsid w:val="00B7169E"/>
    <w:rsid w:val="00B72755"/>
    <w:rsid w:val="00B73328"/>
    <w:rsid w:val="00B74E39"/>
    <w:rsid w:val="00B751FC"/>
    <w:rsid w:val="00B82FA0"/>
    <w:rsid w:val="00B84B56"/>
    <w:rsid w:val="00B859D2"/>
    <w:rsid w:val="00B91960"/>
    <w:rsid w:val="00B96BCE"/>
    <w:rsid w:val="00BA2456"/>
    <w:rsid w:val="00BA2B2E"/>
    <w:rsid w:val="00BA30F1"/>
    <w:rsid w:val="00BA3170"/>
    <w:rsid w:val="00BA4C75"/>
    <w:rsid w:val="00BA62CB"/>
    <w:rsid w:val="00BA726B"/>
    <w:rsid w:val="00BB122C"/>
    <w:rsid w:val="00BB368F"/>
    <w:rsid w:val="00BB48FE"/>
    <w:rsid w:val="00BB71F9"/>
    <w:rsid w:val="00BB729B"/>
    <w:rsid w:val="00BC007A"/>
    <w:rsid w:val="00BC2283"/>
    <w:rsid w:val="00BC3638"/>
    <w:rsid w:val="00BC71BC"/>
    <w:rsid w:val="00BD2AB4"/>
    <w:rsid w:val="00BE4B81"/>
    <w:rsid w:val="00BE4CB5"/>
    <w:rsid w:val="00BE601A"/>
    <w:rsid w:val="00BF3579"/>
    <w:rsid w:val="00BF79AD"/>
    <w:rsid w:val="00C026C0"/>
    <w:rsid w:val="00C04B61"/>
    <w:rsid w:val="00C11CD3"/>
    <w:rsid w:val="00C2182B"/>
    <w:rsid w:val="00C222B2"/>
    <w:rsid w:val="00C26885"/>
    <w:rsid w:val="00C26D72"/>
    <w:rsid w:val="00C26F70"/>
    <w:rsid w:val="00C27ECE"/>
    <w:rsid w:val="00C32967"/>
    <w:rsid w:val="00C35E04"/>
    <w:rsid w:val="00C365CC"/>
    <w:rsid w:val="00C36A08"/>
    <w:rsid w:val="00C37162"/>
    <w:rsid w:val="00C40813"/>
    <w:rsid w:val="00C40BB5"/>
    <w:rsid w:val="00C40D6E"/>
    <w:rsid w:val="00C413CE"/>
    <w:rsid w:val="00C419D3"/>
    <w:rsid w:val="00C4290A"/>
    <w:rsid w:val="00C4364E"/>
    <w:rsid w:val="00C51502"/>
    <w:rsid w:val="00C51A7E"/>
    <w:rsid w:val="00C51E56"/>
    <w:rsid w:val="00C523B1"/>
    <w:rsid w:val="00C53A41"/>
    <w:rsid w:val="00C53E00"/>
    <w:rsid w:val="00C54F3B"/>
    <w:rsid w:val="00C569FF"/>
    <w:rsid w:val="00C61BF0"/>
    <w:rsid w:val="00C61F16"/>
    <w:rsid w:val="00C632A8"/>
    <w:rsid w:val="00C63565"/>
    <w:rsid w:val="00C70D89"/>
    <w:rsid w:val="00C70E73"/>
    <w:rsid w:val="00C73A37"/>
    <w:rsid w:val="00C75062"/>
    <w:rsid w:val="00C7546D"/>
    <w:rsid w:val="00C761F4"/>
    <w:rsid w:val="00C77982"/>
    <w:rsid w:val="00C81836"/>
    <w:rsid w:val="00C83027"/>
    <w:rsid w:val="00C8490F"/>
    <w:rsid w:val="00C85274"/>
    <w:rsid w:val="00C9074B"/>
    <w:rsid w:val="00C909D6"/>
    <w:rsid w:val="00C90F43"/>
    <w:rsid w:val="00C918A3"/>
    <w:rsid w:val="00C920F2"/>
    <w:rsid w:val="00C947B3"/>
    <w:rsid w:val="00C9547D"/>
    <w:rsid w:val="00CA03F5"/>
    <w:rsid w:val="00CA0E00"/>
    <w:rsid w:val="00CA72F7"/>
    <w:rsid w:val="00CB0673"/>
    <w:rsid w:val="00CB0D5C"/>
    <w:rsid w:val="00CB12C9"/>
    <w:rsid w:val="00CB3ADC"/>
    <w:rsid w:val="00CB4297"/>
    <w:rsid w:val="00CC00EB"/>
    <w:rsid w:val="00CC269E"/>
    <w:rsid w:val="00CC4883"/>
    <w:rsid w:val="00CC6032"/>
    <w:rsid w:val="00CC66A6"/>
    <w:rsid w:val="00CD1481"/>
    <w:rsid w:val="00CD2FDE"/>
    <w:rsid w:val="00CD50E4"/>
    <w:rsid w:val="00CE0043"/>
    <w:rsid w:val="00CE354A"/>
    <w:rsid w:val="00CF1A87"/>
    <w:rsid w:val="00CF4886"/>
    <w:rsid w:val="00CF7F94"/>
    <w:rsid w:val="00D0199C"/>
    <w:rsid w:val="00D043BB"/>
    <w:rsid w:val="00D04950"/>
    <w:rsid w:val="00D04E0E"/>
    <w:rsid w:val="00D04F72"/>
    <w:rsid w:val="00D05234"/>
    <w:rsid w:val="00D05992"/>
    <w:rsid w:val="00D0728C"/>
    <w:rsid w:val="00D07B6D"/>
    <w:rsid w:val="00D15690"/>
    <w:rsid w:val="00D15986"/>
    <w:rsid w:val="00D1675A"/>
    <w:rsid w:val="00D221F7"/>
    <w:rsid w:val="00D2495A"/>
    <w:rsid w:val="00D25F40"/>
    <w:rsid w:val="00D31115"/>
    <w:rsid w:val="00D3121B"/>
    <w:rsid w:val="00D31E9D"/>
    <w:rsid w:val="00D34356"/>
    <w:rsid w:val="00D360A7"/>
    <w:rsid w:val="00D3778B"/>
    <w:rsid w:val="00D379C6"/>
    <w:rsid w:val="00D413B7"/>
    <w:rsid w:val="00D437D1"/>
    <w:rsid w:val="00D45AFB"/>
    <w:rsid w:val="00D46988"/>
    <w:rsid w:val="00D50396"/>
    <w:rsid w:val="00D525FD"/>
    <w:rsid w:val="00D53A66"/>
    <w:rsid w:val="00D5571C"/>
    <w:rsid w:val="00D567D8"/>
    <w:rsid w:val="00D60FEE"/>
    <w:rsid w:val="00D623BB"/>
    <w:rsid w:val="00D6420A"/>
    <w:rsid w:val="00D64D67"/>
    <w:rsid w:val="00D65E9E"/>
    <w:rsid w:val="00D67787"/>
    <w:rsid w:val="00D72FEC"/>
    <w:rsid w:val="00D81C11"/>
    <w:rsid w:val="00D81C27"/>
    <w:rsid w:val="00D82A34"/>
    <w:rsid w:val="00D877DD"/>
    <w:rsid w:val="00D9107F"/>
    <w:rsid w:val="00D911F3"/>
    <w:rsid w:val="00D92762"/>
    <w:rsid w:val="00D9643E"/>
    <w:rsid w:val="00D96C1F"/>
    <w:rsid w:val="00D97C03"/>
    <w:rsid w:val="00DA1819"/>
    <w:rsid w:val="00DA3346"/>
    <w:rsid w:val="00DA3569"/>
    <w:rsid w:val="00DA3FA8"/>
    <w:rsid w:val="00DA7036"/>
    <w:rsid w:val="00DA74F1"/>
    <w:rsid w:val="00DB11D6"/>
    <w:rsid w:val="00DB2CEC"/>
    <w:rsid w:val="00DB3EC0"/>
    <w:rsid w:val="00DB790C"/>
    <w:rsid w:val="00DB7D4E"/>
    <w:rsid w:val="00DC152A"/>
    <w:rsid w:val="00DC1998"/>
    <w:rsid w:val="00DC1AAC"/>
    <w:rsid w:val="00DC6A01"/>
    <w:rsid w:val="00DC77DC"/>
    <w:rsid w:val="00DD18A0"/>
    <w:rsid w:val="00DD4F70"/>
    <w:rsid w:val="00DE4305"/>
    <w:rsid w:val="00DE5282"/>
    <w:rsid w:val="00DF036F"/>
    <w:rsid w:val="00DF113C"/>
    <w:rsid w:val="00DF5E48"/>
    <w:rsid w:val="00DF63BA"/>
    <w:rsid w:val="00DF6966"/>
    <w:rsid w:val="00DF73D2"/>
    <w:rsid w:val="00E004D0"/>
    <w:rsid w:val="00E00E5F"/>
    <w:rsid w:val="00E01D23"/>
    <w:rsid w:val="00E067DD"/>
    <w:rsid w:val="00E06FE7"/>
    <w:rsid w:val="00E1229E"/>
    <w:rsid w:val="00E12993"/>
    <w:rsid w:val="00E135AC"/>
    <w:rsid w:val="00E14356"/>
    <w:rsid w:val="00E206B4"/>
    <w:rsid w:val="00E21A1B"/>
    <w:rsid w:val="00E3033F"/>
    <w:rsid w:val="00E3234D"/>
    <w:rsid w:val="00E33185"/>
    <w:rsid w:val="00E33410"/>
    <w:rsid w:val="00E3390F"/>
    <w:rsid w:val="00E33BF0"/>
    <w:rsid w:val="00E35E9A"/>
    <w:rsid w:val="00E363CB"/>
    <w:rsid w:val="00E40E56"/>
    <w:rsid w:val="00E4184B"/>
    <w:rsid w:val="00E418C8"/>
    <w:rsid w:val="00E41FDD"/>
    <w:rsid w:val="00E424A3"/>
    <w:rsid w:val="00E42A92"/>
    <w:rsid w:val="00E43C2E"/>
    <w:rsid w:val="00E46786"/>
    <w:rsid w:val="00E472FC"/>
    <w:rsid w:val="00E503CC"/>
    <w:rsid w:val="00E527C8"/>
    <w:rsid w:val="00E5468B"/>
    <w:rsid w:val="00E5505F"/>
    <w:rsid w:val="00E57B23"/>
    <w:rsid w:val="00E6027C"/>
    <w:rsid w:val="00E6352E"/>
    <w:rsid w:val="00E65E76"/>
    <w:rsid w:val="00E66815"/>
    <w:rsid w:val="00E675A7"/>
    <w:rsid w:val="00E701D6"/>
    <w:rsid w:val="00E707C1"/>
    <w:rsid w:val="00E72685"/>
    <w:rsid w:val="00E72DB7"/>
    <w:rsid w:val="00E72F24"/>
    <w:rsid w:val="00E7338E"/>
    <w:rsid w:val="00E73767"/>
    <w:rsid w:val="00E73ED1"/>
    <w:rsid w:val="00E77E0C"/>
    <w:rsid w:val="00E85B2F"/>
    <w:rsid w:val="00E867E9"/>
    <w:rsid w:val="00E86A52"/>
    <w:rsid w:val="00E876CD"/>
    <w:rsid w:val="00E91526"/>
    <w:rsid w:val="00E92448"/>
    <w:rsid w:val="00E93886"/>
    <w:rsid w:val="00E93A25"/>
    <w:rsid w:val="00E94FF5"/>
    <w:rsid w:val="00E95150"/>
    <w:rsid w:val="00E971A2"/>
    <w:rsid w:val="00EA1415"/>
    <w:rsid w:val="00EA156E"/>
    <w:rsid w:val="00EA6646"/>
    <w:rsid w:val="00EB013D"/>
    <w:rsid w:val="00EB3209"/>
    <w:rsid w:val="00EB352D"/>
    <w:rsid w:val="00EC0BDD"/>
    <w:rsid w:val="00EC133E"/>
    <w:rsid w:val="00EC1B53"/>
    <w:rsid w:val="00EC625C"/>
    <w:rsid w:val="00EC63A2"/>
    <w:rsid w:val="00EC6AB3"/>
    <w:rsid w:val="00EC6BB7"/>
    <w:rsid w:val="00EC78D9"/>
    <w:rsid w:val="00ED00FA"/>
    <w:rsid w:val="00ED1200"/>
    <w:rsid w:val="00ED189D"/>
    <w:rsid w:val="00ED1A81"/>
    <w:rsid w:val="00ED2005"/>
    <w:rsid w:val="00ED2851"/>
    <w:rsid w:val="00EE234D"/>
    <w:rsid w:val="00EE2AE8"/>
    <w:rsid w:val="00EE4154"/>
    <w:rsid w:val="00EE6EA5"/>
    <w:rsid w:val="00EF0454"/>
    <w:rsid w:val="00EF068B"/>
    <w:rsid w:val="00EF66E1"/>
    <w:rsid w:val="00EF7F34"/>
    <w:rsid w:val="00F00E55"/>
    <w:rsid w:val="00F106CF"/>
    <w:rsid w:val="00F10B71"/>
    <w:rsid w:val="00F20242"/>
    <w:rsid w:val="00F22EC7"/>
    <w:rsid w:val="00F27828"/>
    <w:rsid w:val="00F317DB"/>
    <w:rsid w:val="00F3227C"/>
    <w:rsid w:val="00F327FD"/>
    <w:rsid w:val="00F33EDA"/>
    <w:rsid w:val="00F34907"/>
    <w:rsid w:val="00F349CE"/>
    <w:rsid w:val="00F36CED"/>
    <w:rsid w:val="00F378DB"/>
    <w:rsid w:val="00F44642"/>
    <w:rsid w:val="00F47C99"/>
    <w:rsid w:val="00F5052A"/>
    <w:rsid w:val="00F51007"/>
    <w:rsid w:val="00F51C2F"/>
    <w:rsid w:val="00F51FB0"/>
    <w:rsid w:val="00F55FA6"/>
    <w:rsid w:val="00F64390"/>
    <w:rsid w:val="00F70BF2"/>
    <w:rsid w:val="00F71DC2"/>
    <w:rsid w:val="00F73A35"/>
    <w:rsid w:val="00F7538E"/>
    <w:rsid w:val="00F75435"/>
    <w:rsid w:val="00F779A5"/>
    <w:rsid w:val="00F8263B"/>
    <w:rsid w:val="00F83AE1"/>
    <w:rsid w:val="00F861CD"/>
    <w:rsid w:val="00F952AD"/>
    <w:rsid w:val="00F955AB"/>
    <w:rsid w:val="00F977B0"/>
    <w:rsid w:val="00FA2077"/>
    <w:rsid w:val="00FA24AF"/>
    <w:rsid w:val="00FA426E"/>
    <w:rsid w:val="00FA4EA0"/>
    <w:rsid w:val="00FA6270"/>
    <w:rsid w:val="00FA64DA"/>
    <w:rsid w:val="00FA69FB"/>
    <w:rsid w:val="00FA6A53"/>
    <w:rsid w:val="00FB08FD"/>
    <w:rsid w:val="00FB29CE"/>
    <w:rsid w:val="00FB2F50"/>
    <w:rsid w:val="00FB5437"/>
    <w:rsid w:val="00FB6DED"/>
    <w:rsid w:val="00FB6DF1"/>
    <w:rsid w:val="00FC332E"/>
    <w:rsid w:val="00FC475D"/>
    <w:rsid w:val="00FC596C"/>
    <w:rsid w:val="00FE0EE8"/>
    <w:rsid w:val="00FE111F"/>
    <w:rsid w:val="00FE1F1D"/>
    <w:rsid w:val="00FE2310"/>
    <w:rsid w:val="00FE23C3"/>
    <w:rsid w:val="00FE2730"/>
    <w:rsid w:val="00FE4793"/>
    <w:rsid w:val="00FE51F4"/>
    <w:rsid w:val="00FF1B43"/>
    <w:rsid w:val="00FF23A0"/>
    <w:rsid w:val="00FF4130"/>
    <w:rsid w:val="00FF5F9D"/>
    <w:rsid w:val="00FF61A4"/>
    <w:rsid w:val="013C2BC5"/>
    <w:rsid w:val="01D73883"/>
    <w:rsid w:val="0228633F"/>
    <w:rsid w:val="02390B85"/>
    <w:rsid w:val="026F22D5"/>
    <w:rsid w:val="02DA1A32"/>
    <w:rsid w:val="02ED2CE3"/>
    <w:rsid w:val="0561429E"/>
    <w:rsid w:val="098F3FB4"/>
    <w:rsid w:val="0AE5169D"/>
    <w:rsid w:val="0D57630E"/>
    <w:rsid w:val="0DD31DCE"/>
    <w:rsid w:val="0DEA1BCB"/>
    <w:rsid w:val="0F600AB1"/>
    <w:rsid w:val="0F9918B9"/>
    <w:rsid w:val="11763B2A"/>
    <w:rsid w:val="11E054F0"/>
    <w:rsid w:val="12347A1C"/>
    <w:rsid w:val="138B79E3"/>
    <w:rsid w:val="13971E75"/>
    <w:rsid w:val="14BE16BC"/>
    <w:rsid w:val="15D12ED7"/>
    <w:rsid w:val="170A1252"/>
    <w:rsid w:val="179506E7"/>
    <w:rsid w:val="19342E9D"/>
    <w:rsid w:val="1A495ECC"/>
    <w:rsid w:val="1A605E6D"/>
    <w:rsid w:val="1C42332A"/>
    <w:rsid w:val="1CD725DD"/>
    <w:rsid w:val="1ED36F6F"/>
    <w:rsid w:val="1F0E2CA3"/>
    <w:rsid w:val="229260B6"/>
    <w:rsid w:val="239C02B0"/>
    <w:rsid w:val="2459241E"/>
    <w:rsid w:val="24613881"/>
    <w:rsid w:val="26092570"/>
    <w:rsid w:val="26576CDA"/>
    <w:rsid w:val="268B360C"/>
    <w:rsid w:val="26BC425A"/>
    <w:rsid w:val="27434345"/>
    <w:rsid w:val="28024082"/>
    <w:rsid w:val="284675FF"/>
    <w:rsid w:val="28AC41DB"/>
    <w:rsid w:val="28ED353D"/>
    <w:rsid w:val="292B47CA"/>
    <w:rsid w:val="2C5B365B"/>
    <w:rsid w:val="2CC97D88"/>
    <w:rsid w:val="2EF16678"/>
    <w:rsid w:val="2FA1366E"/>
    <w:rsid w:val="31F75FAA"/>
    <w:rsid w:val="32336000"/>
    <w:rsid w:val="32950C82"/>
    <w:rsid w:val="33AF4B8C"/>
    <w:rsid w:val="34AD6B74"/>
    <w:rsid w:val="35596EA4"/>
    <w:rsid w:val="35C00B87"/>
    <w:rsid w:val="37657BB9"/>
    <w:rsid w:val="3BC07026"/>
    <w:rsid w:val="3CD979D2"/>
    <w:rsid w:val="3EC96126"/>
    <w:rsid w:val="3F8215B2"/>
    <w:rsid w:val="3FA84ED3"/>
    <w:rsid w:val="3FD61DB6"/>
    <w:rsid w:val="3FE826CB"/>
    <w:rsid w:val="40A238AA"/>
    <w:rsid w:val="40A67D08"/>
    <w:rsid w:val="40C74D29"/>
    <w:rsid w:val="412A3AB2"/>
    <w:rsid w:val="41AE1F0C"/>
    <w:rsid w:val="41E87DC5"/>
    <w:rsid w:val="41EB2AB3"/>
    <w:rsid w:val="429338D8"/>
    <w:rsid w:val="42A50990"/>
    <w:rsid w:val="43447575"/>
    <w:rsid w:val="44A411A7"/>
    <w:rsid w:val="459D334B"/>
    <w:rsid w:val="45EA380F"/>
    <w:rsid w:val="46076F8D"/>
    <w:rsid w:val="46A07A44"/>
    <w:rsid w:val="47FF5F01"/>
    <w:rsid w:val="4A5A5261"/>
    <w:rsid w:val="4BBD1091"/>
    <w:rsid w:val="4CDA19A5"/>
    <w:rsid w:val="4D49614E"/>
    <w:rsid w:val="4ED87CEB"/>
    <w:rsid w:val="50EE1679"/>
    <w:rsid w:val="5245572B"/>
    <w:rsid w:val="52DE21B9"/>
    <w:rsid w:val="53C27B7A"/>
    <w:rsid w:val="53D416F1"/>
    <w:rsid w:val="55127273"/>
    <w:rsid w:val="558C014B"/>
    <w:rsid w:val="55DF38A7"/>
    <w:rsid w:val="5A8E07B6"/>
    <w:rsid w:val="5C9A372D"/>
    <w:rsid w:val="5E923AB6"/>
    <w:rsid w:val="5EE6518E"/>
    <w:rsid w:val="5FBC49BB"/>
    <w:rsid w:val="6101150F"/>
    <w:rsid w:val="61492E4D"/>
    <w:rsid w:val="63C44941"/>
    <w:rsid w:val="645F1C20"/>
    <w:rsid w:val="68CA1A2A"/>
    <w:rsid w:val="6998305C"/>
    <w:rsid w:val="6A700043"/>
    <w:rsid w:val="6AF722E8"/>
    <w:rsid w:val="6B965D8F"/>
    <w:rsid w:val="6BD270EE"/>
    <w:rsid w:val="6C843F97"/>
    <w:rsid w:val="6E1B738C"/>
    <w:rsid w:val="71857323"/>
    <w:rsid w:val="72CA0C4B"/>
    <w:rsid w:val="72E9122A"/>
    <w:rsid w:val="73385DAC"/>
    <w:rsid w:val="741C3FF1"/>
    <w:rsid w:val="75343E4A"/>
    <w:rsid w:val="75C7537D"/>
    <w:rsid w:val="763E2EBC"/>
    <w:rsid w:val="79A7479A"/>
    <w:rsid w:val="7A420528"/>
    <w:rsid w:val="7A44257F"/>
    <w:rsid w:val="7BAD2E2F"/>
    <w:rsid w:val="7C5165E0"/>
    <w:rsid w:val="7C57315E"/>
    <w:rsid w:val="7D5373C4"/>
    <w:rsid w:val="7E014D60"/>
    <w:rsid w:val="7EAA1A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keepNext/>
      <w:keepLines/>
      <w:numPr>
        <w:ilvl w:val="0"/>
        <w:numId w:val="1"/>
      </w:numPr>
      <w:spacing w:beforeLines="100" w:afterLines="100" w:line="360" w:lineRule="auto"/>
      <w:outlineLvl w:val="0"/>
    </w:pPr>
    <w:rPr>
      <w:bCs/>
      <w:kern w:val="44"/>
      <w:sz w:val="32"/>
      <w:szCs w:val="44"/>
    </w:rPr>
  </w:style>
  <w:style w:type="paragraph" w:styleId="3">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semiHidden/>
    <w:unhideWhenUsed/>
    <w:qFormat/>
    <w:uiPriority w:val="99"/>
    <w:pPr>
      <w:ind w:firstLine="420" w:firstLineChars="200"/>
    </w:pPr>
  </w:style>
  <w:style w:type="paragraph" w:styleId="6">
    <w:name w:val="Body Text"/>
    <w:basedOn w:val="7"/>
    <w:next w:val="7"/>
    <w:link w:val="37"/>
    <w:unhideWhenUsed/>
    <w:qFormat/>
    <w:uiPriority w:val="99"/>
    <w:pPr>
      <w:spacing w:after="120"/>
    </w:pPr>
  </w:style>
  <w:style w:type="paragraph" w:styleId="7">
    <w:name w:val="Title"/>
    <w:basedOn w:val="1"/>
    <w:next w:val="1"/>
    <w:qFormat/>
    <w:uiPriority w:val="10"/>
    <w:pPr>
      <w:pBdr>
        <w:top w:val="none" w:color="auto" w:sz="0" w:space="1"/>
        <w:left w:val="none" w:color="auto" w:sz="0" w:space="4"/>
        <w:bottom w:val="none" w:color="auto" w:sz="0" w:space="1"/>
        <w:right w:val="none" w:color="auto" w:sz="0" w:space="4"/>
      </w:pBdr>
      <w:adjustRightInd w:val="0"/>
      <w:snapToGrid w:val="0"/>
      <w:spacing w:before="50" w:beforeLines="50"/>
      <w:jc w:val="center"/>
      <w:outlineLvl w:val="0"/>
    </w:pPr>
    <w:rPr>
      <w:rFonts w:ascii="汉仪雅酷黑-95J" w:hAnsi="汉仪雅酷黑-95J" w:eastAsia="汉仪雅酷黑-95J" w:cs="Times New Roman"/>
      <w:b/>
      <w:bCs/>
      <w:sz w:val="72"/>
      <w:szCs w:val="72"/>
    </w:rPr>
  </w:style>
  <w:style w:type="paragraph" w:styleId="8">
    <w:name w:val="Document Map"/>
    <w:basedOn w:val="1"/>
    <w:link w:val="52"/>
    <w:semiHidden/>
    <w:unhideWhenUsed/>
    <w:qFormat/>
    <w:uiPriority w:val="99"/>
    <w:rPr>
      <w:rFonts w:ascii="宋体" w:eastAsia="宋体"/>
      <w:sz w:val="18"/>
      <w:szCs w:val="18"/>
    </w:rPr>
  </w:style>
  <w:style w:type="paragraph" w:styleId="9">
    <w:name w:val="annotation text"/>
    <w:basedOn w:val="1"/>
    <w:link w:val="43"/>
    <w:unhideWhenUsed/>
    <w:qFormat/>
    <w:uiPriority w:val="99"/>
    <w:pPr>
      <w:jc w:val="left"/>
    </w:pPr>
  </w:style>
  <w:style w:type="paragraph" w:styleId="10">
    <w:name w:val="toc 3"/>
    <w:basedOn w:val="1"/>
    <w:next w:val="1"/>
    <w:unhideWhenUsed/>
    <w:qFormat/>
    <w:uiPriority w:val="39"/>
    <w:pPr>
      <w:ind w:left="840" w:leftChars="400"/>
    </w:pPr>
  </w:style>
  <w:style w:type="paragraph" w:styleId="11">
    <w:name w:val="Plain Text"/>
    <w:basedOn w:val="1"/>
    <w:qFormat/>
    <w:uiPriority w:val="0"/>
    <w:rPr>
      <w:rFonts w:ascii="宋体" w:hAnsi="Courier New" w:eastAsia="宋体" w:cs="Times New Roman"/>
      <w:szCs w:val="20"/>
    </w:rPr>
  </w:style>
  <w:style w:type="paragraph" w:styleId="12">
    <w:name w:val="Date"/>
    <w:basedOn w:val="1"/>
    <w:next w:val="1"/>
    <w:link w:val="51"/>
    <w:semiHidden/>
    <w:unhideWhenUsed/>
    <w:qFormat/>
    <w:uiPriority w:val="99"/>
    <w:pPr>
      <w:ind w:left="100" w:leftChars="2500"/>
    </w:pPr>
  </w:style>
  <w:style w:type="paragraph" w:styleId="13">
    <w:name w:val="Balloon Text"/>
    <w:basedOn w:val="1"/>
    <w:link w:val="34"/>
    <w:unhideWhenUsed/>
    <w:qFormat/>
    <w:uiPriority w:val="99"/>
    <w:rPr>
      <w:sz w:val="18"/>
      <w:szCs w:val="18"/>
    </w:rPr>
  </w:style>
  <w:style w:type="paragraph" w:styleId="14">
    <w:name w:val="footer"/>
    <w:basedOn w:val="1"/>
    <w:link w:val="30"/>
    <w:unhideWhenUsed/>
    <w:qFormat/>
    <w:uiPriority w:val="99"/>
    <w:pPr>
      <w:tabs>
        <w:tab w:val="center" w:pos="4153"/>
        <w:tab w:val="right" w:pos="8306"/>
      </w:tabs>
      <w:snapToGrid w:val="0"/>
      <w:jc w:val="left"/>
    </w:pPr>
    <w:rPr>
      <w:sz w:val="18"/>
      <w:szCs w:val="18"/>
    </w:rPr>
  </w:style>
  <w:style w:type="paragraph" w:styleId="15">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toc 2"/>
    <w:basedOn w:val="1"/>
    <w:next w:val="1"/>
    <w:unhideWhenUsed/>
    <w:qFormat/>
    <w:uiPriority w:val="39"/>
    <w:pPr>
      <w:ind w:left="420" w:leftChars="200"/>
    </w:pPr>
  </w:style>
  <w:style w:type="paragraph" w:styleId="18">
    <w:name w:val="annotation subject"/>
    <w:basedOn w:val="9"/>
    <w:next w:val="9"/>
    <w:link w:val="45"/>
    <w:unhideWhenUsed/>
    <w:qFormat/>
    <w:uiPriority w:val="99"/>
    <w:rPr>
      <w:b/>
      <w:bCs/>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rPr>
  </w:style>
  <w:style w:type="character" w:styleId="23">
    <w:name w:val="Emphasis"/>
    <w:basedOn w:val="21"/>
    <w:qFormat/>
    <w:uiPriority w:val="20"/>
    <w:rPr>
      <w:i/>
      <w:iCs/>
    </w:rPr>
  </w:style>
  <w:style w:type="character" w:styleId="24">
    <w:name w:val="Hyperlink"/>
    <w:basedOn w:val="21"/>
    <w:unhideWhenUsed/>
    <w:qFormat/>
    <w:uiPriority w:val="99"/>
    <w:rPr>
      <w:color w:val="0000FF" w:themeColor="hyperlink"/>
      <w:u w:val="single"/>
      <w14:textFill>
        <w14:solidFill>
          <w14:schemeClr w14:val="hlink"/>
        </w14:solidFill>
      </w14:textFill>
    </w:rPr>
  </w:style>
  <w:style w:type="character" w:styleId="25">
    <w:name w:val="annotation reference"/>
    <w:basedOn w:val="21"/>
    <w:unhideWhenUsed/>
    <w:qFormat/>
    <w:uiPriority w:val="99"/>
    <w:rPr>
      <w:sz w:val="21"/>
      <w:szCs w:val="21"/>
    </w:rPr>
  </w:style>
  <w:style w:type="character" w:customStyle="1" w:styleId="26">
    <w:name w:val="标题 1 字符"/>
    <w:basedOn w:val="21"/>
    <w:link w:val="2"/>
    <w:qFormat/>
    <w:uiPriority w:val="9"/>
    <w:rPr>
      <w:bCs/>
      <w:kern w:val="44"/>
      <w:sz w:val="32"/>
      <w:szCs w:val="44"/>
    </w:rPr>
  </w:style>
  <w:style w:type="character" w:customStyle="1" w:styleId="27">
    <w:name w:val="标题 2 字符"/>
    <w:basedOn w:val="21"/>
    <w:link w:val="3"/>
    <w:qFormat/>
    <w:uiPriority w:val="9"/>
    <w:rPr>
      <w:rFonts w:asciiTheme="majorHAnsi" w:hAnsiTheme="majorHAnsi" w:eastAsiaTheme="majorEastAsia" w:cstheme="majorBidi"/>
      <w:b/>
      <w:bCs/>
      <w:sz w:val="32"/>
      <w:szCs w:val="32"/>
    </w:rPr>
  </w:style>
  <w:style w:type="character" w:customStyle="1" w:styleId="28">
    <w:name w:val="标题 3 字符"/>
    <w:basedOn w:val="21"/>
    <w:link w:val="4"/>
    <w:qFormat/>
    <w:uiPriority w:val="9"/>
    <w:rPr>
      <w:b/>
      <w:bCs/>
      <w:sz w:val="32"/>
      <w:szCs w:val="32"/>
    </w:rPr>
  </w:style>
  <w:style w:type="character" w:customStyle="1" w:styleId="29">
    <w:name w:val="页眉 字符"/>
    <w:basedOn w:val="21"/>
    <w:link w:val="15"/>
    <w:qFormat/>
    <w:uiPriority w:val="99"/>
    <w:rPr>
      <w:sz w:val="18"/>
      <w:szCs w:val="18"/>
    </w:rPr>
  </w:style>
  <w:style w:type="character" w:customStyle="1" w:styleId="30">
    <w:name w:val="页脚 字符"/>
    <w:basedOn w:val="21"/>
    <w:link w:val="14"/>
    <w:qFormat/>
    <w:uiPriority w:val="99"/>
    <w:rPr>
      <w:sz w:val="18"/>
      <w:szCs w:val="18"/>
    </w:rPr>
  </w:style>
  <w:style w:type="paragraph" w:styleId="31">
    <w:name w:val="List Paragraph"/>
    <w:basedOn w:val="1"/>
    <w:link w:val="32"/>
    <w:qFormat/>
    <w:uiPriority w:val="34"/>
    <w:pPr>
      <w:ind w:firstLine="420" w:firstLineChars="200"/>
    </w:pPr>
  </w:style>
  <w:style w:type="character" w:customStyle="1" w:styleId="32">
    <w:name w:val="列表段落 字符"/>
    <w:link w:val="31"/>
    <w:qFormat/>
    <w:uiPriority w:val="34"/>
  </w:style>
  <w:style w:type="paragraph" w:customStyle="1" w:styleId="33">
    <w:name w:val="TOC 标题1"/>
    <w:basedOn w:val="2"/>
    <w:next w:val="1"/>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字符"/>
    <w:basedOn w:val="21"/>
    <w:link w:val="13"/>
    <w:semiHidden/>
    <w:qFormat/>
    <w:uiPriority w:val="99"/>
    <w:rPr>
      <w:sz w:val="18"/>
      <w:szCs w:val="18"/>
    </w:rPr>
  </w:style>
  <w:style w:type="character" w:customStyle="1" w:styleId="35">
    <w:name w:val="金正文 Char"/>
    <w:basedOn w:val="21"/>
    <w:link w:val="36"/>
    <w:qFormat/>
    <w:uiPriority w:val="0"/>
    <w:rPr>
      <w:rFonts w:eastAsia="宋体" w:asciiTheme="minorHAnsi" w:hAnsiTheme="minorHAnsi"/>
      <w:sz w:val="24"/>
    </w:rPr>
  </w:style>
  <w:style w:type="paragraph" w:customStyle="1" w:styleId="36">
    <w:name w:val="金正文"/>
    <w:basedOn w:val="1"/>
    <w:next w:val="6"/>
    <w:link w:val="35"/>
    <w:qFormat/>
    <w:uiPriority w:val="0"/>
    <w:pPr>
      <w:spacing w:line="360" w:lineRule="auto"/>
      <w:ind w:firstLine="200" w:firstLineChars="200"/>
      <w:jc w:val="left"/>
    </w:pPr>
    <w:rPr>
      <w:rFonts w:eastAsia="宋体"/>
      <w:sz w:val="24"/>
    </w:rPr>
  </w:style>
  <w:style w:type="character" w:customStyle="1" w:styleId="37">
    <w:name w:val="正文文本 字符"/>
    <w:basedOn w:val="21"/>
    <w:link w:val="6"/>
    <w:semiHidden/>
    <w:qFormat/>
    <w:uiPriority w:val="99"/>
  </w:style>
  <w:style w:type="character" w:customStyle="1" w:styleId="38">
    <w:name w:val="金正文1 Char"/>
    <w:basedOn w:val="21"/>
    <w:link w:val="39"/>
    <w:qFormat/>
    <w:uiPriority w:val="0"/>
    <w:rPr>
      <w:rFonts w:eastAsia="宋体"/>
    </w:rPr>
  </w:style>
  <w:style w:type="paragraph" w:customStyle="1" w:styleId="39">
    <w:name w:val="金正文1"/>
    <w:basedOn w:val="1"/>
    <w:link w:val="38"/>
    <w:qFormat/>
    <w:uiPriority w:val="0"/>
    <w:pPr>
      <w:spacing w:line="360" w:lineRule="auto"/>
      <w:jc w:val="left"/>
    </w:pPr>
    <w:rPr>
      <w:rFonts w:eastAsia="宋体"/>
    </w:rPr>
  </w:style>
  <w:style w:type="paragraph" w:customStyle="1" w:styleId="40">
    <w:name w:val="金1"/>
    <w:basedOn w:val="1"/>
    <w:next w:val="1"/>
    <w:qFormat/>
    <w:uiPriority w:val="0"/>
    <w:pPr>
      <w:spacing w:line="360" w:lineRule="auto"/>
      <w:jc w:val="left"/>
    </w:pPr>
    <w:rPr>
      <w:rFonts w:ascii="Times New Roman" w:hAnsi="Times New Roman" w:eastAsia="宋体" w:cs="Times New Roman"/>
      <w:b/>
      <w:sz w:val="28"/>
      <w:szCs w:val="20"/>
    </w:rPr>
  </w:style>
  <w:style w:type="character" w:customStyle="1" w:styleId="41">
    <w:name w:val="金2 Char"/>
    <w:link w:val="42"/>
    <w:qFormat/>
    <w:uiPriority w:val="0"/>
    <w:rPr>
      <w:rFonts w:eastAsia="宋体"/>
      <w:b/>
      <w:sz w:val="24"/>
    </w:rPr>
  </w:style>
  <w:style w:type="paragraph" w:customStyle="1" w:styleId="42">
    <w:name w:val="金2"/>
    <w:basedOn w:val="1"/>
    <w:next w:val="36"/>
    <w:link w:val="41"/>
    <w:qFormat/>
    <w:uiPriority w:val="0"/>
    <w:pPr>
      <w:spacing w:line="360" w:lineRule="auto"/>
      <w:jc w:val="left"/>
    </w:pPr>
    <w:rPr>
      <w:rFonts w:eastAsia="宋体"/>
      <w:b/>
      <w:sz w:val="24"/>
    </w:rPr>
  </w:style>
  <w:style w:type="character" w:customStyle="1" w:styleId="43">
    <w:name w:val="批注文字 字符"/>
    <w:basedOn w:val="21"/>
    <w:link w:val="9"/>
    <w:qFormat/>
    <w:uiPriority w:val="99"/>
  </w:style>
  <w:style w:type="paragraph" w:customStyle="1" w:styleId="44">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45">
    <w:name w:val="批注主题 字符"/>
    <w:basedOn w:val="43"/>
    <w:link w:val="18"/>
    <w:semiHidden/>
    <w:qFormat/>
    <w:uiPriority w:val="99"/>
    <w:rPr>
      <w:b/>
      <w:bCs/>
    </w:rPr>
  </w:style>
  <w:style w:type="paragraph" w:customStyle="1" w:styleId="46">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table" w:customStyle="1" w:styleId="47">
    <w:name w:val="网格型1"/>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8">
    <w:name w:val="列出段落1"/>
    <w:basedOn w:val="1"/>
    <w:qFormat/>
    <w:uiPriority w:val="34"/>
    <w:pPr>
      <w:ind w:firstLine="420" w:firstLineChars="200"/>
    </w:pPr>
  </w:style>
  <w:style w:type="paragraph" w:customStyle="1" w:styleId="49">
    <w:name w:val="TOC 标题11"/>
    <w:basedOn w:val="2"/>
    <w:next w:val="1"/>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table" w:customStyle="1" w:styleId="50">
    <w:name w:val="网格型2"/>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日期 字符"/>
    <w:basedOn w:val="21"/>
    <w:link w:val="12"/>
    <w:semiHidden/>
    <w:qFormat/>
    <w:uiPriority w:val="99"/>
  </w:style>
  <w:style w:type="character" w:customStyle="1" w:styleId="52">
    <w:name w:val="文档结构图 字符"/>
    <w:basedOn w:val="21"/>
    <w:link w:val="8"/>
    <w:semiHidden/>
    <w:qFormat/>
    <w:uiPriority w:val="99"/>
    <w:rPr>
      <w:rFonts w:ascii="宋体" w:eastAsia="宋体"/>
      <w:sz w:val="18"/>
      <w:szCs w:val="18"/>
    </w:rPr>
  </w:style>
  <w:style w:type="character" w:customStyle="1" w:styleId="53">
    <w:name w:val="font11"/>
    <w:basedOn w:val="21"/>
    <w:qFormat/>
    <w:uiPriority w:val="0"/>
    <w:rPr>
      <w:rFonts w:hint="eastAsia" w:ascii="宋体" w:hAnsi="宋体" w:eastAsia="宋体" w:cs="宋体"/>
      <w:color w:val="000000"/>
      <w:sz w:val="20"/>
      <w:szCs w:val="20"/>
      <w:u w:val="none"/>
    </w:rPr>
  </w:style>
  <w:style w:type="character" w:customStyle="1" w:styleId="54">
    <w:name w:val="font21"/>
    <w:basedOn w:val="21"/>
    <w:qFormat/>
    <w:uiPriority w:val="0"/>
    <w:rPr>
      <w:rFonts w:hint="eastAsia" w:ascii="宋体" w:hAnsi="宋体" w:eastAsia="宋体" w:cs="宋体"/>
      <w:color w:val="000000"/>
      <w:sz w:val="20"/>
      <w:szCs w:val="20"/>
      <w:u w:val="none"/>
    </w:rPr>
  </w:style>
  <w:style w:type="table" w:customStyle="1" w:styleId="55">
    <w:name w:val="网格型11"/>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
    <w:name w:val="Table Normal"/>
    <w:semiHidden/>
    <w:unhideWhenUsed/>
    <w:qFormat/>
    <w:uiPriority w:val="0"/>
    <w:tblPr>
      <w:tblCellMar>
        <w:top w:w="0" w:type="dxa"/>
        <w:left w:w="0" w:type="dxa"/>
        <w:bottom w:w="0" w:type="dxa"/>
        <w:right w:w="0" w:type="dxa"/>
      </w:tblCellMar>
    </w:tblPr>
  </w:style>
  <w:style w:type="paragraph" w:customStyle="1" w:styleId="57">
    <w:name w:val="样式 标题 3 + 左"/>
    <w:basedOn w:val="4"/>
    <w:qFormat/>
    <w:uiPriority w:val="0"/>
    <w:pPr>
      <w:numPr>
        <w:ilvl w:val="0"/>
        <w:numId w:val="2"/>
      </w:numPr>
      <w:spacing w:line="288" w:lineRule="auto"/>
      <w:ind w:left="0" w:firstLine="200"/>
      <w:jc w:val="left"/>
      <w:outlineLvl w:val="9"/>
    </w:pPr>
    <w:rPr>
      <w:rFonts w:cs="宋体"/>
      <w:bCs w:val="0"/>
      <w:szCs w:val="20"/>
    </w:rPr>
  </w:style>
  <w:style w:type="character" w:customStyle="1" w:styleId="58">
    <w:name w:val="样式 (符号) 宋体 小四"/>
    <w:qFormat/>
    <w:uiPriority w:val="0"/>
    <w:rPr>
      <w:rFonts w:eastAsia="宋体"/>
      <w:sz w:val="21"/>
    </w:rPr>
  </w:style>
  <w:style w:type="character" w:customStyle="1" w:styleId="59">
    <w:name w:val="unnamed1"/>
    <w:basedOn w:val="21"/>
    <w:qFormat/>
    <w:uiPriority w:val="0"/>
  </w:style>
  <w:style w:type="paragraph" w:customStyle="1" w:styleId="60">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61">
    <w:name w:val="WPSOffice手动目录 1"/>
    <w:qFormat/>
    <w:uiPriority w:val="0"/>
    <w:rPr>
      <w:rFonts w:ascii="Times New Roman" w:hAnsi="Times New Roman" w:eastAsia="宋体" w:cs="Times New Roman"/>
      <w:lang w:val="en-US" w:eastAsia="zh-CN" w:bidi="ar-SA"/>
    </w:rPr>
  </w:style>
  <w:style w:type="paragraph" w:customStyle="1" w:styleId="6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3">
    <w:name w:val="修订3"/>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5A274D-DB3B-49DC-9CD3-EFE6DC6C2D9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1694</Words>
  <Characters>1881</Characters>
  <Lines>29</Lines>
  <Paragraphs>8</Paragraphs>
  <TotalTime>49</TotalTime>
  <ScaleCrop>false</ScaleCrop>
  <LinksUpToDate>false</LinksUpToDate>
  <CharactersWithSpaces>1944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2019-08-07T14:11:00Z</dcterms:created>
  <dc:creator>胡小康</dc:creator>
  <cp:lastModifiedBy>denghs</cp:lastModifiedBy>
  <cp:lastPrinted>2020-08-05T09:38:00Z</cp:lastPrinted>
  <dcterms:modified xsi:type="dcterms:W3CDTF">2026-05-20T08:08:08Z</dcterms:modified>
  <cp:revision>169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671D71A717584FA5866292C79A42EB6E</vt:lpwstr>
  </property>
  <property fmtid="{D5CDD505-2E9C-101B-9397-08002B2CF9AE}" pid="4" name="MSIP_Label_631ef649-45d3-4e5d-80df-d43468de9a5e_Enabled">
    <vt:lpwstr>true</vt:lpwstr>
  </property>
  <property fmtid="{D5CDD505-2E9C-101B-9397-08002B2CF9AE}" pid="5" name="MSIP_Label_631ef649-45d3-4e5d-80df-d43468de9a5e_SetDate">
    <vt:lpwstr>2024-01-18T06:56:52Z</vt:lpwstr>
  </property>
  <property fmtid="{D5CDD505-2E9C-101B-9397-08002B2CF9AE}" pid="6" name="MSIP_Label_631ef649-45d3-4e5d-80df-d43468de9a5e_Method">
    <vt:lpwstr>Privileged</vt:lpwstr>
  </property>
  <property fmtid="{D5CDD505-2E9C-101B-9397-08002B2CF9AE}" pid="7" name="MSIP_Label_631ef649-45d3-4e5d-80df-d43468de9a5e_Name">
    <vt:lpwstr>Unclassified</vt:lpwstr>
  </property>
  <property fmtid="{D5CDD505-2E9C-101B-9397-08002B2CF9AE}" pid="8" name="MSIP_Label_631ef649-45d3-4e5d-80df-d43468de9a5e_SiteId">
    <vt:lpwstr>771c9c47-7f24-44dc-958e-34f8713a8394</vt:lpwstr>
  </property>
  <property fmtid="{D5CDD505-2E9C-101B-9397-08002B2CF9AE}" pid="9" name="MSIP_Label_631ef649-45d3-4e5d-80df-d43468de9a5e_ActionId">
    <vt:lpwstr>5e5d9686-60ae-41b2-8b31-6373ddb6e7d7</vt:lpwstr>
  </property>
  <property fmtid="{D5CDD505-2E9C-101B-9397-08002B2CF9AE}" pid="10" name="MSIP_Label_631ef649-45d3-4e5d-80df-d43468de9a5e_ContentBits">
    <vt:lpwstr>0</vt:lpwstr>
  </property>
  <property fmtid="{D5CDD505-2E9C-101B-9397-08002B2CF9AE}" pid="11" name="GrammarlyDocumentId">
    <vt:lpwstr>3b004ba5ba7edcc439bb72ed9fc5520c42b1b32c18ac6bc7f626e83bd6932777</vt:lpwstr>
  </property>
  <property fmtid="{D5CDD505-2E9C-101B-9397-08002B2CF9AE}" pid="12" name="KSOTemplateDocerSaveRecord">
    <vt:lpwstr>eyJoZGlkIjoiYjg5ZWIwZWVhMDI3Y2ZjNGM2ZTA3OGQyN2NlODg5NmMiLCJ1c2VySWQiOiI1NDE4NDczMzMifQ==</vt:lpwstr>
  </property>
</Properties>
</file>