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44574">
      <w:pPr>
        <w:pStyle w:val="2"/>
        <w:bidi w:val="0"/>
        <w:jc w:val="center"/>
        <w:rPr>
          <w:rFonts w:hint="eastAsia"/>
          <w:color w:val="auto"/>
        </w:rPr>
      </w:pPr>
      <w:r>
        <w:rPr>
          <w:rFonts w:hint="eastAsia"/>
          <w:color w:val="auto"/>
        </w:rPr>
        <w:t>凯里局委托第三方事务所机构开展信息及数据清理服务项目</w:t>
      </w:r>
      <w:r>
        <w:rPr>
          <w:rFonts w:hint="eastAsia"/>
          <w:color w:val="auto"/>
        </w:rPr>
        <w:t>技术要求</w:t>
      </w:r>
    </w:p>
    <w:p w14:paraId="64F38EAF">
      <w:pPr>
        <w:jc w:val="center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（长期挂账往来款清理及经济鉴证服务）</w:t>
      </w:r>
    </w:p>
    <w:p w14:paraId="29417628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62E1681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服务采购明细</w:t>
      </w:r>
    </w:p>
    <w:tbl>
      <w:tblPr>
        <w:tblStyle w:val="5"/>
        <w:tblW w:w="88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575"/>
        <w:gridCol w:w="2145"/>
        <w:gridCol w:w="1560"/>
        <w:gridCol w:w="1680"/>
        <w:gridCol w:w="1095"/>
      </w:tblGrid>
      <w:tr w14:paraId="7053C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 w14:paraId="532DCF9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  <w:t>序号</w:t>
            </w:r>
          </w:p>
        </w:tc>
        <w:tc>
          <w:tcPr>
            <w:tcW w:w="1575" w:type="dxa"/>
          </w:tcPr>
          <w:p w14:paraId="50AB553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  <w:t>服务名称</w:t>
            </w:r>
          </w:p>
        </w:tc>
        <w:tc>
          <w:tcPr>
            <w:tcW w:w="2145" w:type="dxa"/>
          </w:tcPr>
          <w:p w14:paraId="65FB7F2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  <w:t>服务内容简述</w:t>
            </w:r>
          </w:p>
        </w:tc>
        <w:tc>
          <w:tcPr>
            <w:tcW w:w="1560" w:type="dxa"/>
          </w:tcPr>
          <w:p w14:paraId="2E78222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  <w:lang w:eastAsia="zh-CN"/>
              </w:rPr>
              <w:t>服务期限</w:t>
            </w:r>
          </w:p>
        </w:tc>
        <w:tc>
          <w:tcPr>
            <w:tcW w:w="1680" w:type="dxa"/>
          </w:tcPr>
          <w:p w14:paraId="5C66DFC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</w:rPr>
              <w:t>服务地点</w:t>
            </w:r>
          </w:p>
        </w:tc>
        <w:tc>
          <w:tcPr>
            <w:tcW w:w="1095" w:type="dxa"/>
          </w:tcPr>
          <w:p w14:paraId="07F5BF8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</w:rPr>
              <w:t>备注</w:t>
            </w:r>
          </w:p>
        </w:tc>
      </w:tr>
      <w:tr w14:paraId="0E79C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 w14:paraId="53AD52F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1</w:t>
            </w:r>
          </w:p>
        </w:tc>
        <w:tc>
          <w:tcPr>
            <w:tcW w:w="1575" w:type="dxa"/>
          </w:tcPr>
          <w:p w14:paraId="52276CD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经济鉴证意见业务</w:t>
            </w:r>
          </w:p>
        </w:tc>
        <w:tc>
          <w:tcPr>
            <w:tcW w:w="2145" w:type="dxa"/>
          </w:tcPr>
          <w:p w14:paraId="0F848A10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对本单位指定基准日的长期挂账往来款项进行全面清查，分析形成原因，提出清理意见，并出具正式的经济鉴证意见书</w:t>
            </w:r>
          </w:p>
        </w:tc>
        <w:tc>
          <w:tcPr>
            <w:tcW w:w="1560" w:type="dxa"/>
          </w:tcPr>
          <w:p w14:paraId="22DA7040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自合同签订之日起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u w:val="single"/>
                <w:lang w:val="en-US" w:eastAsia="zh-CN"/>
              </w:rPr>
              <w:t xml:space="preserve"> 15 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个工作日内完成</w:t>
            </w:r>
          </w:p>
        </w:tc>
        <w:tc>
          <w:tcPr>
            <w:tcW w:w="1680" w:type="dxa"/>
          </w:tcPr>
          <w:p w14:paraId="5256B6F1"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eastAsia="zh-CN"/>
              </w:rPr>
              <w:t>凯里市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及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eastAsia="zh-CN"/>
              </w:rPr>
              <w:t>凯里网区内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16家县局</w:t>
            </w:r>
          </w:p>
        </w:tc>
        <w:tc>
          <w:tcPr>
            <w:tcW w:w="1095" w:type="dxa"/>
          </w:tcPr>
          <w:p w14:paraId="7A183E05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需现场工作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u w:val="single"/>
                <w:lang w:val="en-US" w:eastAsia="zh-CN"/>
              </w:rPr>
              <w:t xml:space="preserve"> 12 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天以上</w:t>
            </w:r>
          </w:p>
        </w:tc>
      </w:tr>
    </w:tbl>
    <w:p w14:paraId="54CAAD8C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01491E9B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二、服务背景与目的</w:t>
      </w:r>
    </w:p>
    <w:p w14:paraId="12474F1F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为真实、完整反映单位资产状况，夯实往来款管理基础，需对截至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日的长期挂账往来款项（含应收账款、应付账款、其他应收款、其他应付款、预收账款、预付账款等）进行全面清理与鉴证。通过此次服务，达到以下目的：</w:t>
      </w:r>
    </w:p>
    <w:p w14:paraId="1F76CE36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查明长期挂账款项的形成原因、账龄结构及现状。</w:t>
      </w:r>
    </w:p>
    <w:p w14:paraId="3602C2D3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为坏账核销、款项清收、账务调整等提供客观、合规的经济鉴证依据。</w:t>
      </w:r>
    </w:p>
    <w:p w14:paraId="3F85FC9E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 出具可供内部决策及外部检查使用的经济鉴证意见书。</w:t>
      </w:r>
    </w:p>
    <w:p w14:paraId="1A1241B0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三、服务范围与具体内容</w:t>
      </w:r>
    </w:p>
    <w:p w14:paraId="6A98C03C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清理范围</w:t>
      </w:r>
    </w:p>
    <w:p w14:paraId="3C0C4ED3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日，账面挂账时间超过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以上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的全部往来款科目明细，账面原值约人民币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9.3亿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元。最终范围以双方确认的科目余额表为准。</w:t>
      </w:r>
    </w:p>
    <w:p w14:paraId="11D15330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具体工作内容</w:t>
      </w:r>
    </w:p>
    <w:p w14:paraId="2FF49CB3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（1）资料收集与梳理：收集与挂账相关的合同、协议、单据、收付款凭证、催收记录、债权债务确认文件等原始资料，逐户建档。</w:t>
      </w:r>
    </w:p>
    <w:p w14:paraId="670A5DC2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（2）核对分析：逐户核对账面记录与原始凭证，分析挂账原因、账龄，判断业务实质（如真实交易、挂账错误、涉诉款项、关联方交易等）。</w:t>
      </w:r>
    </w:p>
    <w:p w14:paraId="05EA4E34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（3）函证与替代程序：对重要及异常款项实施函证；对无法回函或无需函证的，执行替代程序（如查验工商登记状态、走访、电话核实、查验期后收付款等），确保核查程序到位。</w:t>
      </w:r>
    </w:p>
    <w:p w14:paraId="0393C6CB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（4）状态甄别与分类：根据核查结果，逐笔将挂账款项划分为可收回/需支付、存在争议、对方单位已注销/吊销、诉讼时效已过、挂账依据不足需调整等类别。</w:t>
      </w:r>
    </w:p>
    <w:p w14:paraId="4114A4E3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（5）清理建议：针对不同类别提出具体清理建议（如催收、付款、核销、账务调整、司法追偿等），并预估可清理金额。</w:t>
      </w:r>
    </w:p>
    <w:p w14:paraId="1545E92E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（6）出具经济鉴证意见书：对清理结果和清理建议出具具有鉴证效力的正式书面意见，明确鉴证对象、依据、程序、结论及责任。</w:t>
      </w:r>
    </w:p>
    <w:p w14:paraId="45727AD4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四、服务标准与技术规范</w:t>
      </w:r>
    </w:p>
    <w:p w14:paraId="3EC364C3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服务过程须遵守《中国注册会计师鉴证业务基本准则》及相关执业准则、企业会计准则及国家财税法规。</w:t>
      </w:r>
    </w:p>
    <w:p w14:paraId="11113650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若涉及国有资产或财政资金，还需遵循相应的国有资产管理规定和财务清理要求。</w:t>
      </w:r>
    </w:p>
    <w:p w14:paraId="1162DA80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 所有鉴证程序须形成规范的工作底稿，做到资料完整、记录清晰、结论有据。</w:t>
      </w:r>
    </w:p>
    <w:p w14:paraId="670FED22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4. 经济鉴证意见书应客观、独立，使用规范的专业术语，不得出具不实或误导性结论。</w:t>
      </w:r>
    </w:p>
    <w:p w14:paraId="48D7C9B7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五、人员资质要求</w:t>
      </w:r>
    </w:p>
    <w:p w14:paraId="3129A855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项目负责人：须持有中国注册会计师执业资格，近三年内至少完成过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1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贵州电网辖区内的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往来款清理或资产鉴证类项目，具有带队经验。</w:t>
      </w:r>
    </w:p>
    <w:p w14:paraId="7938B656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现场团队人员：应至少配备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8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名具有会计或审计专业背景且从业满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1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年的人员，熟悉往来款核查程序。</w:t>
      </w:r>
    </w:p>
    <w:p w14:paraId="57EF77B4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 项目负责人及关键成员在服务期内未经甲方书面同意不得更换；如必须更换，须提前通知并安排同等资质人员接替。</w:t>
      </w:r>
    </w:p>
    <w:p w14:paraId="2B952E75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六、交付成果及资料要求</w:t>
      </w:r>
    </w:p>
    <w:p w14:paraId="4064C380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服务完成后，供应方须提交以下成果文件，均为中文版本：</w:t>
      </w:r>
    </w:p>
    <w:p w14:paraId="3DBD57A5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纸质版：盖章版《长期挂账往来款清理经济鉴证意见书》正本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2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份，副本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2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份。</w:t>
      </w:r>
    </w:p>
    <w:p w14:paraId="25F81254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电子版：意见书扫描件及可编辑文档，全套工作底稿（扫描件或电子档案）。</w:t>
      </w:r>
    </w:p>
    <w:p w14:paraId="2739B457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明细附件：往来款清查明细表、函证汇总表、往来款分类汇总及清理建议表、重要事项说明。</w:t>
      </w:r>
    </w:p>
    <w:p w14:paraId="58D1FABA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若需在内部会议或向上级汇报时进行讲解，供应方应派项目负责人现场汇报，不另收费用。</w:t>
      </w:r>
    </w:p>
    <w:p w14:paraId="18BF093B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七、服务期限与进度要求</w:t>
      </w:r>
    </w:p>
    <w:p w14:paraId="58833F0D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合同生效后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5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个工作日内，提交详细服务方案及工作计划。</w:t>
      </w:r>
    </w:p>
    <w:p w14:paraId="05BBC564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现场工作阶段：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日（预计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个工作日）。</w:t>
      </w:r>
    </w:p>
    <w:p w14:paraId="32FC9BF2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初步意见稿提交时间：现场工作结束后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3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个工作日内。</w:t>
      </w:r>
    </w:p>
    <w:p w14:paraId="00C63877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正式《经济鉴证意见书》提交时间：甲方反馈初步意见后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5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个工作日内。</w:t>
      </w:r>
    </w:p>
    <w:p w14:paraId="7417A3F4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八、验收标准与方式</w:t>
      </w:r>
    </w:p>
    <w:p w14:paraId="354DFA13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验收依据：本技术要求附件、合同及经确认的服务方案。</w:t>
      </w:r>
    </w:p>
    <w:p w14:paraId="16219397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验收条件：</w:t>
      </w:r>
    </w:p>
    <w:p w14:paraId="5B1A066F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· 鉴证意见书内容完整，数据准确，分类清晰，清理建议合理、可行。</w:t>
      </w:r>
    </w:p>
    <w:p w14:paraId="1B1AA27B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· 核查程序充分、合规，工作底稿能够支持鉴证结论。</w:t>
      </w:r>
    </w:p>
    <w:p w14:paraId="7B9F3FEA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· 成果文件格式、份数符合要求。</w:t>
      </w:r>
    </w:p>
    <w:p w14:paraId="466B7169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 验收流程：供应方提交全部成果后，甲方财务部门在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5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个工作日内组织审核验收。验收不合格的，供应方须在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5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个工作日内免费补充、修改或重新执行程序，直至验收合格。</w:t>
      </w:r>
    </w:p>
    <w:p w14:paraId="3E13F828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九、保密与信息安全要求</w:t>
      </w:r>
    </w:p>
    <w:p w14:paraId="5167DF9B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供应方对工作中知悉的单位往来明细、客商信息、财务数据等全部信息负有严格保密义务，不得向任何第三方泄露，亦不得用于本项目以外的任何目的。</w:t>
      </w:r>
    </w:p>
    <w:p w14:paraId="2101F8A8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双方须签署保密协议（或纳入合同保密条款）。所有资料须妥善保管，服务完成后按甲方要求归还或销毁，不得留存。</w:t>
      </w:r>
    </w:p>
    <w:p w14:paraId="7C96867D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 服务人员不得私自复制、拍照、导出甲方数据。</w:t>
      </w:r>
    </w:p>
    <w:p w14:paraId="4CE2C72E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十、其他要求</w:t>
      </w:r>
    </w:p>
    <w:p w14:paraId="5D273C0A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供应方人员进入甲方场所须遵守甲方安保与管理制度。</w:t>
      </w:r>
    </w:p>
    <w:p w14:paraId="175D510E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本项目因审核需要，供应方需配合甲方接受上级检查或审计，并提供相关说明。</w:t>
      </w:r>
    </w:p>
    <w:p w14:paraId="3CFFBD31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费用总额为含税包干价，包括人员交通、住宿、函证邮寄等全部费用，甲方不再另行支付。</w:t>
      </w:r>
    </w:p>
    <w:p w14:paraId="4BE9E50D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· 知识产权声明：服务过程中产生的全部成果文件的知识产权归甲方所有。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04683C"/>
    <w:multiLevelType w:val="singleLevel"/>
    <w:tmpl w:val="8B0468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A7BAB"/>
    <w:rsid w:val="01D574B2"/>
    <w:rsid w:val="02771610"/>
    <w:rsid w:val="030B51FD"/>
    <w:rsid w:val="1B403449"/>
    <w:rsid w:val="1CBA6E66"/>
    <w:rsid w:val="21584CFD"/>
    <w:rsid w:val="2D524A9C"/>
    <w:rsid w:val="31A12017"/>
    <w:rsid w:val="331A2572"/>
    <w:rsid w:val="36D50E56"/>
    <w:rsid w:val="37311D3E"/>
    <w:rsid w:val="3B232DC8"/>
    <w:rsid w:val="3DE61919"/>
    <w:rsid w:val="3EB900B9"/>
    <w:rsid w:val="433C1EB0"/>
    <w:rsid w:val="496A7BAB"/>
    <w:rsid w:val="4BD238C2"/>
    <w:rsid w:val="4CF07E06"/>
    <w:rsid w:val="4DF1123E"/>
    <w:rsid w:val="4EA86C93"/>
    <w:rsid w:val="4F0A18D6"/>
    <w:rsid w:val="4FEF0FFE"/>
    <w:rsid w:val="66E34656"/>
    <w:rsid w:val="69025DEB"/>
    <w:rsid w:val="6BD87287"/>
    <w:rsid w:val="70E24537"/>
    <w:rsid w:val="740906B4"/>
    <w:rsid w:val="7645790D"/>
    <w:rsid w:val="77A54A68"/>
    <w:rsid w:val="7856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2026-07-08T08:41:00Z</dcterms:created>
  <dc:creator>赵芳</dc:creator>
  <cp:lastModifiedBy>赵芳</cp:lastModifiedBy>
  <dcterms:modified xsi:type="dcterms:W3CDTF">2026-07-09T06:26:51Z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D1FCBD0326A446E4B88BB6E4BFBBB3DB_13</vt:lpwstr>
  </property>
</Properties>
</file>