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color w:val="auto"/>
          <w:sz w:val="36"/>
          <w:szCs w:val="44"/>
          <w:highlight w:val="none"/>
        </w:rPr>
      </w:pPr>
      <w:bookmarkStart w:id="0" w:name="_Toc98920284"/>
      <w:r>
        <w:rPr>
          <w:rFonts w:ascii="宋体" w:hAnsi="宋体"/>
          <w:color w:val="auto"/>
          <w:highlight w:val="none"/>
        </w:rPr>
        <w:drawing>
          <wp:anchor distT="0" distB="0" distL="114300" distR="114300" simplePos="0" relativeHeight="251659264" behindDoc="1" locked="0" layoutInCell="1" allowOverlap="1">
            <wp:simplePos x="0" y="0"/>
            <wp:positionH relativeFrom="column">
              <wp:posOffset>-821690</wp:posOffset>
            </wp:positionH>
            <wp:positionV relativeFrom="paragraph">
              <wp:posOffset>-1410335</wp:posOffset>
            </wp:positionV>
            <wp:extent cx="7781925" cy="6972300"/>
            <wp:effectExtent l="0" t="0" r="9525" b="0"/>
            <wp:wrapNone/>
            <wp:docPr id="3"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未命名"/>
                    <pic:cNvPicPr>
                      <a:picLocks noChangeAspect="1"/>
                    </pic:cNvPicPr>
                  </pic:nvPicPr>
                  <pic:blipFill>
                    <a:blip r:embed="rId5"/>
                    <a:stretch>
                      <a:fillRect/>
                    </a:stretch>
                  </pic:blipFill>
                  <pic:spPr>
                    <a:xfrm>
                      <a:off x="0" y="0"/>
                      <a:ext cx="7781925" cy="697230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-95885</wp:posOffset>
                </wp:positionH>
                <wp:positionV relativeFrom="paragraph">
                  <wp:posOffset>509905</wp:posOffset>
                </wp:positionV>
                <wp:extent cx="5916295" cy="962025"/>
                <wp:effectExtent l="0" t="0" r="0" b="0"/>
                <wp:wrapNone/>
                <wp:docPr id="5" name="矩形 5"/>
                <wp:cNvGraphicFramePr/>
                <a:graphic xmlns:a="http://schemas.openxmlformats.org/drawingml/2006/main">
                  <a:graphicData uri="http://schemas.microsoft.com/office/word/2010/wordprocessingShape">
                    <wps:wsp>
                      <wps:cNvSpPr/>
                      <wps:spPr>
                        <a:xfrm>
                          <a:off x="0" y="0"/>
                          <a:ext cx="5916295" cy="962025"/>
                        </a:xfrm>
                        <a:prstGeom prst="rect">
                          <a:avLst/>
                        </a:prstGeom>
                        <a:noFill/>
                        <a:ln>
                          <a:noFill/>
                        </a:ln>
                      </wps:spPr>
                      <wps:txbx>
                        <w:txbxContent>
                          <w:p>
                            <w:pPr>
                              <w:jc w:val="right"/>
                              <w:rPr>
                                <w:rFonts w:hint="eastAsia" w:eastAsia="黑体"/>
                                <w:lang w:val="en-US" w:eastAsia="zh-CN"/>
                              </w:rPr>
                            </w:pPr>
                            <w:r>
                              <w:rPr>
                                <w:rFonts w:hint="eastAsia" w:ascii="黑体" w:hAnsi="黑体" w:eastAsia="黑体"/>
                                <w:b/>
                                <w:bCs/>
                                <w:color w:val="auto"/>
                                <w:sz w:val="44"/>
                                <w:szCs w:val="44"/>
                                <w:highlight w:val="none"/>
                                <w:lang w:val="en-US" w:eastAsia="zh-CN"/>
                              </w:rPr>
                              <w:t>柳州供电局城北分局匹克球运动场地建设服务技术规范书</w:t>
                            </w:r>
                          </w:p>
                        </w:txbxContent>
                      </wps:txbx>
                      <wps:bodyPr upright="1"/>
                    </wps:wsp>
                  </a:graphicData>
                </a:graphic>
              </wp:anchor>
            </w:drawing>
          </mc:Choice>
          <mc:Fallback>
            <w:pict>
              <v:rect id="_x0000_s1026" o:spid="_x0000_s1026" o:spt="1" style="position:absolute;left:0pt;margin-left:-7.55pt;margin-top:40.15pt;height:75.75pt;width:465.85pt;z-index:251660288;mso-width-relative:page;mso-height-relative:page;" filled="f" stroked="f" coordsize="21600,21600" o:gfxdata="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">
                <v:fill on="f" focussize="0,0"/>
                <v:stroke on="f"/>
                <v:imagedata o:title=""/>
                <o:lock v:ext="edit" aspectratio="f"/>
                <v:textbox>
                  <w:txbxContent>
                    <w:p>
                      <w:pPr>
                        <w:jc w:val="right"/>
                        <w:rPr>
                          <w:rFonts w:hint="eastAsia" w:eastAsia="黑体"/>
                          <w:lang w:val="en-US" w:eastAsia="zh-CN"/>
                        </w:rPr>
                      </w:pPr>
                      <w:r>
                        <w:rPr>
                          <w:rFonts w:hint="eastAsia" w:ascii="黑体" w:hAnsi="黑体" w:eastAsia="黑体"/>
                          <w:b/>
                          <w:bCs/>
                          <w:color w:val="auto"/>
                          <w:sz w:val="44"/>
                          <w:szCs w:val="44"/>
                          <w:highlight w:val="none"/>
                          <w:lang w:val="en-US" w:eastAsia="zh-CN"/>
                        </w:rPr>
                        <w:t>柳州供电局城北分局匹克球运动场地建设服务技术规范书</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81280</wp:posOffset>
                </wp:positionH>
                <wp:positionV relativeFrom="paragraph">
                  <wp:posOffset>64770</wp:posOffset>
                </wp:positionV>
                <wp:extent cx="6205855" cy="7537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 </w:t>
                            </w:r>
                          </w:p>
                        </w:txbxContent>
                      </wps:txbx>
                      <wps:bodyPr upright="1"/>
                    </wps:wsp>
                  </a:graphicData>
                </a:graphic>
              </wp:anchor>
            </w:drawing>
          </mc:Choice>
          <mc:Fallback>
            <w:pict>
              <v:shape id="_x0000_s1026" o:spid="_x0000_s1026" o:spt="202" type="#_x0000_t202" style="position:absolute;left:0pt;margin-left:6.4pt;margin-top:5.1pt;height:59.35pt;width:488.65pt;z-index:251661312;mso-width-relative:page;mso-height-relative:page;" filled="f" stroked="f" coordsize="21600,21600" o:gfxdata="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GtNdr9QAAAAJAQAADwAAAAAAAAABACAAAAAiAAAAZHJzL2Rv&#10;d25yZXYueG1sUEsBAhQAFAAAAAgAh07iQLQ+kuyTAQAAAAMAAA4AAAAAAAAAAQAgAAAAIwEAAGRy&#10;cy9lMm9Eb2MueG1sUEsFBgAAAAAGAAYAWQEAACgFA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32"/>
          <w:szCs w:val="32"/>
          <w:highlight w:val="none"/>
          <w:lang w:val="en-US"/>
        </w:rPr>
      </w:pPr>
      <w:r>
        <w:rPr>
          <w:rFonts w:hint="eastAsia"/>
          <w:b/>
          <w:bCs/>
          <w:color w:val="auto"/>
          <w:sz w:val="32"/>
          <w:szCs w:val="32"/>
          <w:highlight w:val="none"/>
        </w:rPr>
        <w:t>广西电网有限责任公司</w:t>
      </w:r>
      <w:r>
        <w:rPr>
          <w:rFonts w:hint="eastAsia"/>
          <w:b/>
          <w:bCs/>
          <w:color w:val="auto"/>
          <w:sz w:val="32"/>
          <w:szCs w:val="32"/>
          <w:highlight w:val="none"/>
          <w:lang w:val="en-US" w:eastAsia="zh-CN"/>
        </w:rPr>
        <w:t>柳州供电局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lang w:val="en-US" w:eastAsia="zh-CN"/>
        </w:rPr>
        <w:t>2026</w:t>
      </w:r>
      <w:r>
        <w:rPr>
          <w:rFonts w:hint="eastAsia" w:asciiTheme="majorEastAsia" w:hAnsiTheme="majorEastAsia" w:eastAsiaTheme="majorEastAsia" w:cstheme="majorEastAsia"/>
          <w:b/>
          <w:bCs/>
          <w:color w:val="auto"/>
          <w:sz w:val="32"/>
          <w:szCs w:val="32"/>
          <w:highlight w:val="none"/>
        </w:rPr>
        <w:t>年</w:t>
      </w:r>
      <w:r>
        <w:rPr>
          <w:rFonts w:hint="eastAsia" w:asciiTheme="majorEastAsia" w:hAnsiTheme="majorEastAsia" w:eastAsiaTheme="majorEastAsia" w:cstheme="majorEastAsia"/>
          <w:b/>
          <w:bCs/>
          <w:color w:val="auto"/>
          <w:sz w:val="32"/>
          <w:szCs w:val="32"/>
          <w:highlight w:val="none"/>
          <w:lang w:val="en-US" w:eastAsia="zh-CN"/>
        </w:rPr>
        <w:t>7</w:t>
      </w:r>
      <w:r>
        <w:rPr>
          <w:rFonts w:hint="eastAsia" w:asciiTheme="majorEastAsia" w:hAnsiTheme="majorEastAsia" w:eastAsiaTheme="majorEastAsia" w:cstheme="majorEastAsia"/>
          <w:b/>
          <w:bCs/>
          <w:color w:val="auto"/>
          <w:sz w:val="32"/>
          <w:szCs w:val="32"/>
          <w:highlight w:val="none"/>
        </w:rPr>
        <w:t>月</w:t>
      </w:r>
    </w:p>
    <w:p>
      <w:pPr>
        <w:jc w:val="both"/>
        <w:rPr>
          <w:rFonts w:ascii="宋体" w:hAnsi="宋体" w:cs="宋体"/>
          <w:sz w:val="44"/>
          <w:szCs w:val="44"/>
        </w:rPr>
      </w:pPr>
      <w:r>
        <w:rPr>
          <w:rStyle w:val="15"/>
          <w:rFonts w:ascii="仿宋_GB2312" w:eastAsia="仿宋_GB2312"/>
          <w:b/>
          <w:i w:val="0"/>
          <w:caps w:val="0"/>
          <w:color w:val="auto"/>
          <w:spacing w:val="0"/>
          <w:w w:val="100"/>
          <w:kern w:val="2"/>
          <w:sz w:val="28"/>
          <w:szCs w:val="28"/>
          <w:lang w:val="en-US" w:eastAsia="zh-CN" w:bidi="ar-SA"/>
        </w:rPr>
        <w:br w:type="page"/>
      </w:r>
    </w:p>
    <w:p>
      <w:pPr>
        <w:pStyle w:val="4"/>
        <w:pageBreakBefore w:val="0"/>
        <w:numPr>
          <w:ilvl w:val="0"/>
          <w:numId w:val="0"/>
        </w:numPr>
        <w:kinsoku/>
        <w:wordWrap/>
        <w:overflowPunct/>
        <w:topLinePunct w:val="0"/>
        <w:autoSpaceDE/>
        <w:autoSpaceDN/>
        <w:bidi w:val="0"/>
        <w:spacing w:line="400" w:lineRule="exact"/>
        <w:ind w:left="420" w:leftChars="0"/>
        <w:textAlignment w:val="auto"/>
        <w:rPr>
          <w:sz w:val="24"/>
          <w:szCs w:val="22"/>
        </w:rPr>
      </w:pPr>
      <w:bookmarkStart w:id="1" w:name="_Toc318799924"/>
      <w:bookmarkStart w:id="2" w:name="_Toc28526"/>
      <w:bookmarkStart w:id="3" w:name="_Toc444945508"/>
      <w:r>
        <w:rPr>
          <w:rFonts w:hint="eastAsia" w:ascii="Times New Roman" w:hAnsi="Times New Roman"/>
          <w:color w:val="000000"/>
          <w:sz w:val="28"/>
          <w:szCs w:val="28"/>
          <w:lang w:val="en-US" w:eastAsia="zh-CN"/>
        </w:rPr>
        <w:t>一、</w:t>
      </w:r>
      <w:r>
        <w:rPr>
          <w:rFonts w:hint="eastAsia" w:ascii="Times New Roman" w:hAnsi="Times New Roman"/>
          <w:color w:val="000000"/>
          <w:sz w:val="28"/>
          <w:szCs w:val="28"/>
          <w:lang w:eastAsia="zh-CN"/>
        </w:rPr>
        <w:t>服务范围</w:t>
      </w:r>
    </w:p>
    <w:bookmarkEnd w:id="1"/>
    <w:bookmarkEnd w:id="2"/>
    <w:bookmarkEnd w:id="3"/>
    <w:p>
      <w:pPr>
        <w:pageBreakBefore w:val="0"/>
        <w:kinsoku/>
        <w:wordWrap/>
        <w:overflowPunct/>
        <w:topLinePunct w:val="0"/>
        <w:autoSpaceDE/>
        <w:autoSpaceDN/>
        <w:bidi w:val="0"/>
        <w:spacing w:line="400" w:lineRule="exact"/>
        <w:ind w:firstLine="480" w:firstLineChars="200"/>
        <w:textAlignment w:val="auto"/>
        <w:rPr>
          <w:rFonts w:ascii="宋体" w:hAnsi="宋体"/>
        </w:rPr>
      </w:pPr>
      <w:r>
        <w:rPr>
          <w:rFonts w:hint="eastAsia" w:ascii="宋体" w:hAnsi="宋体"/>
        </w:rPr>
        <w:t>本技术条款主要描述</w:t>
      </w:r>
      <w:r>
        <w:rPr>
          <w:rFonts w:hint="eastAsia" w:ascii="宋体" w:hAnsi="宋体"/>
          <w:u w:val="single"/>
        </w:rPr>
        <w:t>广西电网有限</w:t>
      </w:r>
      <w:r>
        <w:rPr>
          <w:rFonts w:hint="eastAsia" w:ascii="宋体" w:hAnsi="宋体"/>
          <w:u w:val="single"/>
          <w:lang w:eastAsia="zh-CN"/>
        </w:rPr>
        <w:t>责任</w:t>
      </w:r>
      <w:r>
        <w:rPr>
          <w:rFonts w:hint="eastAsia" w:ascii="宋体" w:hAnsi="宋体"/>
          <w:u w:val="single"/>
        </w:rPr>
        <w:t>公司柳州供电局</w:t>
      </w:r>
      <w:r>
        <w:rPr>
          <w:rFonts w:hint="eastAsia" w:ascii="宋体" w:hAnsi="宋体"/>
          <w:u w:val="single"/>
          <w:lang w:val="en-US" w:eastAsia="zh-CN"/>
        </w:rPr>
        <w:t>城北分局匹克球运动场地建设服务</w:t>
      </w:r>
      <w:r>
        <w:rPr>
          <w:rFonts w:hint="eastAsia" w:ascii="宋体" w:hAnsi="宋体"/>
          <w:u w:val="single"/>
        </w:rPr>
        <w:t>服务项目</w:t>
      </w:r>
      <w:r>
        <w:rPr>
          <w:rFonts w:hint="eastAsia" w:ascii="宋体" w:hAnsi="宋体"/>
        </w:rPr>
        <w:t>有关事项。</w:t>
      </w:r>
    </w:p>
    <w:p>
      <w:pPr>
        <w:pageBreakBefore w:val="0"/>
        <w:numPr>
          <w:ilvl w:val="0"/>
          <w:numId w:val="0"/>
        </w:numPr>
        <w:kinsoku/>
        <w:wordWrap/>
        <w:overflowPunct/>
        <w:topLinePunct w:val="0"/>
        <w:autoSpaceDE/>
        <w:autoSpaceDN/>
        <w:bidi w:val="0"/>
        <w:spacing w:line="400" w:lineRule="exact"/>
        <w:ind w:left="420" w:leftChars="0"/>
        <w:textAlignment w:val="auto"/>
        <w:rPr>
          <w:rFonts w:hint="eastAsia" w:ascii="Times New Roman" w:hAnsi="Times New Roman" w:cs="宋体"/>
          <w:b/>
          <w:bCs/>
          <w:color w:val="000000"/>
          <w:sz w:val="28"/>
          <w:szCs w:val="28"/>
          <w:lang w:val="en-US" w:eastAsia="zh-CN" w:bidi="ar-SA"/>
        </w:rPr>
      </w:pPr>
      <w:r>
        <w:rPr>
          <w:rFonts w:hint="eastAsia" w:ascii="Times New Roman" w:hAnsi="Times New Roman" w:cs="宋体"/>
          <w:b/>
          <w:bCs/>
          <w:color w:val="000000"/>
          <w:sz w:val="28"/>
          <w:szCs w:val="28"/>
          <w:lang w:val="en-US" w:eastAsia="zh-CN" w:bidi="ar-SA"/>
        </w:rPr>
        <w:t>二、服务实施地点</w:t>
      </w:r>
    </w:p>
    <w:p>
      <w:pPr>
        <w:numPr>
          <w:ilvl w:val="0"/>
          <w:numId w:val="0"/>
        </w:numPr>
        <w:ind w:left="420" w:leftChars="0"/>
        <w:rPr>
          <w:rFonts w:hint="eastAsia" w:ascii="Times New Roman" w:hAnsi="Times New Roman" w:cs="宋体"/>
          <w:b/>
          <w:bCs/>
          <w:color w:val="000000"/>
          <w:sz w:val="28"/>
          <w:szCs w:val="28"/>
          <w:lang w:val="en-US" w:eastAsia="zh-CN" w:bidi="ar-SA"/>
        </w:rPr>
      </w:pPr>
      <w:bookmarkStart w:id="4" w:name="_Toc205543260"/>
      <w:bookmarkStart w:id="5" w:name="_Toc480800900"/>
      <w:bookmarkStart w:id="6" w:name="_Toc23830"/>
      <w:r>
        <w:rPr>
          <w:rFonts w:hint="eastAsia" w:ascii="宋体" w:hAnsi="宋体" w:eastAsia="宋体" w:cs="Times New Roman"/>
          <w:b w:val="0"/>
          <w:bCs w:val="0"/>
          <w:sz w:val="24"/>
          <w:szCs w:val="20"/>
          <w:lang w:val="en-US" w:eastAsia="zh-CN" w:bidi="ar-SA"/>
        </w:rPr>
        <w:t>柳州市，柳州供电局城北分局</w:t>
      </w:r>
    </w:p>
    <w:p>
      <w:pPr>
        <w:numPr>
          <w:ilvl w:val="0"/>
          <w:numId w:val="1"/>
        </w:numPr>
        <w:ind w:left="420" w:leftChars="0"/>
        <w:rPr>
          <w:rFonts w:hint="eastAsia" w:ascii="Times New Roman" w:hAnsi="Times New Roman" w:cs="宋体"/>
          <w:b/>
          <w:bCs/>
          <w:color w:val="000000"/>
          <w:sz w:val="28"/>
          <w:szCs w:val="28"/>
          <w:lang w:val="en-US" w:eastAsia="zh-CN" w:bidi="ar-SA"/>
        </w:rPr>
      </w:pPr>
      <w:r>
        <w:rPr>
          <w:rFonts w:hint="eastAsia" w:ascii="Times New Roman" w:hAnsi="Times New Roman" w:cs="宋体"/>
          <w:b/>
          <w:bCs/>
          <w:color w:val="000000"/>
          <w:sz w:val="28"/>
          <w:szCs w:val="28"/>
          <w:lang w:val="en-US" w:eastAsia="zh-CN" w:bidi="ar-SA"/>
        </w:rPr>
        <w:t>服务具体内容</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w:t>
      </w:r>
      <w:r>
        <w:rPr>
          <w:rFonts w:hint="eastAsia" w:ascii="宋体" w:hAnsi="宋体" w:eastAsia="宋体" w:cs="宋体"/>
          <w:kern w:val="2"/>
          <w:sz w:val="24"/>
          <w:szCs w:val="24"/>
          <w:lang w:val="en-US" w:eastAsia="zh-CN"/>
        </w:rPr>
        <w:t>一）匹克球地胶采购铺设安装；</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（二）移</w:t>
      </w:r>
      <w:bookmarkStart w:id="7" w:name="OLE_LINK6"/>
      <w:r>
        <w:rPr>
          <w:rFonts w:hint="eastAsia" w:ascii="宋体" w:hAnsi="宋体" w:eastAsia="宋体" w:cs="宋体"/>
          <w:kern w:val="2"/>
          <w:sz w:val="24"/>
          <w:szCs w:val="24"/>
          <w:lang w:val="en-US" w:eastAsia="zh-CN"/>
        </w:rPr>
        <w:t>动匹克球柱（含网）采购安装；</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（三）球场照明灯采购安装；</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（四）挡板采购安装</w:t>
      </w:r>
      <w:r>
        <w:rPr>
          <w:rFonts w:hint="eastAsia" w:ascii="宋体" w:hAnsi="宋体" w:cs="宋体"/>
          <w:kern w:val="2"/>
          <w:sz w:val="24"/>
          <w:szCs w:val="24"/>
          <w:lang w:val="en-US" w:eastAsia="zh-CN"/>
        </w:rPr>
        <w:t>。</w:t>
      </w:r>
    </w:p>
    <w:bookmarkEnd w:id="7"/>
    <w:p>
      <w:pPr>
        <w:pageBreakBefore w:val="0"/>
        <w:numPr>
          <w:ilvl w:val="0"/>
          <w:numId w:val="0"/>
        </w:numPr>
        <w:kinsoku/>
        <w:wordWrap/>
        <w:overflowPunct/>
        <w:topLinePunct w:val="0"/>
        <w:autoSpaceDE/>
        <w:autoSpaceDN/>
        <w:bidi w:val="0"/>
        <w:spacing w:line="400" w:lineRule="exact"/>
        <w:ind w:left="420" w:leftChars="0"/>
        <w:textAlignment w:val="auto"/>
        <w:rPr>
          <w:rFonts w:hint="eastAsia" w:ascii="Times New Roman" w:hAnsi="Times New Roman" w:eastAsia="宋体" w:cs="宋体"/>
          <w:b/>
          <w:bCs/>
          <w:color w:val="000000"/>
          <w:sz w:val="28"/>
          <w:szCs w:val="28"/>
          <w:lang w:val="en-US" w:eastAsia="zh-CN" w:bidi="ar-SA"/>
        </w:rPr>
      </w:pPr>
      <w:bookmarkStart w:id="8" w:name="OLE_LINK7"/>
      <w:r>
        <w:rPr>
          <w:rFonts w:hint="eastAsia" w:ascii="Times New Roman" w:hAnsi="Times New Roman" w:eastAsia="宋体" w:cs="宋体"/>
          <w:b/>
          <w:bCs/>
          <w:color w:val="000000"/>
          <w:sz w:val="28"/>
          <w:szCs w:val="28"/>
          <w:lang w:val="en-US" w:eastAsia="zh-CN" w:bidi="ar-SA"/>
        </w:rPr>
        <w:t>四、产品验收、交付及售后服务要求</w:t>
      </w:r>
    </w:p>
    <w:bookmarkEnd w:id="8"/>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（一）所有产品必须符合国家及行业相关标准，并满足采购文件技术要求。如发现假冒伪劣或以次充好产品，采购人有权按“假一罚十”追究责任。</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（二）交货时间及地点：供应商须在合同签订后15天内，免费将货物运送至采购单位指定地点，并完成安装调试，达到验收标准。</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（三）售后服务要求：</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1.质保期：自最终验收合格之日起，质保期内提供全免费上门保修服务；</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2.响应时间：产品出现质量问题时，供应商须在</w:t>
      </w:r>
      <w:r>
        <w:rPr>
          <w:rFonts w:hint="eastAsia" w:ascii="宋体" w:hAnsi="宋体" w:cs="宋体"/>
          <w:kern w:val="2"/>
          <w:sz w:val="24"/>
          <w:szCs w:val="24"/>
          <w:lang w:val="en-US" w:eastAsia="zh-CN"/>
        </w:rPr>
        <w:t>1</w:t>
      </w:r>
      <w:r>
        <w:rPr>
          <w:rFonts w:hint="eastAsia" w:ascii="宋体" w:hAnsi="宋体" w:eastAsia="宋体" w:cs="宋体"/>
          <w:kern w:val="2"/>
          <w:sz w:val="24"/>
          <w:szCs w:val="24"/>
          <w:lang w:val="en-US" w:eastAsia="zh-CN"/>
        </w:rPr>
        <w:t>小时内响应，</w:t>
      </w:r>
      <w:r>
        <w:rPr>
          <w:rFonts w:hint="eastAsia" w:ascii="宋体" w:hAnsi="宋体" w:cs="宋体"/>
          <w:kern w:val="2"/>
          <w:sz w:val="24"/>
          <w:szCs w:val="24"/>
          <w:lang w:val="en-US" w:eastAsia="zh-CN"/>
        </w:rPr>
        <w:t>24</w:t>
      </w:r>
      <w:r>
        <w:rPr>
          <w:rFonts w:hint="eastAsia" w:ascii="宋体" w:hAnsi="宋体" w:eastAsia="宋体" w:cs="宋体"/>
          <w:kern w:val="2"/>
          <w:sz w:val="24"/>
          <w:szCs w:val="24"/>
          <w:lang w:val="en-US" w:eastAsia="zh-CN"/>
        </w:rPr>
        <w:t>小时内到达现场，一般故障</w:t>
      </w:r>
      <w:r>
        <w:rPr>
          <w:rFonts w:hint="eastAsia" w:ascii="宋体" w:hAnsi="宋体" w:cs="宋体"/>
          <w:kern w:val="2"/>
          <w:sz w:val="24"/>
          <w:szCs w:val="24"/>
          <w:lang w:val="en-US" w:eastAsia="zh-CN"/>
        </w:rPr>
        <w:t>48</w:t>
      </w:r>
      <w:r>
        <w:rPr>
          <w:rFonts w:hint="eastAsia" w:ascii="宋体" w:hAnsi="宋体" w:eastAsia="宋体" w:cs="宋体"/>
          <w:kern w:val="2"/>
          <w:sz w:val="24"/>
          <w:szCs w:val="24"/>
          <w:lang w:val="en-US" w:eastAsia="zh-CN"/>
        </w:rPr>
        <w:t>小时内修复，未能修复的应予以更换；</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3.提供现场技术培训，确保采购单位人员能独立操作及进行简单故障排除；</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4.提供定期回访检查服务；</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Times New Roman" w:hAnsi="Times New Roman" w:eastAsia="宋体" w:cs="宋体"/>
          <w:b/>
          <w:bCs/>
          <w:color w:val="000000"/>
          <w:sz w:val="28"/>
          <w:szCs w:val="28"/>
          <w:lang w:val="en-US" w:eastAsia="zh-CN" w:bidi="ar-SA"/>
        </w:rPr>
      </w:pPr>
      <w:r>
        <w:rPr>
          <w:rFonts w:hint="eastAsia" w:ascii="宋体" w:hAnsi="宋体" w:eastAsia="宋体" w:cs="宋体"/>
          <w:kern w:val="2"/>
          <w:sz w:val="24"/>
          <w:szCs w:val="24"/>
          <w:lang w:val="en-US" w:eastAsia="zh-CN"/>
        </w:rPr>
        <w:t>5.</w:t>
      </w:r>
      <w:r>
        <w:rPr>
          <w:rFonts w:hint="eastAsia" w:ascii="宋体" w:hAnsi="宋体" w:cs="宋体"/>
          <w:kern w:val="2"/>
          <w:sz w:val="24"/>
          <w:szCs w:val="24"/>
          <w:lang w:val="en-US" w:eastAsia="zh-CN"/>
        </w:rPr>
        <w:t>质保期过后，</w:t>
      </w:r>
      <w:r>
        <w:rPr>
          <w:rFonts w:hint="eastAsia" w:ascii="宋体" w:hAnsi="宋体" w:eastAsia="宋体" w:cs="宋体"/>
          <w:kern w:val="2"/>
          <w:sz w:val="24"/>
          <w:szCs w:val="24"/>
          <w:lang w:val="en-US" w:eastAsia="zh-CN"/>
        </w:rPr>
        <w:t>提供终身</w:t>
      </w:r>
      <w:r>
        <w:rPr>
          <w:rFonts w:hint="eastAsia" w:ascii="宋体" w:hAnsi="宋体" w:cs="宋体"/>
          <w:kern w:val="2"/>
          <w:sz w:val="24"/>
          <w:szCs w:val="24"/>
          <w:lang w:val="en-US" w:eastAsia="zh-CN"/>
        </w:rPr>
        <w:t>有偿</w:t>
      </w:r>
      <w:r>
        <w:rPr>
          <w:rFonts w:hint="eastAsia" w:ascii="宋体" w:hAnsi="宋体" w:eastAsia="宋体" w:cs="宋体"/>
          <w:kern w:val="2"/>
          <w:sz w:val="24"/>
          <w:szCs w:val="24"/>
          <w:lang w:val="en-US" w:eastAsia="zh-CN"/>
        </w:rPr>
        <w:t>维修服务</w:t>
      </w:r>
      <w:r>
        <w:rPr>
          <w:rFonts w:hint="eastAsia" w:ascii="宋体" w:hAnsi="宋体" w:cs="宋体"/>
          <w:kern w:val="2"/>
          <w:sz w:val="24"/>
          <w:szCs w:val="24"/>
          <w:lang w:val="en-US" w:eastAsia="zh-CN"/>
        </w:rPr>
        <w:t>。</w:t>
      </w:r>
    </w:p>
    <w:p>
      <w:pPr>
        <w:pageBreakBefore w:val="0"/>
        <w:numPr>
          <w:ilvl w:val="0"/>
          <w:numId w:val="0"/>
        </w:numPr>
        <w:kinsoku/>
        <w:wordWrap/>
        <w:overflowPunct/>
        <w:topLinePunct w:val="0"/>
        <w:autoSpaceDE/>
        <w:autoSpaceDN/>
        <w:bidi w:val="0"/>
        <w:spacing w:line="400" w:lineRule="exact"/>
        <w:ind w:firstLine="562" w:firstLineChars="200"/>
        <w:textAlignment w:val="auto"/>
        <w:rPr>
          <w:rFonts w:hint="eastAsia" w:ascii="Times New Roman" w:hAnsi="Times New Roman" w:eastAsia="宋体" w:cs="宋体"/>
          <w:b/>
          <w:bCs/>
          <w:color w:val="000000"/>
          <w:sz w:val="28"/>
          <w:szCs w:val="28"/>
          <w:lang w:val="en-US" w:eastAsia="zh-CN" w:bidi="ar-SA"/>
        </w:rPr>
      </w:pPr>
      <w:r>
        <w:rPr>
          <w:rFonts w:hint="eastAsia" w:ascii="Times New Roman" w:hAnsi="Times New Roman" w:eastAsia="宋体" w:cs="宋体"/>
          <w:b/>
          <w:bCs/>
          <w:color w:val="000000"/>
          <w:sz w:val="28"/>
          <w:szCs w:val="28"/>
          <w:lang w:val="en-US" w:eastAsia="zh-CN" w:bidi="ar-SA"/>
        </w:rPr>
        <w:t>五、其他要求</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（一）投标单位须提供2022年1月1日以来的同类项目成功案例证明材料（合同扫描件等）；</w:t>
      </w:r>
    </w:p>
    <w:p>
      <w:pPr>
        <w:pStyle w:val="2"/>
        <w:ind w:firstLine="480" w:firstLineChars="200"/>
        <w:rPr>
          <w:rFonts w:hint="eastAsia"/>
          <w:lang w:val="en-US" w:eastAsia="zh-CN"/>
        </w:rPr>
      </w:pPr>
      <w:r>
        <w:rPr>
          <w:rFonts w:hint="eastAsia" w:ascii="宋体" w:hAnsi="宋体" w:eastAsia="宋体" w:cs="宋体"/>
          <w:kern w:val="2"/>
          <w:sz w:val="24"/>
          <w:szCs w:val="24"/>
          <w:lang w:val="en-US" w:eastAsia="zh-CN"/>
        </w:rPr>
        <w:t>（</w:t>
      </w:r>
      <w:r>
        <w:rPr>
          <w:rFonts w:hint="eastAsia" w:hAnsi="宋体" w:cs="宋体"/>
          <w:kern w:val="2"/>
          <w:sz w:val="24"/>
          <w:szCs w:val="24"/>
          <w:lang w:val="en-US" w:eastAsia="zh-CN"/>
        </w:rPr>
        <w:t>二</w:t>
      </w:r>
      <w:r>
        <w:rPr>
          <w:rFonts w:hint="eastAsia" w:ascii="宋体" w:hAnsi="宋体" w:eastAsia="宋体" w:cs="宋体"/>
          <w:kern w:val="2"/>
          <w:sz w:val="24"/>
          <w:szCs w:val="24"/>
          <w:lang w:val="en-US" w:eastAsia="zh-CN"/>
        </w:rPr>
        <w:t>）</w:t>
      </w:r>
      <w:r>
        <w:rPr>
          <w:rFonts w:hint="eastAsia" w:hAnsi="宋体" w:cs="宋体"/>
          <w:kern w:val="2"/>
          <w:sz w:val="24"/>
          <w:szCs w:val="24"/>
          <w:lang w:val="en-US" w:eastAsia="zh-CN"/>
        </w:rPr>
        <w:t>投标单位须提供所提供产品的型号及参数。</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w:t>
      </w:r>
      <w:r>
        <w:rPr>
          <w:rFonts w:hint="eastAsia" w:ascii="宋体" w:hAnsi="宋体" w:cs="宋体"/>
          <w:kern w:val="2"/>
          <w:sz w:val="24"/>
          <w:szCs w:val="24"/>
          <w:lang w:val="en-US" w:eastAsia="zh-CN"/>
        </w:rPr>
        <w:t>三</w:t>
      </w:r>
      <w:r>
        <w:rPr>
          <w:rFonts w:hint="eastAsia" w:ascii="宋体" w:hAnsi="宋体" w:eastAsia="宋体" w:cs="宋体"/>
          <w:kern w:val="2"/>
          <w:sz w:val="24"/>
          <w:szCs w:val="24"/>
          <w:lang w:val="en-US" w:eastAsia="zh-CN"/>
        </w:rPr>
        <w:t>）应明确项目负责人及其联系方式，并告知采购方项目负责人</w:t>
      </w:r>
      <w:r>
        <w:rPr>
          <w:rFonts w:hint="eastAsia" w:ascii="宋体" w:hAnsi="宋体" w:cs="宋体"/>
          <w:kern w:val="2"/>
          <w:sz w:val="24"/>
          <w:szCs w:val="24"/>
          <w:lang w:val="en-US" w:eastAsia="zh-CN"/>
        </w:rPr>
        <w:t>；</w:t>
      </w:r>
    </w:p>
    <w:p>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00" w:lineRule="exact"/>
        <w:ind w:firstLine="480" w:firstLineChars="200"/>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w:t>
      </w:r>
      <w:r>
        <w:rPr>
          <w:rFonts w:hint="eastAsia" w:ascii="宋体" w:hAnsi="宋体" w:cs="宋体"/>
          <w:kern w:val="2"/>
          <w:sz w:val="24"/>
          <w:szCs w:val="24"/>
          <w:lang w:val="en-US" w:eastAsia="zh-CN"/>
        </w:rPr>
        <w:t>四</w:t>
      </w:r>
      <w:r>
        <w:rPr>
          <w:rFonts w:hint="eastAsia" w:ascii="宋体" w:hAnsi="宋体" w:eastAsia="宋体" w:cs="宋体"/>
          <w:kern w:val="2"/>
          <w:sz w:val="24"/>
          <w:szCs w:val="24"/>
          <w:lang w:val="en-US" w:eastAsia="zh-CN"/>
        </w:rPr>
        <w:t>）本项目不接受联合体投标，不得转包、分包。</w:t>
      </w:r>
    </w:p>
    <w:p>
      <w:pPr>
        <w:pageBreakBefore w:val="0"/>
        <w:numPr>
          <w:ilvl w:val="0"/>
          <w:numId w:val="0"/>
        </w:numPr>
        <w:kinsoku/>
        <w:wordWrap/>
        <w:overflowPunct/>
        <w:topLinePunct w:val="0"/>
        <w:autoSpaceDE/>
        <w:autoSpaceDN/>
        <w:bidi w:val="0"/>
        <w:spacing w:line="400" w:lineRule="exact"/>
        <w:ind w:left="420" w:leftChars="0"/>
        <w:textAlignment w:val="auto"/>
        <w:rPr>
          <w:rFonts w:hint="eastAsia"/>
          <w:lang w:val="en-US" w:eastAsia="zh-CN"/>
        </w:rPr>
      </w:pPr>
      <w:r>
        <w:rPr>
          <w:rFonts w:hint="eastAsia" w:ascii="Times New Roman" w:hAnsi="Times New Roman" w:cs="宋体"/>
          <w:b/>
          <w:bCs/>
          <w:color w:val="000000"/>
          <w:sz w:val="28"/>
          <w:szCs w:val="28"/>
          <w:lang w:val="en-US" w:eastAsia="zh-CN" w:bidi="ar-SA"/>
        </w:rPr>
        <w:t>六</w:t>
      </w:r>
      <w:r>
        <w:rPr>
          <w:rFonts w:hint="eastAsia" w:ascii="Times New Roman" w:hAnsi="Times New Roman" w:eastAsia="宋体" w:cs="宋体"/>
          <w:b/>
          <w:bCs/>
          <w:color w:val="000000"/>
          <w:sz w:val="28"/>
          <w:szCs w:val="28"/>
          <w:lang w:val="en-US" w:eastAsia="zh-CN" w:bidi="ar-SA"/>
        </w:rPr>
        <w:t>、采购内容及技术要求</w:t>
      </w:r>
    </w:p>
    <w:bookmarkEnd w:id="0"/>
    <w:bookmarkEnd w:id="4"/>
    <w:bookmarkEnd w:id="5"/>
    <w:bookmarkEnd w:id="6"/>
    <w:tbl>
      <w:tblPr>
        <w:tblStyle w:val="12"/>
        <w:tblW w:w="9817"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07"/>
        <w:gridCol w:w="741"/>
        <w:gridCol w:w="776"/>
        <w:gridCol w:w="6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trPr>
        <w:tc>
          <w:tcPr>
            <w:tcW w:w="778" w:type="dxa"/>
            <w:noWrap w:val="0"/>
            <w:vAlign w:val="center"/>
          </w:tcPr>
          <w:p>
            <w:pPr>
              <w:jc w:val="center"/>
              <w:rPr>
                <w:b/>
              </w:rPr>
            </w:pPr>
            <w:r>
              <w:rPr>
                <w:rFonts w:hint="eastAsia"/>
                <w:b/>
              </w:rPr>
              <w:t>序号</w:t>
            </w:r>
          </w:p>
        </w:tc>
        <w:tc>
          <w:tcPr>
            <w:tcW w:w="1207" w:type="dxa"/>
            <w:noWrap w:val="0"/>
            <w:vAlign w:val="center"/>
          </w:tcPr>
          <w:p>
            <w:pPr>
              <w:jc w:val="center"/>
              <w:rPr>
                <w:b/>
              </w:rPr>
            </w:pPr>
            <w:r>
              <w:rPr>
                <w:rFonts w:hint="eastAsia"/>
                <w:b/>
              </w:rPr>
              <w:t>货物名称</w:t>
            </w:r>
          </w:p>
        </w:tc>
        <w:tc>
          <w:tcPr>
            <w:tcW w:w="741" w:type="dxa"/>
            <w:noWrap w:val="0"/>
            <w:vAlign w:val="center"/>
          </w:tcPr>
          <w:p>
            <w:pPr>
              <w:jc w:val="center"/>
              <w:rPr>
                <w:b/>
              </w:rPr>
            </w:pPr>
            <w:r>
              <w:rPr>
                <w:rFonts w:hint="eastAsia"/>
                <w:b/>
              </w:rPr>
              <w:t>数量</w:t>
            </w:r>
          </w:p>
        </w:tc>
        <w:tc>
          <w:tcPr>
            <w:tcW w:w="776" w:type="dxa"/>
            <w:noWrap w:val="0"/>
            <w:vAlign w:val="center"/>
          </w:tcPr>
          <w:p>
            <w:pPr>
              <w:jc w:val="center"/>
              <w:rPr>
                <w:b/>
              </w:rPr>
            </w:pPr>
            <w:r>
              <w:rPr>
                <w:rFonts w:hint="eastAsia"/>
                <w:b/>
              </w:rPr>
              <w:t>单位</w:t>
            </w:r>
          </w:p>
        </w:tc>
        <w:tc>
          <w:tcPr>
            <w:tcW w:w="6315" w:type="dxa"/>
            <w:noWrap w:val="0"/>
            <w:vAlign w:val="center"/>
          </w:tcPr>
          <w:p>
            <w:pPr>
              <w:jc w:val="center"/>
              <w:rPr>
                <w:b/>
              </w:rPr>
            </w:pPr>
            <w:r>
              <w:rPr>
                <w:rFonts w:hint="eastAsia"/>
                <w:b/>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0" w:hRule="atLeast"/>
        </w:trPr>
        <w:tc>
          <w:tcPr>
            <w:tcW w:w="778" w:type="dxa"/>
            <w:noWrap w:val="0"/>
            <w:vAlign w:val="center"/>
          </w:tcPr>
          <w:p>
            <w:pPr>
              <w:jc w:val="center"/>
              <w:rPr>
                <w:rFonts w:hint="eastAsia" w:asciiTheme="minorEastAsia" w:hAnsiTheme="minorEastAsia" w:eastAsiaTheme="minorEastAsia" w:cstheme="minorEastAsia"/>
                <w:sz w:val="23"/>
              </w:rPr>
            </w:pPr>
            <w:r>
              <w:rPr>
                <w:rFonts w:hint="eastAsia" w:asciiTheme="minorEastAsia" w:hAnsiTheme="minorEastAsia" w:eastAsiaTheme="minorEastAsia" w:cstheme="minorEastAsia"/>
                <w:sz w:val="24"/>
                <w:szCs w:val="24"/>
              </w:rPr>
              <w:t>1</w:t>
            </w:r>
          </w:p>
        </w:tc>
        <w:tc>
          <w:tcPr>
            <w:tcW w:w="1207" w:type="dxa"/>
            <w:noWrap w:val="0"/>
            <w:vAlign w:val="center"/>
          </w:tcPr>
          <w:p>
            <w:pPr>
              <w:jc w:val="left"/>
              <w:rPr>
                <w:rFonts w:hint="eastAsia" w:asciiTheme="minorEastAsia" w:hAnsiTheme="minorEastAsia" w:eastAsiaTheme="minorEastAsia" w:cstheme="minorEastAsia"/>
                <w:sz w:val="23"/>
                <w:lang w:eastAsia="zh-CN"/>
              </w:rPr>
            </w:pPr>
            <w:r>
              <w:rPr>
                <w:rFonts w:hint="eastAsia" w:asciiTheme="minorEastAsia" w:hAnsiTheme="minorEastAsia" w:eastAsiaTheme="minorEastAsia" w:cstheme="minorEastAsia"/>
                <w:kern w:val="2"/>
                <w:sz w:val="24"/>
                <w:szCs w:val="24"/>
              </w:rPr>
              <w:t>匹克球地</w:t>
            </w:r>
            <w:r>
              <w:rPr>
                <w:rFonts w:hint="eastAsia" w:asciiTheme="minorEastAsia" w:hAnsiTheme="minorEastAsia" w:eastAsiaTheme="minorEastAsia" w:cstheme="minorEastAsia"/>
                <w:kern w:val="2"/>
                <w:sz w:val="24"/>
                <w:szCs w:val="24"/>
                <w:lang w:val="en-US" w:eastAsia="zh-CN"/>
              </w:rPr>
              <w:t>胶</w:t>
            </w:r>
            <w:r>
              <w:rPr>
                <w:rFonts w:hint="eastAsia" w:asciiTheme="minorEastAsia" w:hAnsiTheme="minorEastAsia" w:eastAsiaTheme="minorEastAsia" w:cstheme="minorEastAsia"/>
                <w:kern w:val="2"/>
                <w:sz w:val="24"/>
                <w:szCs w:val="24"/>
                <w:lang w:eastAsia="zh-CN"/>
              </w:rPr>
              <w:t>（室内外通用）</w:t>
            </w:r>
          </w:p>
        </w:tc>
        <w:tc>
          <w:tcPr>
            <w:tcW w:w="741" w:type="dxa"/>
            <w:noWrap w:val="0"/>
            <w:vAlign w:val="center"/>
          </w:tcPr>
          <w:p>
            <w:pPr>
              <w:jc w:val="center"/>
              <w:rPr>
                <w:rFonts w:hint="eastAsia" w:asciiTheme="majorEastAsia" w:hAnsiTheme="majorEastAsia" w:eastAsiaTheme="majorEastAsia" w:cstheme="majorEastAsia"/>
                <w:sz w:val="23"/>
                <w:lang w:eastAsia="zh-CN"/>
              </w:rPr>
            </w:pPr>
            <w:r>
              <w:rPr>
                <w:rFonts w:hint="eastAsia" w:asciiTheme="majorEastAsia" w:hAnsiTheme="majorEastAsia" w:eastAsiaTheme="majorEastAsia" w:cstheme="majorEastAsia"/>
                <w:sz w:val="23"/>
                <w:lang w:val="en-US" w:eastAsia="zh-CN"/>
              </w:rPr>
              <w:t>1</w:t>
            </w:r>
          </w:p>
        </w:tc>
        <w:tc>
          <w:tcPr>
            <w:tcW w:w="776" w:type="dxa"/>
            <w:noWrap w:val="0"/>
            <w:vAlign w:val="center"/>
          </w:tcPr>
          <w:p>
            <w:pPr>
              <w:jc w:val="center"/>
              <w:rPr>
                <w:rFonts w:hint="eastAsia" w:asciiTheme="majorEastAsia" w:hAnsiTheme="majorEastAsia" w:eastAsiaTheme="majorEastAsia" w:cstheme="majorEastAsia"/>
                <w:sz w:val="23"/>
                <w:lang w:eastAsia="zh-CN"/>
              </w:rPr>
            </w:pPr>
            <w:r>
              <w:rPr>
                <w:rFonts w:hint="eastAsia" w:asciiTheme="majorEastAsia" w:hAnsiTheme="majorEastAsia" w:eastAsiaTheme="majorEastAsia" w:cstheme="majorEastAsia"/>
                <w:bCs/>
                <w:szCs w:val="21"/>
                <w:lang w:eastAsia="zh-CN"/>
              </w:rPr>
              <w:t>片</w:t>
            </w:r>
          </w:p>
        </w:tc>
        <w:tc>
          <w:tcPr>
            <w:tcW w:w="6315" w:type="dxa"/>
            <w:noWrap w:val="0"/>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bookmarkStart w:id="9" w:name="OLE_LINK2"/>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rPr>
              <w:t>匹克球专用运动地</w:t>
            </w:r>
            <w:r>
              <w:rPr>
                <w:rFonts w:hint="eastAsia" w:asciiTheme="majorEastAsia" w:hAnsiTheme="majorEastAsia" w:eastAsiaTheme="majorEastAsia" w:cstheme="majorEastAsia"/>
                <w:lang w:val="en-US" w:eastAsia="zh-CN"/>
              </w:rPr>
              <w:t>胶</w:t>
            </w:r>
            <w:r>
              <w:rPr>
                <w:rFonts w:hint="eastAsia" w:asciiTheme="majorEastAsia" w:hAnsiTheme="majorEastAsia" w:eastAsiaTheme="majorEastAsia" w:cstheme="majorEastAsia"/>
              </w:rPr>
              <w:t>，</w:t>
            </w:r>
            <w:r>
              <w:rPr>
                <w:rFonts w:hint="eastAsia" w:asciiTheme="majorEastAsia" w:hAnsiTheme="majorEastAsia" w:eastAsiaTheme="majorEastAsia" w:cstheme="majorEastAsia"/>
                <w:lang w:eastAsia="zh-CN"/>
              </w:rPr>
              <w:t>专业体育运动设施</w:t>
            </w:r>
            <w:r>
              <w:rPr>
                <w:rFonts w:hint="eastAsia" w:asciiTheme="majorEastAsia" w:hAnsiTheme="majorEastAsia" w:eastAsiaTheme="majorEastAsia" w:cstheme="majorEastAsia"/>
                <w:lang w:val="en-US" w:eastAsia="zh-CN"/>
              </w:rPr>
              <w:t>知名品牌厂家，</w:t>
            </w:r>
            <w:r>
              <w:rPr>
                <w:rFonts w:hint="eastAsia" w:asciiTheme="majorEastAsia" w:hAnsiTheme="majorEastAsia" w:eastAsiaTheme="majorEastAsia" w:cstheme="majorEastAsia"/>
              </w:rPr>
              <w:t>采用多层复合PVC材料，高品质环保原材料，无毒无味，绿色安全。耐高低温，安装便捷，色彩美观。可抗褪色、抗老化出油，专业纹路，</w:t>
            </w:r>
            <w:r>
              <w:rPr>
                <w:rFonts w:hint="eastAsia" w:asciiTheme="majorEastAsia" w:hAnsiTheme="majorEastAsia" w:eastAsiaTheme="majorEastAsia" w:cstheme="majorEastAsia"/>
                <w:lang w:val="en-US" w:eastAsia="zh-CN"/>
              </w:rPr>
              <w:t>防潮耐高温，</w:t>
            </w:r>
            <w:r>
              <w:rPr>
                <w:rFonts w:hint="eastAsia" w:asciiTheme="majorEastAsia" w:hAnsiTheme="majorEastAsia" w:eastAsiaTheme="majorEastAsia" w:cstheme="majorEastAsia"/>
              </w:rPr>
              <w:t>适合专业匹克球</w:t>
            </w:r>
            <w:r>
              <w:rPr>
                <w:rFonts w:hint="eastAsia" w:asciiTheme="majorEastAsia" w:hAnsiTheme="majorEastAsia" w:eastAsiaTheme="majorEastAsia" w:cstheme="majorEastAsia"/>
                <w:lang w:eastAsia="zh-CN"/>
              </w:rPr>
              <w:t>室内和室外</w:t>
            </w:r>
            <w:r>
              <w:rPr>
                <w:rFonts w:hint="eastAsia" w:asciiTheme="majorEastAsia" w:hAnsiTheme="majorEastAsia" w:eastAsiaTheme="majorEastAsia" w:cstheme="majorEastAsia"/>
              </w:rPr>
              <w:t>场地使用。</w:t>
            </w:r>
            <w:r>
              <w:rPr>
                <w:rFonts w:hint="eastAsia" w:asciiTheme="majorEastAsia" w:hAnsiTheme="majorEastAsia" w:eastAsiaTheme="majorEastAsia" w:cstheme="majorEastAsia"/>
                <w:lang w:val="en-US" w:eastAsia="zh-CN"/>
              </w:rPr>
              <w:t>包安装嵌入地铺设。</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1.单卷面积尺寸：15m*7.2m＝27㎡</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2.厚度规格：3.0mm-4.5mm</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3.标准场地铺装总尺寸（含缓冲区）：9.14m*18.29m</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4</w:t>
            </w:r>
            <w:r>
              <w:rPr>
                <w:rFonts w:hint="eastAsia" w:asciiTheme="majorEastAsia" w:hAnsiTheme="majorEastAsia" w:eastAsiaTheme="majorEastAsia" w:cstheme="majorEastAsia"/>
              </w:rPr>
              <w:t>.外观：无裂纹、断裂、分层、折皱、气泡、漏印、缺膜、套印偏差、色差、污染、图案变形等现象。</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5.表面纹路：水晶细沙纹，哑光不反光、摩擦力均衡，急停不打滑。</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6</w:t>
            </w:r>
            <w:r>
              <w:rPr>
                <w:rFonts w:hint="eastAsia" w:asciiTheme="majorEastAsia" w:hAnsiTheme="majorEastAsia" w:eastAsiaTheme="majorEastAsia" w:cstheme="majorEastAsia"/>
              </w:rPr>
              <w:t>.耐磨性T级≤2.0mm³</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7</w:t>
            </w:r>
            <w:r>
              <w:rPr>
                <w:rFonts w:hint="eastAsia" w:asciiTheme="majorEastAsia" w:hAnsiTheme="majorEastAsia" w:eastAsiaTheme="majorEastAsia" w:cstheme="majorEastAsia"/>
              </w:rPr>
              <w:t>.焊接强度平均值≥240N/50mm</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8</w:t>
            </w:r>
            <w:r>
              <w:rPr>
                <w:rFonts w:hint="eastAsia" w:asciiTheme="majorEastAsia" w:hAnsiTheme="majorEastAsia" w:eastAsiaTheme="majorEastAsia" w:cstheme="majorEastAsia"/>
              </w:rPr>
              <w:t>.氯乙烯单体≤5mg/kg</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9</w:t>
            </w:r>
            <w:r>
              <w:rPr>
                <w:rFonts w:hint="eastAsia" w:asciiTheme="majorEastAsia" w:hAnsiTheme="majorEastAsia" w:eastAsiaTheme="majorEastAsia" w:cstheme="majorEastAsia"/>
              </w:rPr>
              <w:t>.可溶性铅≤20mg/㎡</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10</w:t>
            </w:r>
            <w:r>
              <w:rPr>
                <w:rFonts w:hint="eastAsia" w:asciiTheme="majorEastAsia" w:hAnsiTheme="majorEastAsia" w:eastAsiaTheme="majorEastAsia" w:cstheme="majorEastAsia"/>
              </w:rPr>
              <w:t>.可溶性镉≤20mg/㎡</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11</w:t>
            </w:r>
            <w:r>
              <w:rPr>
                <w:rFonts w:hint="eastAsia" w:asciiTheme="majorEastAsia" w:hAnsiTheme="majorEastAsia" w:eastAsiaTheme="majorEastAsia" w:cstheme="majorEastAsia"/>
              </w:rPr>
              <w:t>.甲苯、二甲苯和乙苯总和：≤1.0mg/(m².h)</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r>
              <w:rPr>
                <w:rFonts w:hint="eastAsia" w:asciiTheme="majorEastAsia" w:hAnsiTheme="majorEastAsia" w:eastAsiaTheme="majorEastAsia" w:cstheme="majorEastAsia"/>
                <w:lang w:val="en-US" w:eastAsia="zh-CN"/>
              </w:rPr>
              <w:t>2</w:t>
            </w:r>
            <w:r>
              <w:rPr>
                <w:rFonts w:hint="eastAsia" w:asciiTheme="majorEastAsia" w:hAnsiTheme="majorEastAsia" w:eastAsiaTheme="majorEastAsia" w:cstheme="majorEastAsia"/>
              </w:rPr>
              <w:t>.短链氯化石蜡（C10-C13）≤1.5g /kg</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r>
              <w:rPr>
                <w:rFonts w:hint="eastAsia" w:asciiTheme="majorEastAsia" w:hAnsiTheme="majorEastAsia" w:eastAsiaTheme="majorEastAsia" w:cstheme="majorEastAsia"/>
                <w:lang w:val="en-US" w:eastAsia="zh-CN"/>
              </w:rPr>
              <w:t>3</w:t>
            </w:r>
            <w:r>
              <w:rPr>
                <w:rFonts w:hint="eastAsia" w:asciiTheme="majorEastAsia" w:hAnsiTheme="majorEastAsia" w:eastAsiaTheme="majorEastAsia" w:cstheme="majorEastAsia"/>
              </w:rPr>
              <w:t>.为了有效降低病毒的传播效率，经耐消毒水-中性洗涤剂循环试验不低于2000h后，检测周期不低于老化时长，抗滑值依据GB36246-2018标准80-110，尺寸变化率≤0.4%，硬度依据GB/T531.1-2008标准70-95Shore A。须提供具有CMA和CNAS标识的对此项要求的单独测试合格检测报告及全国认证认可信息公共服务平台查询截图。</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r>
              <w:rPr>
                <w:rFonts w:hint="eastAsia" w:asciiTheme="majorEastAsia" w:hAnsiTheme="majorEastAsia" w:eastAsiaTheme="majorEastAsia" w:cstheme="majorEastAsia"/>
                <w:lang w:val="en-US" w:eastAsia="zh-CN"/>
              </w:rPr>
              <w:t>4</w:t>
            </w:r>
            <w:r>
              <w:rPr>
                <w:rFonts w:hint="eastAsia" w:asciiTheme="majorEastAsia" w:hAnsiTheme="majorEastAsia" w:eastAsiaTheme="majorEastAsia" w:cstheme="majorEastAsia"/>
              </w:rPr>
              <w:t>.为保证产品在四季变化条件下性能稳定，需完成环境适应性试验，循环测试（湿热-冻融-氙灯-雨水浸泡）总时长不低于2000h后，检测周期不低于老化时长，尺寸变化率≤0.4%，抗滑值依据GB36246-2018标准80-110，须提供具有CMA和CNAS标识的对此项要求的单独检测报告和全国认证认可信息公共服务平台查询截图。</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r>
              <w:rPr>
                <w:rFonts w:hint="eastAsia" w:asciiTheme="majorEastAsia" w:hAnsiTheme="majorEastAsia" w:eastAsiaTheme="majorEastAsia" w:cstheme="majorEastAsia"/>
                <w:lang w:val="en-US" w:eastAsia="zh-CN"/>
              </w:rPr>
              <w:t>5</w:t>
            </w:r>
            <w:r>
              <w:rPr>
                <w:rFonts w:hint="eastAsia" w:asciiTheme="majorEastAsia" w:hAnsiTheme="majorEastAsia" w:eastAsiaTheme="majorEastAsia" w:cstheme="majorEastAsia"/>
              </w:rPr>
              <w:t>.为保证产品耐老化性，提供送样日期到签发日期不低于336h耐湿热老化后，拉伸强度老化前后≥0.7MPa,拉断伸长率老化前后≥90%，老化前后保持率≥80%检测报告。须提供具有CMA和CNAS标识的对此项要求的单独测试合格检测报告及全国认证认可信息公共服务平台查询截图。</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r>
              <w:rPr>
                <w:rFonts w:hint="eastAsia" w:asciiTheme="majorEastAsia" w:hAnsiTheme="majorEastAsia" w:eastAsiaTheme="majorEastAsia" w:cstheme="majorEastAsia"/>
                <w:lang w:val="en-US" w:eastAsia="zh-CN"/>
              </w:rPr>
              <w:t>6</w:t>
            </w:r>
            <w:r>
              <w:rPr>
                <w:rFonts w:hint="eastAsia" w:asciiTheme="majorEastAsia" w:hAnsiTheme="majorEastAsia" w:eastAsiaTheme="majorEastAsia" w:cstheme="majorEastAsia"/>
              </w:rPr>
              <w:t>.为保证标志标线清晰耐用,运动地板专用面漆涂层，经过1000小时的氙灯老化后，检测周期不低于老化时长，外观无明显色差，无剥落，无开裂，无粉化，无明显变化，附着力参考GB/T 9286-2021标准：0级，须提供具有CMA标识的对此项要求的单独测试合格检测报告和全国认证认可信息公共服务平台查询截图</w:t>
            </w:r>
            <w:bookmarkEnd w:id="9"/>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17.质保期为5年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62" w:hRule="atLeast"/>
        </w:trPr>
        <w:tc>
          <w:tcPr>
            <w:tcW w:w="778" w:type="dxa"/>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7" w:type="dxa"/>
            <w:noWrap w:val="0"/>
            <w:vAlign w:val="center"/>
          </w:tcPr>
          <w:p>
            <w:pPr>
              <w:jc w:val="center"/>
              <w:rPr>
                <w:rFonts w:hint="eastAsia" w:asciiTheme="minorEastAsia" w:hAnsiTheme="minorEastAsia" w:eastAsiaTheme="minorEastAsia" w:cstheme="minorEastAsia"/>
                <w:sz w:val="23"/>
              </w:rPr>
            </w:pPr>
            <w:bookmarkStart w:id="10" w:name="OLE_LINK3"/>
            <w:r>
              <w:rPr>
                <w:rFonts w:hint="eastAsia" w:asciiTheme="minorEastAsia" w:hAnsiTheme="minorEastAsia" w:eastAsiaTheme="minorEastAsia" w:cstheme="minorEastAsia"/>
                <w:kern w:val="2"/>
                <w:sz w:val="24"/>
                <w:szCs w:val="24"/>
                <w:lang w:val="en-US" w:eastAsia="zh-CN"/>
              </w:rPr>
              <w:t>移动匹克球柱（含网）</w:t>
            </w:r>
            <w:bookmarkEnd w:id="10"/>
          </w:p>
        </w:tc>
        <w:tc>
          <w:tcPr>
            <w:tcW w:w="741" w:type="dxa"/>
            <w:noWrap w:val="0"/>
            <w:vAlign w:val="center"/>
          </w:tcPr>
          <w:p>
            <w:pPr>
              <w:jc w:val="center"/>
              <w:rPr>
                <w:rFonts w:hint="eastAsia" w:asciiTheme="majorEastAsia" w:hAnsiTheme="majorEastAsia" w:eastAsiaTheme="majorEastAsia" w:cstheme="majorEastAsia"/>
                <w:bCs/>
                <w:szCs w:val="21"/>
                <w:lang w:val="en-US" w:eastAsia="zh-CN"/>
              </w:rPr>
            </w:pPr>
            <w:r>
              <w:rPr>
                <w:rFonts w:hint="eastAsia" w:asciiTheme="majorEastAsia" w:hAnsiTheme="majorEastAsia" w:eastAsiaTheme="majorEastAsia" w:cstheme="majorEastAsia"/>
                <w:bCs/>
                <w:szCs w:val="21"/>
                <w:lang w:val="en-US" w:eastAsia="zh-CN"/>
              </w:rPr>
              <w:t>1</w:t>
            </w:r>
          </w:p>
        </w:tc>
        <w:tc>
          <w:tcPr>
            <w:tcW w:w="776" w:type="dxa"/>
            <w:noWrap w:val="0"/>
            <w:vAlign w:val="center"/>
          </w:tcPr>
          <w:p>
            <w:pPr>
              <w:jc w:val="center"/>
              <w:rPr>
                <w:rFonts w:hint="eastAsia" w:asciiTheme="majorEastAsia" w:hAnsiTheme="majorEastAsia" w:eastAsiaTheme="majorEastAsia" w:cstheme="majorEastAsia"/>
                <w:bCs/>
                <w:szCs w:val="21"/>
                <w:lang w:val="en-US" w:eastAsia="zh-CN"/>
              </w:rPr>
            </w:pPr>
            <w:r>
              <w:rPr>
                <w:rFonts w:hint="eastAsia" w:asciiTheme="majorEastAsia" w:hAnsiTheme="majorEastAsia" w:eastAsiaTheme="majorEastAsia" w:cstheme="majorEastAsia"/>
                <w:bCs/>
                <w:szCs w:val="21"/>
                <w:lang w:val="en-US" w:eastAsia="zh-CN"/>
              </w:rPr>
              <w:t>套</w:t>
            </w:r>
          </w:p>
        </w:tc>
        <w:tc>
          <w:tcPr>
            <w:tcW w:w="6315" w:type="dxa"/>
            <w:noWrap w:val="0"/>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1</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材质:全铝合金型材制作可完全回收重复利用，304不锈钢螺丝</w:t>
            </w:r>
            <w:r>
              <w:rPr>
                <w:rFonts w:hint="eastAsia" w:asciiTheme="majorEastAsia" w:hAnsiTheme="majorEastAsia" w:eastAsiaTheme="majorEastAsia" w:cstheme="majorEastAsia"/>
                <w:lang w:eastAsia="zh-CN"/>
              </w:rPr>
              <w:t>。</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2</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工艺:表面经超耐候纯聚酯静电粉末喷涂，颜色十年不脱落，适合全天候环境使用</w:t>
            </w:r>
            <w:r>
              <w:rPr>
                <w:rFonts w:hint="eastAsia" w:asciiTheme="majorEastAsia" w:hAnsiTheme="majorEastAsia" w:eastAsiaTheme="majorEastAsia" w:cstheme="majorEastAsia"/>
                <w:lang w:eastAsia="zh-CN"/>
              </w:rPr>
              <w:t>。</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3</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球柱</w:t>
            </w:r>
            <w:r>
              <w:rPr>
                <w:rFonts w:hint="eastAsia" w:asciiTheme="majorEastAsia" w:hAnsiTheme="majorEastAsia" w:eastAsiaTheme="majorEastAsia" w:cstheme="majorEastAsia"/>
                <w:lang w:val="en-US" w:eastAsia="zh-CN"/>
              </w:rPr>
              <w:t>带轮有支架，</w:t>
            </w:r>
            <w:r>
              <w:rPr>
                <w:rFonts w:hint="eastAsia" w:asciiTheme="majorEastAsia" w:hAnsiTheme="majorEastAsia" w:eastAsiaTheme="majorEastAsia" w:cstheme="majorEastAsia"/>
              </w:rPr>
              <w:t>横杆采用80x40x2mm铝合金方管，球柱立柱采用40xφ8mm铝合金圆管，配备专用</w:t>
            </w:r>
            <w:r>
              <w:rPr>
                <w:rFonts w:hint="eastAsia" w:asciiTheme="majorEastAsia" w:hAnsiTheme="majorEastAsia" w:eastAsiaTheme="majorEastAsia" w:cstheme="majorEastAsia"/>
                <w:lang w:val="en-US" w:eastAsia="zh-CN"/>
              </w:rPr>
              <w:t>标准</w:t>
            </w:r>
            <w:r>
              <w:rPr>
                <w:rFonts w:hint="eastAsia" w:asciiTheme="majorEastAsia" w:hAnsiTheme="majorEastAsia" w:eastAsiaTheme="majorEastAsia" w:cstheme="majorEastAsia"/>
              </w:rPr>
              <w:t>匹克球网(含中心索带)线径2mm，网孔45x45mm(单层)</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球网应由不允许球穿过的网状织物材料（如高强度尼龙或聚酯纤维）制成，网眼尺寸应小于或等于50mm×50mm。球网顶部需采用宽5.08厘米（2英寸）的白色胶带固定，胶带内需穿过绳索或线缆，以紧贴绳索；球网下沿需有较厚的织物胶带或乙烯基条加固，以保持网形稳定</w:t>
            </w:r>
            <w:r>
              <w:rPr>
                <w:rFonts w:hint="eastAsia" w:asciiTheme="majorEastAsia" w:hAnsiTheme="majorEastAsia" w:eastAsiaTheme="majorEastAsia" w:cstheme="majorEastAsia"/>
                <w:lang w:eastAsia="zh-CN"/>
              </w:rPr>
              <w:t>。</w:t>
            </w:r>
            <w:bookmarkStart w:id="14" w:name="_GoBack"/>
            <w:bookmarkEnd w:id="14"/>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bookmarkStart w:id="11" w:name="OLE_LINK1"/>
            <w:r>
              <w:rPr>
                <w:rFonts w:hint="eastAsia" w:asciiTheme="majorEastAsia" w:hAnsiTheme="majorEastAsia" w:eastAsiaTheme="majorEastAsia" w:cstheme="majorEastAsia"/>
              </w:rPr>
              <w:t>4</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占地面积:长6895x宽758x高914mm</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lang w:val="en-US" w:eastAsia="zh-CN"/>
              </w:rPr>
              <w:t>含安装</w:t>
            </w:r>
          </w:p>
          <w:bookmarkEnd w:id="11"/>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5</w:t>
            </w:r>
            <w:r>
              <w:rPr>
                <w:rFonts w:hint="eastAsia" w:asciiTheme="majorEastAsia" w:hAnsiTheme="majorEastAsia" w:eastAsiaTheme="majorEastAsia" w:cstheme="majorEastAsia"/>
                <w:lang w:val="en-US" w:eastAsia="zh-CN"/>
              </w:rPr>
              <w:t>.</w:t>
            </w:r>
            <w:r>
              <w:rPr>
                <w:rFonts w:hint="eastAsia" w:asciiTheme="majorEastAsia" w:hAnsiTheme="majorEastAsia" w:eastAsiaTheme="majorEastAsia" w:cstheme="majorEastAsia"/>
              </w:rPr>
              <w:t>为保证产品的品质及耐用性，球柱管材需提供具有CMA或CNAS标志的紫外老化试验报告，符合GB/T 23987-2009标准要求，通过≥1500h紫外老化试验后，检测结果样品无气泡、无裂纹、变色等级≤2级。</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6</w:t>
            </w:r>
            <w:r>
              <w:rPr>
                <w:rFonts w:hint="eastAsia" w:asciiTheme="majorEastAsia" w:hAnsiTheme="majorEastAsia" w:eastAsiaTheme="majorEastAsia" w:cstheme="majorEastAsia"/>
                <w:lang w:val="en-US" w:eastAsia="zh-CN"/>
              </w:rPr>
              <w:t>.</w:t>
            </w:r>
            <w:r>
              <w:rPr>
                <w:rFonts w:hint="eastAsia" w:asciiTheme="majorEastAsia" w:hAnsiTheme="majorEastAsia" w:eastAsiaTheme="majorEastAsia" w:cstheme="majorEastAsia"/>
              </w:rPr>
              <w:t>为保证产品的稳固性，球柱固定螺丝需提供具有CMA或CNAS标志的防松动性能试验报告，依据《GJB 150.16A-2009》标准要求，经受≥100万次频率100Hz、振幅0.2mm的正弦波震动试验后，检测结果螺丝均无松动</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rPr>
            </w:pPr>
            <w:r>
              <w:rPr>
                <w:rFonts w:hint="eastAsia" w:asciiTheme="majorEastAsia" w:hAnsiTheme="majorEastAsia" w:eastAsiaTheme="majorEastAsia" w:cstheme="majorEastAsia"/>
              </w:rPr>
              <w:t>7</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为保证运动场地使用材料的安全环保性，产品表面所用聚酯粉末需提供具有CMA或CNAS标志的挥发性有机物VOCs含量检测报告，符合《GB/T 34682-2017》标准要求，检测结果VOCs含量≤15g/L。</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8.质保期为3年。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1" w:hRule="atLeast"/>
        </w:trPr>
        <w:tc>
          <w:tcPr>
            <w:tcW w:w="778" w:type="dxa"/>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1207" w:type="dxa"/>
            <w:noWrap w:val="0"/>
            <w:vAlign w:val="center"/>
          </w:tcPr>
          <w:p>
            <w:pPr>
              <w:jc w:val="center"/>
              <w:rPr>
                <w:rFonts w:hint="eastAsia" w:asciiTheme="minorEastAsia" w:hAnsiTheme="minorEastAsia" w:eastAsiaTheme="minorEastAsia" w:cstheme="minorEastAsia"/>
                <w:sz w:val="23"/>
                <w:lang w:val="en-US" w:eastAsia="zh-CN"/>
              </w:rPr>
            </w:pPr>
            <w:bookmarkStart w:id="12" w:name="OLE_LINK4"/>
            <w:r>
              <w:rPr>
                <w:rFonts w:hint="eastAsia" w:asciiTheme="minorEastAsia" w:hAnsiTheme="minorEastAsia" w:eastAsiaTheme="minorEastAsia" w:cstheme="minorEastAsia"/>
                <w:kern w:val="2"/>
                <w:sz w:val="24"/>
                <w:szCs w:val="24"/>
                <w:lang w:val="en-US" w:eastAsia="zh-CN"/>
              </w:rPr>
              <w:t>球场照明灯</w:t>
            </w:r>
            <w:bookmarkEnd w:id="12"/>
          </w:p>
        </w:tc>
        <w:tc>
          <w:tcPr>
            <w:tcW w:w="741" w:type="dxa"/>
            <w:noWrap w:val="0"/>
            <w:vAlign w:val="center"/>
          </w:tcPr>
          <w:p>
            <w:pPr>
              <w:jc w:val="center"/>
              <w:rPr>
                <w:rFonts w:hint="eastAsia" w:asciiTheme="majorEastAsia" w:hAnsiTheme="majorEastAsia" w:eastAsiaTheme="majorEastAsia" w:cstheme="majorEastAsia"/>
                <w:bCs/>
                <w:szCs w:val="21"/>
                <w:lang w:val="en-US" w:eastAsia="zh-CN"/>
              </w:rPr>
            </w:pPr>
            <w:r>
              <w:rPr>
                <w:rFonts w:hint="eastAsia" w:asciiTheme="majorEastAsia" w:hAnsiTheme="majorEastAsia" w:eastAsiaTheme="majorEastAsia" w:cstheme="majorEastAsia"/>
                <w:bCs/>
                <w:szCs w:val="21"/>
                <w:lang w:val="en-US" w:eastAsia="zh-CN"/>
              </w:rPr>
              <w:t>6</w:t>
            </w:r>
          </w:p>
        </w:tc>
        <w:tc>
          <w:tcPr>
            <w:tcW w:w="776" w:type="dxa"/>
            <w:noWrap w:val="0"/>
            <w:vAlign w:val="center"/>
          </w:tcPr>
          <w:p>
            <w:pPr>
              <w:jc w:val="center"/>
              <w:rPr>
                <w:rFonts w:hint="eastAsia" w:asciiTheme="majorEastAsia" w:hAnsiTheme="majorEastAsia" w:eastAsiaTheme="majorEastAsia" w:cstheme="majorEastAsia"/>
                <w:bCs/>
                <w:szCs w:val="21"/>
                <w:lang w:val="en-US" w:eastAsia="zh-CN"/>
              </w:rPr>
            </w:pPr>
            <w:r>
              <w:rPr>
                <w:rFonts w:hint="eastAsia" w:asciiTheme="majorEastAsia" w:hAnsiTheme="majorEastAsia" w:eastAsiaTheme="majorEastAsia" w:cstheme="majorEastAsia"/>
                <w:bCs/>
                <w:szCs w:val="21"/>
                <w:lang w:val="en-US" w:eastAsia="zh-CN"/>
              </w:rPr>
              <w:t>盏</w:t>
            </w:r>
          </w:p>
        </w:tc>
        <w:tc>
          <w:tcPr>
            <w:tcW w:w="6315" w:type="dxa"/>
            <w:noWrap w:val="0"/>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left"/>
              <w:textAlignment w:val="auto"/>
              <w:rPr>
                <w:rFonts w:hint="eastAsia" w:asciiTheme="majorEastAsia" w:hAnsiTheme="majorEastAsia" w:eastAsiaTheme="majorEastAsia" w:cstheme="majorEastAsia"/>
                <w:kern w:val="2"/>
                <w:sz w:val="24"/>
                <w:szCs w:val="24"/>
                <w:lang w:val="en-US" w:eastAsia="zh-CN"/>
              </w:rPr>
            </w:pPr>
            <w:r>
              <w:rPr>
                <w:rFonts w:hint="eastAsia" w:asciiTheme="majorEastAsia" w:hAnsiTheme="majorEastAsia" w:eastAsiaTheme="majorEastAsia" w:cstheme="majorEastAsia"/>
                <w:vertAlign w:val="baseline"/>
                <w:lang w:val="en-US" w:eastAsia="zh-CN"/>
              </w:rPr>
              <w:t>1</w:t>
            </w:r>
            <w:r>
              <w:rPr>
                <w:rFonts w:hint="eastAsia" w:asciiTheme="majorEastAsia" w:hAnsiTheme="majorEastAsia" w:eastAsiaTheme="majorEastAsia" w:cstheme="majorEastAsia"/>
                <w:kern w:val="2"/>
                <w:sz w:val="24"/>
                <w:szCs w:val="24"/>
                <w:lang w:val="en-US" w:eastAsia="zh-CN"/>
              </w:rPr>
              <w:t>.功率：150W</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left"/>
              <w:textAlignment w:val="auto"/>
              <w:rPr>
                <w:rFonts w:hint="default" w:asciiTheme="majorEastAsia" w:hAnsiTheme="majorEastAsia" w:eastAsiaTheme="majorEastAsia" w:cstheme="majorEastAsia"/>
                <w:kern w:val="2"/>
                <w:sz w:val="24"/>
                <w:szCs w:val="24"/>
                <w:lang w:val="en-US" w:eastAsia="zh-CN"/>
              </w:rPr>
            </w:pPr>
            <w:r>
              <w:rPr>
                <w:rFonts w:hint="default" w:asciiTheme="majorEastAsia" w:hAnsiTheme="majorEastAsia" w:eastAsiaTheme="majorEastAsia" w:cstheme="majorEastAsia"/>
                <w:kern w:val="2"/>
                <w:sz w:val="24"/>
                <w:szCs w:val="24"/>
                <w:lang w:val="en-US" w:eastAsia="zh-CN"/>
              </w:rPr>
              <w:t>2</w:t>
            </w:r>
            <w:r>
              <w:rPr>
                <w:rFonts w:hint="eastAsia" w:asciiTheme="majorEastAsia" w:hAnsiTheme="majorEastAsia" w:eastAsiaTheme="majorEastAsia" w:cstheme="majorEastAsia"/>
                <w:kern w:val="2"/>
                <w:sz w:val="24"/>
                <w:szCs w:val="24"/>
                <w:lang w:val="en-US" w:eastAsia="zh-CN"/>
              </w:rPr>
              <w:t>.体育场地专用LED</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left"/>
              <w:textAlignment w:val="auto"/>
              <w:rPr>
                <w:rFonts w:hint="eastAsia" w:asciiTheme="majorEastAsia" w:hAnsiTheme="majorEastAsia" w:eastAsiaTheme="majorEastAsia" w:cstheme="majorEastAsia"/>
                <w:kern w:val="2"/>
                <w:sz w:val="24"/>
                <w:szCs w:val="24"/>
                <w:lang w:val="en-US" w:eastAsia="zh-CN"/>
              </w:rPr>
            </w:pPr>
            <w:r>
              <w:rPr>
                <w:rFonts w:hint="eastAsia" w:asciiTheme="majorEastAsia" w:hAnsiTheme="majorEastAsia" w:eastAsiaTheme="majorEastAsia" w:cstheme="majorEastAsia"/>
                <w:kern w:val="2"/>
                <w:sz w:val="24"/>
                <w:szCs w:val="24"/>
                <w:lang w:val="en-US" w:eastAsia="zh-CN"/>
              </w:rPr>
              <w:t>3.铝材+ABS面罩</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left"/>
              <w:textAlignment w:val="auto"/>
              <w:rPr>
                <w:rFonts w:hint="eastAsia" w:asciiTheme="majorEastAsia" w:hAnsiTheme="majorEastAsia" w:eastAsiaTheme="majorEastAsia" w:cstheme="majorEastAsia"/>
                <w:kern w:val="2"/>
                <w:sz w:val="24"/>
                <w:szCs w:val="24"/>
                <w:lang w:val="en-US" w:eastAsia="zh-CN"/>
              </w:rPr>
            </w:pPr>
            <w:r>
              <w:rPr>
                <w:rFonts w:hint="eastAsia" w:asciiTheme="majorEastAsia" w:hAnsiTheme="majorEastAsia" w:eastAsiaTheme="majorEastAsia" w:cstheme="majorEastAsia"/>
                <w:kern w:val="2"/>
                <w:sz w:val="24"/>
                <w:szCs w:val="24"/>
                <w:lang w:val="en-US" w:eastAsia="zh-CN"/>
              </w:rPr>
              <w:t xml:space="preserve">4.光通量约30000LM </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left"/>
              <w:textAlignment w:val="auto"/>
              <w:rPr>
                <w:rFonts w:hint="eastAsia" w:asciiTheme="majorEastAsia" w:hAnsiTheme="majorEastAsia" w:eastAsiaTheme="majorEastAsia" w:cstheme="majorEastAsia"/>
                <w:kern w:val="2"/>
                <w:sz w:val="24"/>
                <w:szCs w:val="24"/>
                <w:lang w:val="en-US" w:eastAsia="zh-CN"/>
              </w:rPr>
            </w:pPr>
            <w:r>
              <w:rPr>
                <w:rFonts w:hint="eastAsia" w:asciiTheme="majorEastAsia" w:hAnsiTheme="majorEastAsia" w:eastAsiaTheme="majorEastAsia" w:cstheme="majorEastAsia"/>
                <w:color w:val="auto"/>
                <w:sz w:val="24"/>
                <w:szCs w:val="24"/>
                <w:lang w:val="en-US" w:eastAsia="zh-CN"/>
              </w:rPr>
              <w:t>5.质保期为3年</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left"/>
              <w:textAlignment w:val="auto"/>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kern w:val="2"/>
                <w:sz w:val="24"/>
                <w:szCs w:val="24"/>
                <w:lang w:val="en-US" w:eastAsia="zh-CN"/>
              </w:rPr>
              <w:t>包含安装管材、线材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8" w:hRule="atLeast"/>
        </w:trPr>
        <w:tc>
          <w:tcPr>
            <w:tcW w:w="778" w:type="dxa"/>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207" w:type="dxa"/>
            <w:noWrap w:val="0"/>
            <w:vAlign w:val="center"/>
          </w:tcPr>
          <w:p>
            <w:pPr>
              <w:jc w:val="center"/>
              <w:rPr>
                <w:rFonts w:hint="eastAsia" w:asciiTheme="minorEastAsia" w:hAnsiTheme="minorEastAsia" w:eastAsiaTheme="minorEastAsia" w:cstheme="minorEastAsia"/>
                <w:sz w:val="23"/>
              </w:rPr>
            </w:pPr>
            <w:bookmarkStart w:id="13" w:name="OLE_LINK5"/>
            <w:r>
              <w:rPr>
                <w:rFonts w:hint="eastAsia" w:asciiTheme="minorEastAsia" w:hAnsiTheme="minorEastAsia" w:eastAsiaTheme="minorEastAsia" w:cstheme="minorEastAsia"/>
                <w:kern w:val="2"/>
                <w:sz w:val="24"/>
                <w:szCs w:val="24"/>
              </w:rPr>
              <w:t>挡板</w:t>
            </w:r>
            <w:bookmarkEnd w:id="13"/>
          </w:p>
        </w:tc>
        <w:tc>
          <w:tcPr>
            <w:tcW w:w="741" w:type="dxa"/>
            <w:noWrap w:val="0"/>
            <w:vAlign w:val="center"/>
          </w:tcPr>
          <w:p>
            <w:pPr>
              <w:jc w:val="center"/>
              <w:rPr>
                <w:rFonts w:hint="eastAsia" w:asciiTheme="majorEastAsia" w:hAnsiTheme="majorEastAsia" w:eastAsiaTheme="majorEastAsia" w:cstheme="majorEastAsia"/>
                <w:bCs/>
                <w:szCs w:val="21"/>
                <w:lang w:val="en-US" w:eastAsia="zh-CN"/>
              </w:rPr>
            </w:pPr>
            <w:r>
              <w:rPr>
                <w:rFonts w:hint="eastAsia" w:asciiTheme="majorEastAsia" w:hAnsiTheme="majorEastAsia" w:eastAsiaTheme="majorEastAsia" w:cstheme="majorEastAsia"/>
                <w:bCs/>
                <w:szCs w:val="21"/>
                <w:lang w:val="en-US" w:eastAsia="zh-CN"/>
              </w:rPr>
              <w:t>10</w:t>
            </w:r>
          </w:p>
        </w:tc>
        <w:tc>
          <w:tcPr>
            <w:tcW w:w="776" w:type="dxa"/>
            <w:noWrap w:val="0"/>
            <w:vAlign w:val="center"/>
          </w:tcPr>
          <w:p>
            <w:pPr>
              <w:jc w:val="center"/>
              <w:rPr>
                <w:rFonts w:hint="eastAsia" w:asciiTheme="majorEastAsia" w:hAnsiTheme="majorEastAsia" w:eastAsiaTheme="majorEastAsia" w:cstheme="majorEastAsia"/>
                <w:bCs/>
                <w:szCs w:val="21"/>
                <w:lang w:val="en-US" w:eastAsia="zh-CN"/>
              </w:rPr>
            </w:pPr>
            <w:r>
              <w:rPr>
                <w:rFonts w:hint="eastAsia" w:asciiTheme="majorEastAsia" w:hAnsiTheme="majorEastAsia" w:eastAsiaTheme="majorEastAsia" w:cstheme="majorEastAsia"/>
                <w:bCs/>
                <w:szCs w:val="21"/>
                <w:lang w:val="en-US" w:eastAsia="zh-CN"/>
              </w:rPr>
              <w:t>块</w:t>
            </w:r>
          </w:p>
        </w:tc>
        <w:tc>
          <w:tcPr>
            <w:tcW w:w="6315" w:type="dxa"/>
            <w:noWrap w:val="0"/>
            <w:vAlign w:val="center"/>
          </w:tcPr>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kern w:val="2"/>
                <w:sz w:val="24"/>
                <w:szCs w:val="24"/>
                <w:lang w:val="en-US" w:eastAsia="zh-CN"/>
              </w:rPr>
            </w:pPr>
            <w:r>
              <w:rPr>
                <w:rFonts w:hint="eastAsia" w:asciiTheme="majorEastAsia" w:hAnsiTheme="majorEastAsia" w:eastAsiaTheme="majorEastAsia" w:cstheme="majorEastAsia"/>
                <w:kern w:val="2"/>
                <w:sz w:val="24"/>
                <w:szCs w:val="24"/>
                <w:lang w:val="en-US" w:eastAsia="zh-CN"/>
              </w:rPr>
              <w:t>1.专用挡板</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lang w:val="en-US" w:eastAsia="zh-CN"/>
              </w:rPr>
              <w:t>2.</w:t>
            </w:r>
            <w:r>
              <w:rPr>
                <w:rFonts w:hint="eastAsia" w:asciiTheme="majorEastAsia" w:hAnsiTheme="majorEastAsia" w:eastAsiaTheme="majorEastAsia" w:cstheme="majorEastAsia"/>
                <w:kern w:val="2"/>
                <w:sz w:val="24"/>
                <w:szCs w:val="24"/>
              </w:rPr>
              <w:t>规格尺寸：134*13.5*36cm</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lang w:val="en-US" w:eastAsia="zh-CN"/>
              </w:rPr>
              <w:t>3.</w:t>
            </w:r>
            <w:r>
              <w:rPr>
                <w:rFonts w:hint="eastAsia" w:asciiTheme="majorEastAsia" w:hAnsiTheme="majorEastAsia" w:eastAsiaTheme="majorEastAsia" w:cstheme="majorEastAsia"/>
                <w:kern w:val="2"/>
                <w:sz w:val="24"/>
                <w:szCs w:val="24"/>
              </w:rPr>
              <w:t>材质：优质钢管防水牛津布</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exact"/>
              <w:ind w:firstLine="480" w:firstLineChars="200"/>
              <w:jc w:val="both"/>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4.知名品牌</w:t>
            </w:r>
          </w:p>
        </w:tc>
      </w:tr>
    </w:tbl>
    <w:p/>
    <w:sectPr>
      <w:footerReference r:id="rId3" w:type="default"/>
      <w:pgSz w:w="11906" w:h="16838"/>
      <w:pgMar w:top="1474" w:right="1134" w:bottom="1134" w:left="1418" w:header="1134" w:footer="107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10"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 PAGE   \* MERGEFORMAT </w:instrText>
    </w:r>
    <w:r>
      <w:fldChar w:fldCharType="separate"/>
    </w:r>
    <w:r>
      <w:rPr>
        <w:lang w:val="zh-CN"/>
      </w:rPr>
      <w:t>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6C352"/>
    <w:multiLevelType w:val="singleLevel"/>
    <w:tmpl w:val="3276C35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NGQ4Yzg2NjQ1MDZjMWM2OTc5ZjgxYmUxNzRhZTAifQ=="/>
  </w:docVars>
  <w:rsids>
    <w:rsidRoot w:val="2F43059D"/>
    <w:rsid w:val="00565F6E"/>
    <w:rsid w:val="00610E1A"/>
    <w:rsid w:val="00E128BA"/>
    <w:rsid w:val="00F35C9C"/>
    <w:rsid w:val="03866352"/>
    <w:rsid w:val="0B16075D"/>
    <w:rsid w:val="0C533633"/>
    <w:rsid w:val="0CAB336F"/>
    <w:rsid w:val="0F313A60"/>
    <w:rsid w:val="13C37F7C"/>
    <w:rsid w:val="19741C88"/>
    <w:rsid w:val="1B29692D"/>
    <w:rsid w:val="20A73C6F"/>
    <w:rsid w:val="22147C4B"/>
    <w:rsid w:val="256A1315"/>
    <w:rsid w:val="258E70E1"/>
    <w:rsid w:val="25D235CE"/>
    <w:rsid w:val="2826618E"/>
    <w:rsid w:val="2F43059D"/>
    <w:rsid w:val="2FC46EA0"/>
    <w:rsid w:val="32067DEF"/>
    <w:rsid w:val="32B248DB"/>
    <w:rsid w:val="33F87C9A"/>
    <w:rsid w:val="37024E27"/>
    <w:rsid w:val="38ED3A6E"/>
    <w:rsid w:val="3A2B35BD"/>
    <w:rsid w:val="42A47AE2"/>
    <w:rsid w:val="490F2130"/>
    <w:rsid w:val="4D813E5E"/>
    <w:rsid w:val="510D400B"/>
    <w:rsid w:val="582B3B63"/>
    <w:rsid w:val="59152109"/>
    <w:rsid w:val="598D6DCE"/>
    <w:rsid w:val="5BCE006A"/>
    <w:rsid w:val="66D21AD9"/>
    <w:rsid w:val="67803D61"/>
    <w:rsid w:val="6D8A6DD2"/>
    <w:rsid w:val="6F904BDE"/>
    <w:rsid w:val="6FFF21B0"/>
    <w:rsid w:val="7D1D6559"/>
    <w:rsid w:val="7D8202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5"/>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99"/>
    <w:pPr>
      <w:keepNext/>
      <w:keepLines/>
      <w:tabs>
        <w:tab w:val="left" w:pos="0"/>
      </w:tabs>
      <w:outlineLvl w:val="1"/>
    </w:pPr>
    <w:rPr>
      <w:rFonts w:ascii="宋体" w:hAnsi="宋体" w:cs="宋体"/>
      <w:b/>
      <w:bCs/>
      <w:sz w:val="28"/>
      <w:szCs w:val="2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Document Map"/>
    <w:basedOn w:val="1"/>
    <w:next w:val="1"/>
    <w:semiHidden/>
    <w:qFormat/>
    <w:uiPriority w:val="99"/>
    <w:rPr>
      <w:rFonts w:ascii="宋体"/>
      <w:sz w:val="18"/>
      <w:szCs w:val="18"/>
    </w:rPr>
  </w:style>
  <w:style w:type="paragraph" w:styleId="5">
    <w:name w:val="Body Text"/>
    <w:basedOn w:val="1"/>
    <w:next w:val="6"/>
    <w:qFormat/>
    <w:uiPriority w:val="0"/>
    <w:pPr>
      <w:spacing w:after="120" w:afterAutospacing="0"/>
    </w:p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7">
    <w:name w:val="Body Text Indent"/>
    <w:basedOn w:val="1"/>
    <w:next w:val="8"/>
    <w:qFormat/>
    <w:uiPriority w:val="99"/>
    <w:pPr>
      <w:spacing w:line="360" w:lineRule="auto"/>
      <w:ind w:firstLine="500" w:firstLineChars="200"/>
    </w:pPr>
    <w:rPr>
      <w:rFonts w:ascii="仿宋_GB2312" w:eastAsia="仿宋_GB2312"/>
      <w:sz w:val="24"/>
    </w:rPr>
  </w:style>
  <w:style w:type="paragraph" w:styleId="8">
    <w:name w:val="envelope return"/>
    <w:basedOn w:val="1"/>
    <w:qFormat/>
    <w:uiPriority w:val="99"/>
    <w:pPr>
      <w:snapToGrid w:val="0"/>
    </w:pPr>
    <w:rPr>
      <w:rFonts w:ascii="Arial" w:hAnsi="Arial"/>
    </w:rPr>
  </w:style>
  <w:style w:type="paragraph" w:styleId="9">
    <w:name w:val="footer"/>
    <w:basedOn w:val="1"/>
    <w:unhideWhenUsed/>
    <w:qFormat/>
    <w:uiPriority w:val="0"/>
    <w:pPr>
      <w:tabs>
        <w:tab w:val="center" w:pos="4320"/>
        <w:tab w:val="right" w:pos="8640"/>
      </w:tabs>
      <w:spacing w:before="0" w:after="0" w:line="240" w:lineRule="auto"/>
    </w:pPr>
  </w:style>
  <w:style w:type="paragraph" w:styleId="10">
    <w:name w:val="Body Text First Indent 2"/>
    <w:basedOn w:val="7"/>
    <w:next w:val="1"/>
    <w:qFormat/>
    <w:uiPriority w:val="99"/>
    <w:rPr>
      <w:kern w:val="0"/>
      <w:sz w:val="20"/>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14">
    <w:name w:val="列出段落1"/>
    <w:basedOn w:val="1"/>
    <w:qFormat/>
    <w:uiPriority w:val="34"/>
    <w:pPr>
      <w:ind w:firstLine="420" w:firstLineChars="200"/>
    </w:pPr>
  </w:style>
  <w:style w:type="character" w:customStyle="1" w:styleId="15">
    <w:name w:val="NormalCharacter"/>
    <w:link w:val="1"/>
    <w:qFormat/>
    <w:uiPriority w:val="0"/>
    <w:rPr>
      <w:rFonts w:ascii="Book Antiqua" w:hAnsi="Book Antiqua" w:eastAsia="宋体" w:cs="Times New Roman"/>
      <w:sz w:val="24"/>
      <w:lang w:val="en-US" w:eastAsia="zh-CN" w:bidi="ar-SA"/>
    </w:rPr>
  </w:style>
  <w:style w:type="paragraph" w:customStyle="1" w:styleId="16">
    <w:name w:val="Heading2"/>
    <w:basedOn w:val="1"/>
    <w:next w:val="1"/>
    <w:qFormat/>
    <w:uiPriority w:val="0"/>
    <w:pPr>
      <w:keepNext/>
      <w:keepLines/>
      <w:spacing w:line="413" w:lineRule="auto"/>
      <w:textAlignment w:val="baseline"/>
    </w:pPr>
    <w:rPr>
      <w:rFonts w:ascii="Arial" w:hAnsi="Arial" w:eastAsia="黑体"/>
      <w:b/>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577</Words>
  <Characters>3294</Characters>
  <Lines>27</Lines>
  <Paragraphs>7</Paragraphs>
  <TotalTime>2</TotalTime>
  <ScaleCrop>false</ScaleCrop>
  <LinksUpToDate>false</LinksUpToDate>
  <CharactersWithSpaces>3864</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2023-05-31T09:29:00Z</dcterms:created>
  <dc:creator>左边口袋</dc:creator>
  <cp:lastModifiedBy>王叶</cp:lastModifiedBy>
  <dcterms:modified xsi:type="dcterms:W3CDTF">2026-07-09T00:55:07Z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2764BDCF40F54F9C98F13656451EE1F8</vt:lpwstr>
  </property>
</Properties>
</file>