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C5B91A">
      <w:pPr>
        <w:rPr>
          <w:b/>
          <w:highlight w:val="none"/>
        </w:rPr>
      </w:pPr>
      <w:r>
        <w:rPr>
          <w:b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-1141730</wp:posOffset>
            </wp:positionH>
            <wp:positionV relativeFrom="paragraph">
              <wp:posOffset>-908685</wp:posOffset>
            </wp:positionV>
            <wp:extent cx="7566660" cy="2593340"/>
            <wp:effectExtent l="0" t="0" r="15240" b="16510"/>
            <wp:wrapNone/>
            <wp:docPr id="2" name="图片 3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7566660" cy="259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AF915E">
      <w:pPr>
        <w:bidi w:val="0"/>
        <w:rPr>
          <w:rFonts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E4BCC95">
      <w:pPr>
        <w:bidi w:val="0"/>
        <w:rPr>
          <w:lang w:val="en-US" w:eastAsia="zh-CN"/>
        </w:rPr>
      </w:pPr>
    </w:p>
    <w:p w14:paraId="2D423C72">
      <w:pPr>
        <w:bidi w:val="0"/>
        <w:rPr>
          <w:lang w:val="en-US" w:eastAsia="zh-CN"/>
        </w:rPr>
      </w:pPr>
    </w:p>
    <w:p w14:paraId="491200E0">
      <w:pPr>
        <w:bidi w:val="0"/>
        <w:rPr>
          <w:lang w:val="en-US" w:eastAsia="zh-CN"/>
        </w:rPr>
      </w:pPr>
    </w:p>
    <w:p w14:paraId="3B6295BC">
      <w:pPr>
        <w:bidi w:val="0"/>
        <w:rPr>
          <w:lang w:val="en-US" w:eastAsia="zh-CN"/>
        </w:rPr>
      </w:pPr>
    </w:p>
    <w:p w14:paraId="4B7D39EF">
      <w:pPr>
        <w:bidi w:val="0"/>
        <w:rPr>
          <w:lang w:val="en-US" w:eastAsia="zh-CN"/>
        </w:rPr>
      </w:pPr>
    </w:p>
    <w:p w14:paraId="462CE961">
      <w:pPr>
        <w:bidi w:val="0"/>
        <w:rPr>
          <w:lang w:val="en-US" w:eastAsia="zh-CN"/>
        </w:rPr>
      </w:pPr>
    </w:p>
    <w:p w14:paraId="2B46E2E2">
      <w:pPr>
        <w:bidi w:val="0"/>
        <w:rPr>
          <w:lang w:val="en-US" w:eastAsia="zh-CN"/>
        </w:rPr>
      </w:pPr>
    </w:p>
    <w:p w14:paraId="763C59B1">
      <w:pPr>
        <w:bidi w:val="0"/>
        <w:rPr>
          <w:lang w:val="en-US" w:eastAsia="zh-CN"/>
        </w:rPr>
      </w:pPr>
    </w:p>
    <w:p w14:paraId="40A0F410">
      <w:pPr>
        <w:bidi w:val="0"/>
        <w:rPr>
          <w:lang w:val="en-US" w:eastAsia="zh-CN"/>
        </w:rPr>
      </w:pPr>
    </w:p>
    <w:p w14:paraId="40885745">
      <w:pPr>
        <w:bidi w:val="0"/>
        <w:rPr>
          <w:lang w:val="en-US" w:eastAsia="zh-CN"/>
        </w:rPr>
      </w:pPr>
    </w:p>
    <w:p w14:paraId="4BE388FB">
      <w:pPr>
        <w:pStyle w:val="5"/>
        <w:rPr>
          <w:lang w:val="en-US" w:eastAsia="zh-CN"/>
        </w:rPr>
      </w:pPr>
    </w:p>
    <w:p w14:paraId="4B83FE23">
      <w:pPr>
        <w:jc w:val="center"/>
        <w:rPr>
          <w:rFonts w:hint="eastAsia"/>
          <w:lang w:val="en-US" w:eastAsia="zh-CN"/>
        </w:rPr>
      </w:pPr>
    </w:p>
    <w:p w14:paraId="3CD5830B">
      <w:pPr>
        <w:jc w:val="center"/>
        <w:rPr>
          <w:rFonts w:hint="eastAsia"/>
          <w:lang w:val="en-US" w:eastAsia="zh-CN"/>
        </w:rPr>
      </w:pPr>
    </w:p>
    <w:p w14:paraId="7F38321E">
      <w:pPr>
        <w:jc w:val="center"/>
        <w:rPr>
          <w:b/>
          <w:sz w:val="36"/>
          <w:szCs w:val="36"/>
          <w:highlight w:val="none"/>
        </w:rPr>
      </w:pPr>
      <w:r>
        <w:rPr>
          <w:rFonts w:hint="eastAsia"/>
          <w:lang w:val="en-US" w:eastAsia="zh-CN"/>
        </w:rPr>
        <w:tab/>
      </w:r>
    </w:p>
    <w:p w14:paraId="2C7FB0ED">
      <w:pPr>
        <w:bidi w:val="0"/>
        <w:rPr>
          <w:rFonts w:hint="eastAsia"/>
          <w:lang w:val="en-US" w:eastAsia="zh-CN"/>
        </w:rPr>
      </w:pPr>
    </w:p>
    <w:p w14:paraId="1594E4B9">
      <w:pPr>
        <w:tabs>
          <w:tab w:val="left" w:pos="480"/>
        </w:tabs>
        <w:adjustRightInd w:val="0"/>
        <w:snapToGrid w:val="0"/>
        <w:jc w:val="center"/>
        <w:rPr>
          <w:rFonts w:hint="eastAsia" w:ascii="仿宋" w:hAnsi="仿宋" w:eastAsia="仿宋" w:cs="仿宋"/>
          <w:b/>
          <w:sz w:val="48"/>
          <w:szCs w:val="4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sz w:val="48"/>
          <w:szCs w:val="48"/>
          <w:highlight w:val="none"/>
          <w:lang w:val="en-US" w:eastAsia="zh-CN"/>
        </w:rPr>
        <w:t>基于现有电缆平台的电缆头检修梯</w:t>
      </w:r>
    </w:p>
    <w:p w14:paraId="40C37A80">
      <w:pPr>
        <w:tabs>
          <w:tab w:val="left" w:pos="480"/>
        </w:tabs>
        <w:adjustRightInd w:val="0"/>
        <w:snapToGrid w:val="0"/>
        <w:jc w:val="center"/>
        <w:rPr>
          <w:rFonts w:hint="eastAsia" w:ascii="仿宋" w:hAnsi="仿宋" w:eastAsia="仿宋" w:cs="仿宋"/>
          <w:b/>
          <w:sz w:val="48"/>
          <w:szCs w:val="4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48"/>
          <w:szCs w:val="48"/>
          <w:highlight w:val="none"/>
          <w:lang w:val="en-US" w:eastAsia="zh-CN"/>
        </w:rPr>
        <w:t>加工</w:t>
      </w:r>
      <w:r>
        <w:rPr>
          <w:rFonts w:hint="eastAsia" w:ascii="仿宋" w:hAnsi="仿宋" w:eastAsia="仿宋" w:cs="仿宋"/>
          <w:b/>
          <w:color w:val="auto"/>
          <w:sz w:val="48"/>
          <w:szCs w:val="48"/>
          <w:highlight w:val="none"/>
          <w:u w:val="none"/>
          <w:lang w:val="en-US" w:eastAsia="zh-CN"/>
        </w:rPr>
        <w:t>等技术服务</w:t>
      </w:r>
    </w:p>
    <w:p w14:paraId="7E3F6D2E">
      <w:pPr>
        <w:tabs>
          <w:tab w:val="left" w:pos="480"/>
        </w:tabs>
        <w:adjustRightInd w:val="0"/>
        <w:snapToGrid w:val="0"/>
        <w:jc w:val="center"/>
        <w:rPr>
          <w:rFonts w:hint="eastAsia" w:ascii="仿宋" w:hAnsi="仿宋" w:eastAsia="仿宋" w:cs="仿宋"/>
          <w:bCs/>
          <w:sz w:val="48"/>
          <w:szCs w:val="48"/>
          <w:highlight w:val="none"/>
        </w:rPr>
      </w:pPr>
      <w:r>
        <w:rPr>
          <w:rFonts w:hint="eastAsia" w:ascii="仿宋" w:hAnsi="仿宋" w:eastAsia="仿宋" w:cs="仿宋"/>
          <w:b/>
          <w:sz w:val="48"/>
          <w:szCs w:val="48"/>
          <w:highlight w:val="none"/>
        </w:rPr>
        <w:t>技术规范书</w:t>
      </w:r>
    </w:p>
    <w:p w14:paraId="1DD6A8DD">
      <w:pPr>
        <w:tabs>
          <w:tab w:val="left" w:pos="480"/>
        </w:tabs>
        <w:adjustRightInd w:val="0"/>
        <w:snapToGrid w:val="0"/>
        <w:jc w:val="center"/>
        <w:rPr>
          <w:rFonts w:hint="eastAsia" w:ascii="仿宋" w:hAnsi="仿宋" w:eastAsia="仿宋" w:cs="仿宋"/>
          <w:b/>
          <w:sz w:val="44"/>
          <w:szCs w:val="44"/>
          <w:highlight w:val="none"/>
        </w:rPr>
      </w:pPr>
    </w:p>
    <w:p w14:paraId="117979D4">
      <w:pPr>
        <w:jc w:val="center"/>
        <w:rPr>
          <w:rFonts w:hint="eastAsia" w:ascii="仿宋" w:hAnsi="仿宋" w:eastAsia="仿宋" w:cs="仿宋"/>
          <w:b/>
          <w:highlight w:val="none"/>
        </w:rPr>
      </w:pPr>
    </w:p>
    <w:p w14:paraId="0D093804">
      <w:pPr>
        <w:jc w:val="center"/>
        <w:rPr>
          <w:rFonts w:hint="eastAsia" w:ascii="仿宋" w:hAnsi="仿宋" w:eastAsia="仿宋" w:cs="仿宋"/>
          <w:b/>
          <w:highlight w:val="none"/>
        </w:rPr>
      </w:pPr>
    </w:p>
    <w:p w14:paraId="10FC378A">
      <w:pPr>
        <w:jc w:val="center"/>
        <w:rPr>
          <w:rFonts w:hint="eastAsia" w:ascii="仿宋" w:hAnsi="仿宋" w:eastAsia="仿宋" w:cs="仿宋"/>
          <w:b/>
          <w:highlight w:val="none"/>
        </w:rPr>
      </w:pPr>
    </w:p>
    <w:p w14:paraId="4D1EB3B8">
      <w:pPr>
        <w:jc w:val="center"/>
        <w:rPr>
          <w:rFonts w:hint="eastAsia" w:ascii="仿宋" w:hAnsi="仿宋" w:eastAsia="仿宋" w:cs="仿宋"/>
          <w:b/>
          <w:highlight w:val="none"/>
        </w:rPr>
      </w:pPr>
    </w:p>
    <w:p w14:paraId="4F050732">
      <w:pPr>
        <w:pStyle w:val="5"/>
        <w:rPr>
          <w:rFonts w:hint="eastAsia"/>
        </w:rPr>
      </w:pPr>
    </w:p>
    <w:p w14:paraId="53266FE8">
      <w:pPr>
        <w:pStyle w:val="5"/>
        <w:rPr>
          <w:rFonts w:hint="eastAsia" w:ascii="仿宋" w:hAnsi="仿宋" w:eastAsia="仿宋" w:cs="仿宋"/>
          <w:b/>
          <w:highlight w:val="none"/>
        </w:rPr>
      </w:pPr>
    </w:p>
    <w:p w14:paraId="311AC82C">
      <w:pPr>
        <w:pStyle w:val="6"/>
        <w:rPr>
          <w:rFonts w:hint="eastAsia"/>
        </w:rPr>
      </w:pPr>
    </w:p>
    <w:p w14:paraId="5CCB1478">
      <w:pPr>
        <w:jc w:val="both"/>
        <w:rPr>
          <w:rFonts w:hint="eastAsia" w:ascii="仿宋" w:hAnsi="仿宋" w:eastAsia="仿宋" w:cs="仿宋"/>
          <w:b/>
          <w:highlight w:val="none"/>
        </w:rPr>
      </w:pPr>
    </w:p>
    <w:p w14:paraId="63C5BD14">
      <w:pPr>
        <w:jc w:val="both"/>
        <w:rPr>
          <w:rFonts w:hint="eastAsia" w:ascii="仿宋" w:hAnsi="仿宋" w:eastAsia="仿宋" w:cs="仿宋"/>
          <w:b/>
          <w:sz w:val="36"/>
          <w:szCs w:val="36"/>
          <w:highlight w:val="none"/>
        </w:rPr>
      </w:pPr>
    </w:p>
    <w:p w14:paraId="050EA937">
      <w:pPr>
        <w:jc w:val="center"/>
        <w:rPr>
          <w:rFonts w:hint="default" w:ascii="仿宋" w:hAnsi="仿宋" w:eastAsia="仿宋" w:cs="仿宋"/>
          <w:b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36"/>
          <w:szCs w:val="36"/>
          <w:highlight w:val="none"/>
        </w:rPr>
        <w:t>海南电网有限责任公司</w:t>
      </w:r>
      <w:r>
        <w:rPr>
          <w:rFonts w:hint="eastAsia" w:ascii="仿宋" w:hAnsi="仿宋" w:eastAsia="仿宋" w:cs="仿宋"/>
          <w:b/>
          <w:sz w:val="36"/>
          <w:szCs w:val="36"/>
          <w:highlight w:val="none"/>
          <w:lang w:val="en-US" w:eastAsia="zh-CN"/>
        </w:rPr>
        <w:t>输电运检分公司</w:t>
      </w:r>
    </w:p>
    <w:p w14:paraId="712251FF">
      <w:pPr>
        <w:ind w:firstLine="722"/>
        <w:jc w:val="center"/>
        <w:rPr>
          <w:rFonts w:hint="eastAsia" w:ascii="仿宋" w:hAnsi="仿宋" w:eastAsia="仿宋" w:cs="仿宋"/>
          <w:b/>
          <w:sz w:val="36"/>
          <w:szCs w:val="36"/>
          <w:highlight w:val="none"/>
        </w:rPr>
      </w:pPr>
      <w:r>
        <w:rPr>
          <w:rFonts w:hint="eastAsia" w:ascii="仿宋" w:hAnsi="仿宋" w:eastAsia="仿宋" w:cs="仿宋"/>
          <w:b/>
          <w:sz w:val="36"/>
          <w:szCs w:val="36"/>
          <w:highlight w:val="none"/>
        </w:rPr>
        <w:t>二〇二</w:t>
      </w:r>
      <w:r>
        <w:rPr>
          <w:rFonts w:hint="eastAsia" w:ascii="仿宋" w:hAnsi="仿宋" w:eastAsia="仿宋" w:cs="仿宋"/>
          <w:b/>
          <w:sz w:val="36"/>
          <w:szCs w:val="36"/>
          <w:highlight w:val="none"/>
          <w:lang w:val="en-US" w:eastAsia="zh-CN"/>
        </w:rPr>
        <w:t>六</w:t>
      </w:r>
      <w:r>
        <w:rPr>
          <w:rFonts w:hint="eastAsia" w:ascii="仿宋" w:hAnsi="仿宋" w:eastAsia="仿宋" w:cs="仿宋"/>
          <w:b/>
          <w:sz w:val="36"/>
          <w:szCs w:val="36"/>
          <w:highlight w:val="none"/>
        </w:rPr>
        <w:t>年</w:t>
      </w:r>
      <w:r>
        <w:rPr>
          <w:rFonts w:hint="eastAsia" w:ascii="仿宋" w:hAnsi="仿宋" w:eastAsia="仿宋" w:cs="仿宋"/>
          <w:b/>
          <w:sz w:val="36"/>
          <w:szCs w:val="36"/>
          <w:highlight w:val="none"/>
          <w:lang w:val="en-US" w:eastAsia="zh-CN"/>
        </w:rPr>
        <w:t>六</w:t>
      </w:r>
      <w:r>
        <w:rPr>
          <w:rFonts w:hint="eastAsia" w:ascii="仿宋" w:hAnsi="仿宋" w:eastAsia="仿宋" w:cs="仿宋"/>
          <w:b/>
          <w:sz w:val="36"/>
          <w:szCs w:val="36"/>
          <w:highlight w:val="none"/>
        </w:rPr>
        <w:t>月</w:t>
      </w:r>
    </w:p>
    <w:p w14:paraId="391B04CC">
      <w:pPr>
        <w:jc w:val="center"/>
        <w:rPr>
          <w:rFonts w:hint="eastAsia" w:ascii="仿宋_GB2312" w:hAnsi="仿宋_GB2312" w:eastAsia="仿宋_GB2312" w:cs="仿宋_GB2312"/>
          <w:b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highlight w:val="none"/>
        </w:rPr>
        <w:t>目  录</w:t>
      </w:r>
    </w:p>
    <w:p w14:paraId="6CB887F1">
      <w:pPr>
        <w:jc w:val="center"/>
        <w:rPr>
          <w:b/>
          <w:sz w:val="28"/>
          <w:szCs w:val="28"/>
          <w:highlight w:val="none"/>
        </w:rPr>
      </w:pPr>
    </w:p>
    <w:p w14:paraId="6946CF4C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 w:val="28"/>
          <w:szCs w:val="28"/>
          <w:highlight w:val="none"/>
        </w:rPr>
        <w:fldChar w:fldCharType="begin"/>
      </w:r>
      <w:r>
        <w:rPr>
          <w:sz w:val="28"/>
          <w:szCs w:val="28"/>
          <w:highlight w:val="none"/>
        </w:rPr>
        <w:instrText xml:space="preserve"> TOC \o "1-3" \h \z \u </w:instrText>
      </w:r>
      <w:r>
        <w:rPr>
          <w:sz w:val="28"/>
          <w:szCs w:val="28"/>
          <w:highlight w:val="none"/>
        </w:rPr>
        <w:fldChar w:fldCharType="separate"/>
      </w: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_Toc5477 </w:instrText>
      </w:r>
      <w:r>
        <w:rPr>
          <w:szCs w:val="28"/>
          <w:highlight w:val="none"/>
        </w:rPr>
        <w:fldChar w:fldCharType="separate"/>
      </w:r>
      <w:r>
        <w:rPr>
          <w:rFonts w:hint="eastAsia"/>
          <w:highlight w:val="none"/>
        </w:rPr>
        <w:t>1总则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1</w:t>
      </w:r>
    </w:p>
    <w:p w14:paraId="2CDF0DD1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_Toc27685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2项目目标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1</w:t>
      </w:r>
    </w:p>
    <w:p w14:paraId="5701646F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_Toc30269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3服务界限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2</w:t>
      </w:r>
    </w:p>
    <w:p w14:paraId="7EDB34B7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_Toc5282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4项目总体要求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val="en-US" w:eastAsia="zh-CN"/>
        </w:rPr>
        <w:t>2</w:t>
      </w:r>
    </w:p>
    <w:p w14:paraId="75CE2E82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_Toc3161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5技术指标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3</w:t>
      </w:r>
    </w:p>
    <w:p w14:paraId="2CCA4A04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_Toc20910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5.1功能说明及技术参数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3</w:t>
      </w:r>
    </w:p>
    <w:p w14:paraId="6696758B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_Toc19634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5.</w:t>
      </w:r>
      <w:r>
        <w:rPr>
          <w:rFonts w:hint="eastAsia" w:ascii="仿宋" w:hAnsi="仿宋" w:eastAsia="仿宋" w:cs="仿宋"/>
          <w:szCs w:val="28"/>
          <w:highlight w:val="none"/>
          <w:lang w:val="en-US" w:eastAsia="zh-CN"/>
        </w:rPr>
        <w:t>2测试及加工内容</w:t>
      </w:r>
      <w:r>
        <w:rPr>
          <w:rFonts w:hint="eastAsia" w:ascii="仿宋" w:hAnsi="仿宋" w:eastAsia="仿宋" w:cs="仿宋"/>
          <w:szCs w:val="28"/>
          <w:highlight w:val="none"/>
        </w:rPr>
        <w:t>清单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3</w:t>
      </w:r>
    </w:p>
    <w:p w14:paraId="2D4E4018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_Toc18762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6</w:t>
      </w:r>
      <w:r>
        <w:rPr>
          <w:rFonts w:hint="eastAsia" w:ascii="仿宋" w:hAnsi="仿宋" w:eastAsia="仿宋" w:cs="仿宋"/>
          <w:szCs w:val="28"/>
          <w:highlight w:val="none"/>
          <w:lang w:val="en-US" w:eastAsia="zh-CN"/>
        </w:rPr>
        <w:t>实施</w:t>
      </w:r>
      <w:r>
        <w:rPr>
          <w:rFonts w:hint="eastAsia" w:ascii="仿宋" w:hAnsi="仿宋" w:eastAsia="仿宋" w:cs="仿宋"/>
          <w:szCs w:val="28"/>
          <w:highlight w:val="none"/>
        </w:rPr>
        <w:t>管理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val="en-US" w:eastAsia="zh-CN"/>
        </w:rPr>
        <w:t>3</w:t>
      </w:r>
    </w:p>
    <w:p w14:paraId="26FD2BED">
      <w:pPr>
        <w:pStyle w:val="2"/>
        <w:tabs>
          <w:tab w:val="right" w:leader="dot" w:pos="8306"/>
        </w:tabs>
        <w:rPr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_Toc19021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7</w:t>
      </w:r>
      <w:r>
        <w:rPr>
          <w:rFonts w:hint="eastAsia" w:ascii="仿宋" w:hAnsi="仿宋" w:eastAsia="仿宋" w:cs="仿宋"/>
          <w:szCs w:val="28"/>
          <w:highlight w:val="none"/>
          <w:lang w:val="en-US" w:eastAsia="zh-CN"/>
        </w:rPr>
        <w:t>质量保证</w:t>
      </w:r>
      <w:r>
        <w:rPr>
          <w:highlight w:val="none"/>
        </w:rPr>
        <w:tab/>
      </w:r>
      <w:r>
        <w:rPr>
          <w:rFonts w:hint="eastAsia"/>
          <w:highlight w:val="none"/>
          <w:lang w:val="en-US" w:eastAsia="zh-CN"/>
        </w:rPr>
        <w:t>4</w:t>
      </w:r>
      <w:r>
        <w:rPr>
          <w:szCs w:val="28"/>
          <w:highlight w:val="none"/>
        </w:rPr>
        <w:fldChar w:fldCharType="end"/>
      </w:r>
    </w:p>
    <w:p w14:paraId="2278A04F">
      <w:pPr>
        <w:pStyle w:val="2"/>
        <w:tabs>
          <w:tab w:val="right" w:leader="dot" w:pos="8306"/>
        </w:tabs>
        <w:rPr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_Toc2084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</w:rPr>
        <w:t>8项目</w:t>
      </w:r>
      <w:r>
        <w:rPr>
          <w:rFonts w:hint="eastAsia" w:ascii="仿宋" w:hAnsi="仿宋" w:eastAsia="仿宋" w:cs="仿宋"/>
          <w:szCs w:val="28"/>
          <w:highlight w:val="none"/>
          <w:lang w:val="en-US" w:eastAsia="zh-CN"/>
        </w:rPr>
        <w:t>进度</w:t>
      </w:r>
      <w:r>
        <w:rPr>
          <w:highlight w:val="none"/>
        </w:rPr>
        <w:tab/>
      </w:r>
      <w:r>
        <w:rPr>
          <w:rFonts w:hint="eastAsia"/>
          <w:highlight w:val="none"/>
          <w:lang w:val="en-US" w:eastAsia="zh-CN"/>
        </w:rPr>
        <w:t>4</w:t>
      </w:r>
      <w:r>
        <w:rPr>
          <w:szCs w:val="28"/>
          <w:highlight w:val="none"/>
        </w:rPr>
        <w:fldChar w:fldCharType="end"/>
      </w:r>
    </w:p>
    <w:p w14:paraId="04F30AE0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_Toc19021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  <w:lang w:eastAsia="zh-CN"/>
        </w:rPr>
        <w:t>9</w:t>
      </w:r>
      <w:r>
        <w:rPr>
          <w:rFonts w:hint="eastAsia" w:ascii="仿宋" w:hAnsi="仿宋" w:eastAsia="仿宋" w:cs="仿宋"/>
          <w:szCs w:val="28"/>
          <w:highlight w:val="none"/>
        </w:rPr>
        <w:t>服务内容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5</w:t>
      </w:r>
    </w:p>
    <w:p w14:paraId="593560D0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_Toc2084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  <w:lang w:eastAsia="zh-CN"/>
        </w:rPr>
        <w:t>1</w:t>
      </w:r>
      <w:r>
        <w:rPr>
          <w:rFonts w:hint="eastAsia" w:ascii="仿宋" w:hAnsi="仿宋" w:eastAsia="仿宋" w:cs="仿宋"/>
          <w:szCs w:val="28"/>
          <w:highlight w:val="none"/>
          <w:lang w:val="en-US" w:eastAsia="zh-CN"/>
        </w:rPr>
        <w:t>0</w:t>
      </w:r>
      <w:r>
        <w:rPr>
          <w:rFonts w:hint="eastAsia" w:ascii="仿宋" w:hAnsi="仿宋" w:eastAsia="仿宋" w:cs="仿宋"/>
          <w:szCs w:val="28"/>
          <w:highlight w:val="none"/>
        </w:rPr>
        <w:t>项目验收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5</w:t>
      </w:r>
    </w:p>
    <w:p w14:paraId="5D561741">
      <w:pPr>
        <w:pStyle w:val="2"/>
        <w:tabs>
          <w:tab w:val="right" w:leader="dot" w:pos="8306"/>
        </w:tabs>
        <w:rPr>
          <w:rFonts w:hint="eastAsia"/>
          <w:highlight w:val="none"/>
        </w:rPr>
      </w:pPr>
      <w:r>
        <w:rPr>
          <w:szCs w:val="28"/>
          <w:highlight w:val="none"/>
        </w:rPr>
        <w:fldChar w:fldCharType="begin"/>
      </w:r>
      <w:r>
        <w:rPr>
          <w:szCs w:val="28"/>
          <w:highlight w:val="none"/>
        </w:rPr>
        <w:instrText xml:space="preserve"> HYPERLINK \l _Toc14956 </w:instrText>
      </w:r>
      <w:r>
        <w:rPr>
          <w:szCs w:val="28"/>
          <w:highlight w:val="none"/>
        </w:rPr>
        <w:fldChar w:fldCharType="separate"/>
      </w:r>
      <w:r>
        <w:rPr>
          <w:rFonts w:hint="eastAsia" w:ascii="仿宋" w:hAnsi="仿宋" w:eastAsia="仿宋" w:cs="仿宋"/>
          <w:szCs w:val="28"/>
          <w:highlight w:val="none"/>
          <w:lang w:eastAsia="zh-CN"/>
        </w:rPr>
        <w:t>1</w:t>
      </w:r>
      <w:r>
        <w:rPr>
          <w:rFonts w:hint="eastAsia" w:ascii="仿宋" w:hAnsi="仿宋" w:eastAsia="仿宋" w:cs="仿宋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Cs w:val="28"/>
          <w:highlight w:val="none"/>
        </w:rPr>
        <w:t>预期成果</w:t>
      </w:r>
      <w:r>
        <w:rPr>
          <w:highlight w:val="none"/>
        </w:rPr>
        <w:tab/>
      </w:r>
      <w:r>
        <w:rPr>
          <w:szCs w:val="28"/>
          <w:highlight w:val="none"/>
        </w:rPr>
        <w:fldChar w:fldCharType="end"/>
      </w:r>
      <w:r>
        <w:rPr>
          <w:rFonts w:hint="eastAsia"/>
          <w:highlight w:val="none"/>
          <w:lang w:eastAsia="zh-CN"/>
        </w:rPr>
        <w:t>5</w:t>
      </w:r>
    </w:p>
    <w:p w14:paraId="702F0C96">
      <w:pPr>
        <w:pStyle w:val="7"/>
        <w:tabs>
          <w:tab w:val="left" w:pos="420"/>
          <w:tab w:val="right" w:leader="dot" w:pos="8296"/>
        </w:tabs>
        <w:spacing w:line="360" w:lineRule="auto"/>
        <w:rPr>
          <w:rFonts w:hint="eastAsia"/>
          <w:szCs w:val="28"/>
          <w:highlight w:val="none"/>
        </w:rPr>
      </w:pPr>
      <w:r>
        <w:rPr>
          <w:szCs w:val="28"/>
          <w:highlight w:val="none"/>
        </w:rPr>
        <w:fldChar w:fldCharType="end"/>
      </w:r>
      <w:r>
        <w:rPr>
          <w:rFonts w:hint="eastAsia"/>
          <w:szCs w:val="28"/>
          <w:highlight w:val="none"/>
        </w:rPr>
        <w:t xml:space="preserve">    </w:t>
      </w:r>
      <w:bookmarkStart w:id="0" w:name="_Toc351722588"/>
      <w:bookmarkStart w:id="1" w:name="_Toc291690053"/>
    </w:p>
    <w:p w14:paraId="548B7421">
      <w:pPr>
        <w:pStyle w:val="7"/>
        <w:tabs>
          <w:tab w:val="left" w:pos="420"/>
          <w:tab w:val="right" w:leader="dot" w:pos="8296"/>
        </w:tabs>
        <w:rPr>
          <w:rFonts w:hint="eastAsia"/>
          <w:szCs w:val="28"/>
          <w:highlight w:val="none"/>
        </w:rPr>
      </w:pPr>
    </w:p>
    <w:p w14:paraId="6995794C">
      <w:pPr>
        <w:pStyle w:val="7"/>
        <w:tabs>
          <w:tab w:val="left" w:pos="420"/>
          <w:tab w:val="right" w:leader="dot" w:pos="8296"/>
        </w:tabs>
        <w:rPr>
          <w:rFonts w:hint="eastAsia"/>
          <w:szCs w:val="28"/>
          <w:highlight w:val="none"/>
        </w:rPr>
      </w:pPr>
    </w:p>
    <w:p w14:paraId="05CF9F09">
      <w:pPr>
        <w:pStyle w:val="7"/>
        <w:tabs>
          <w:tab w:val="left" w:pos="420"/>
          <w:tab w:val="right" w:leader="dot" w:pos="8296"/>
        </w:tabs>
        <w:rPr>
          <w:rFonts w:hint="eastAsia"/>
          <w:szCs w:val="28"/>
          <w:highlight w:val="none"/>
        </w:rPr>
      </w:pPr>
    </w:p>
    <w:p w14:paraId="588B384F">
      <w:pPr>
        <w:pStyle w:val="7"/>
        <w:tabs>
          <w:tab w:val="left" w:pos="420"/>
          <w:tab w:val="right" w:leader="dot" w:pos="8296"/>
        </w:tabs>
        <w:rPr>
          <w:rFonts w:hint="eastAsia"/>
          <w:szCs w:val="28"/>
          <w:highlight w:val="none"/>
        </w:rPr>
      </w:pPr>
    </w:p>
    <w:p w14:paraId="4B1ECEA3">
      <w:pPr>
        <w:pStyle w:val="7"/>
        <w:tabs>
          <w:tab w:val="left" w:pos="420"/>
          <w:tab w:val="right" w:leader="dot" w:pos="8296"/>
        </w:tabs>
        <w:rPr>
          <w:rFonts w:hint="eastAsia"/>
          <w:szCs w:val="28"/>
          <w:highlight w:val="none"/>
        </w:rPr>
      </w:pPr>
    </w:p>
    <w:p w14:paraId="43C104C3">
      <w:pPr>
        <w:pStyle w:val="7"/>
        <w:tabs>
          <w:tab w:val="left" w:pos="420"/>
          <w:tab w:val="right" w:leader="dot" w:pos="8296"/>
        </w:tabs>
        <w:rPr>
          <w:rFonts w:hint="eastAsia"/>
          <w:szCs w:val="28"/>
          <w:highlight w:val="none"/>
        </w:rPr>
      </w:pPr>
    </w:p>
    <w:p w14:paraId="51F48F5C">
      <w:pPr>
        <w:rPr>
          <w:rFonts w:hint="eastAsia"/>
          <w:szCs w:val="28"/>
          <w:highlight w:val="none"/>
        </w:rPr>
      </w:pPr>
    </w:p>
    <w:p w14:paraId="1F5DAE8D">
      <w:pPr>
        <w:pStyle w:val="4"/>
        <w:rPr>
          <w:rFonts w:hint="eastAsia"/>
          <w:szCs w:val="28"/>
          <w:highlight w:val="none"/>
        </w:rPr>
      </w:pPr>
    </w:p>
    <w:p w14:paraId="7A6FE135">
      <w:pPr>
        <w:pStyle w:val="4"/>
        <w:rPr>
          <w:rFonts w:hint="eastAsia"/>
          <w:szCs w:val="28"/>
          <w:highlight w:val="none"/>
        </w:rPr>
      </w:pPr>
    </w:p>
    <w:p w14:paraId="4D91E22C">
      <w:pPr>
        <w:pStyle w:val="4"/>
        <w:rPr>
          <w:rFonts w:hint="eastAsia"/>
          <w:szCs w:val="28"/>
          <w:highlight w:val="none"/>
        </w:rPr>
      </w:pPr>
    </w:p>
    <w:p w14:paraId="3264B607">
      <w:pPr>
        <w:pStyle w:val="4"/>
        <w:rPr>
          <w:rFonts w:hint="eastAsia"/>
          <w:szCs w:val="28"/>
          <w:highlight w:val="none"/>
        </w:rPr>
      </w:pPr>
    </w:p>
    <w:p w14:paraId="333C0DD1">
      <w:pPr>
        <w:pStyle w:val="4"/>
        <w:rPr>
          <w:rFonts w:hint="eastAsia"/>
          <w:szCs w:val="28"/>
          <w:highlight w:val="none"/>
        </w:rPr>
      </w:pPr>
    </w:p>
    <w:p w14:paraId="449383CD">
      <w:pPr>
        <w:pStyle w:val="4"/>
        <w:rPr>
          <w:rFonts w:hint="eastAsia"/>
          <w:szCs w:val="28"/>
          <w:highlight w:val="none"/>
        </w:rPr>
      </w:pPr>
    </w:p>
    <w:p w14:paraId="6476AC83">
      <w:pPr>
        <w:pStyle w:val="4"/>
        <w:rPr>
          <w:rFonts w:hint="eastAsia"/>
          <w:szCs w:val="28"/>
          <w:highlight w:val="none"/>
        </w:rPr>
      </w:pPr>
    </w:p>
    <w:p w14:paraId="346BE362">
      <w:pPr>
        <w:rPr>
          <w:rFonts w:hint="eastAsia"/>
          <w:szCs w:val="28"/>
          <w:highlight w:val="none"/>
        </w:rPr>
      </w:pPr>
      <w:r>
        <w:rPr>
          <w:rFonts w:hint="eastAsia"/>
          <w:szCs w:val="28"/>
          <w:highlight w:val="none"/>
        </w:rPr>
        <w:br w:type="page"/>
      </w:r>
    </w:p>
    <w:p w14:paraId="36FA10E9">
      <w:pPr>
        <w:pStyle w:val="4"/>
        <w:rPr>
          <w:rFonts w:hint="eastAsia"/>
          <w:szCs w:val="28"/>
          <w:highlight w:val="none"/>
        </w:rPr>
      </w:pPr>
    </w:p>
    <w:p w14:paraId="74ECBC80">
      <w:pPr>
        <w:pStyle w:val="3"/>
        <w:bidi w:val="0"/>
        <w:rPr>
          <w:rFonts w:hint="eastAsia" w:asciiTheme="majorEastAsia" w:hAnsiTheme="majorEastAsia" w:eastAsiaTheme="majorEastAsia" w:cstheme="majorEastAsia"/>
        </w:rPr>
      </w:pPr>
      <w:bookmarkStart w:id="2" w:name="_Toc17434"/>
      <w:r>
        <w:rPr>
          <w:rFonts w:hint="eastAsia" w:asciiTheme="majorEastAsia" w:hAnsiTheme="majorEastAsia" w:eastAsiaTheme="majorEastAsia" w:cstheme="majorEastAsia"/>
        </w:rPr>
        <w:t>1总则</w:t>
      </w:r>
      <w:bookmarkEnd w:id="0"/>
      <w:bookmarkEnd w:id="1"/>
      <w:bookmarkEnd w:id="2"/>
    </w:p>
    <w:p w14:paraId="426AB899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1.1本规范仅针对“基于现有电缆平台的电缆头检修梯”（以下简称项目）的招标。</w:t>
      </w:r>
    </w:p>
    <w:p w14:paraId="62117874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1.2本项目采购方提供试验场地及现场安装协调，项目所需其他材料设备由投标方提供完善。</w:t>
      </w:r>
    </w:p>
    <w:p w14:paraId="20D0E7E6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1.3本技术规范所建议的项目研究内容如与供应商所执行的内容不一致，供应商应按更高标准执行。</w:t>
      </w:r>
    </w:p>
    <w:p w14:paraId="3D66D1D2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1.4本技术规范未尽事宜，由采购方、供应商双方协商确定。</w:t>
      </w:r>
    </w:p>
    <w:p w14:paraId="3F721CBF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1.5采购方保留对本文件的解释和修改权，供应商应对本文件内容进行严格地保密，未经采购方授权不得将此文件泄漏给第三方，否则采购方有权追究供应商的责任。</w:t>
      </w:r>
    </w:p>
    <w:p w14:paraId="0221CD4B">
      <w:pPr>
        <w:pStyle w:val="3"/>
        <w:bidi w:val="0"/>
        <w:rPr>
          <w:rFonts w:hint="eastAsia" w:asciiTheme="majorEastAsia" w:hAnsiTheme="majorEastAsia" w:eastAsiaTheme="majorEastAsia" w:cstheme="majorEastAsia"/>
        </w:rPr>
      </w:pPr>
      <w:bookmarkStart w:id="3" w:name="_Toc19761"/>
      <w:bookmarkStart w:id="4" w:name="_Toc351722589"/>
      <w:r>
        <w:rPr>
          <w:rFonts w:hint="eastAsia" w:asciiTheme="majorEastAsia" w:hAnsiTheme="majorEastAsia" w:eastAsiaTheme="majorEastAsia" w:cstheme="majorEastAsia"/>
        </w:rPr>
        <w:t>2项目目标</w:t>
      </w:r>
      <w:bookmarkEnd w:id="3"/>
      <w:bookmarkEnd w:id="4"/>
    </w:p>
    <w:p w14:paraId="3E9924B6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bookmarkStart w:id="5" w:name="_Toc351722590"/>
      <w:bookmarkStart w:id="6" w:name="_Toc291690055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目前在电缆平台上进行电缆头检修作业时，均是采用搭设人字梯，然而电缆平台空间狭小，搭设人字梯空间受限，且影响操作和工具使用，严重影响检修效率，并增加了作业人员在高处作业时的坠落等安全风险。在检修过程搭设的人字梯还容易损伤电缆头，对设备本体造成二次伤害。</w:t>
      </w:r>
    </w:p>
    <w:p w14:paraId="33356582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本项目通过运用机械传动和连接原理，设计可增加高度的检修梯结构，通过使用铰链、滑块、丝杠等机械零件，实现检修梯的灵活变形，以适应不同电缆平台和电缆头的检修需求。选择具有合适强度、刚度、耐腐蚀性、耐磨性的材料，并对材料表面处理技术，如喷涂、电镀等，提高材料的表面硬度、耐腐蚀性和防滑性能，延长检修梯的使用寿命，增强使用安全性。</w:t>
      </w:r>
    </w:p>
    <w:p w14:paraId="0A50D98F">
      <w:pPr>
        <w:pStyle w:val="3"/>
        <w:bidi w:val="0"/>
        <w:rPr>
          <w:rFonts w:hint="eastAsia" w:asciiTheme="majorEastAsia" w:hAnsiTheme="majorEastAsia" w:eastAsiaTheme="majorEastAsia" w:cstheme="majorEastAsia"/>
        </w:rPr>
      </w:pPr>
      <w:bookmarkStart w:id="7" w:name="_Toc17895"/>
      <w:r>
        <w:rPr>
          <w:rFonts w:hint="eastAsia" w:asciiTheme="majorEastAsia" w:hAnsiTheme="majorEastAsia" w:eastAsiaTheme="majorEastAsia" w:cstheme="majorEastAsia"/>
        </w:rPr>
        <w:t>3服务界限</w:t>
      </w:r>
      <w:bookmarkEnd w:id="5"/>
      <w:bookmarkEnd w:id="6"/>
      <w:bookmarkEnd w:id="7"/>
    </w:p>
    <w:p w14:paraId="45A516FE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bookmarkStart w:id="8" w:name="_Toc24128"/>
      <w:bookmarkStart w:id="9" w:name="_Toc351722591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3.1投标方负责完成电缆平台的电缆头检修梯加工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u w:val="none"/>
          <w:lang w:val="en-US" w:eastAsia="zh-CN"/>
        </w:rPr>
        <w:t>等技术服务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工作。</w:t>
      </w:r>
    </w:p>
    <w:p w14:paraId="6BD99339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3.2招标方提供本项目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基础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研制材料，投标方负责加工制造及现场安装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及测试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。加工安装所需的全部辅助材料、工器具、机具、试验设备及施工人员均由投标方提供。招标方提供的材料如因正常工艺损耗、加工失误或损坏导致不足，由投标方自费补齐，确保项目完整交付，上述所有费用已包含在合同总价款中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。</w:t>
      </w:r>
    </w:p>
    <w:p w14:paraId="167DE562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3.3投标人应按项目计划进度，协助召开项目的检查、评审、验收等会议，配合采购方完成实现项目目标的相关工作。</w:t>
      </w:r>
    </w:p>
    <w:p w14:paraId="4FE51ACB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3.4投标方必须配合招标方做好论文编写工作，论文应标注招标方所属各单位信息，论文以招标方所属各单位研发人员为第一作者，并完成论文录用1篇。</w:t>
      </w:r>
    </w:p>
    <w:p w14:paraId="75332A3F">
      <w:pPr>
        <w:spacing w:line="600" w:lineRule="exact"/>
        <w:ind w:firstLine="560" w:firstLineChars="200"/>
        <w:rPr>
          <w:rFonts w:hint="eastAsia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3.5投标方必须配合招标方做好专利撰写工作，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u w:val="none"/>
          <w:lang w:val="en-US" w:eastAsia="zh-CN"/>
        </w:rPr>
        <w:t>提交实用新型专利所需的设计材料一份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。</w:t>
      </w:r>
    </w:p>
    <w:p w14:paraId="113C3192">
      <w:pPr>
        <w:pStyle w:val="3"/>
        <w:bidi w:val="0"/>
        <w:rPr>
          <w:rFonts w:hint="eastAsia" w:asciiTheme="majorEastAsia" w:hAnsiTheme="majorEastAsia" w:eastAsiaTheme="majorEastAsia" w:cstheme="majorEastAsia"/>
        </w:rPr>
      </w:pPr>
      <w:r>
        <w:rPr>
          <w:rFonts w:hint="eastAsia" w:asciiTheme="majorEastAsia" w:hAnsiTheme="majorEastAsia" w:eastAsiaTheme="majorEastAsia" w:cstheme="majorEastAsia"/>
        </w:rPr>
        <w:t>4项目总体要求</w:t>
      </w:r>
      <w:bookmarkEnd w:id="8"/>
      <w:bookmarkEnd w:id="9"/>
    </w:p>
    <w:p w14:paraId="55D02048">
      <w:pPr>
        <w:pStyle w:val="5"/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bookmarkStart w:id="10" w:name="_Toc4729"/>
      <w:bookmarkStart w:id="11" w:name="_Toc247456321"/>
      <w:bookmarkStart w:id="12" w:name="_Toc351722592"/>
      <w:bookmarkStart w:id="13" w:name="_Toc351566765"/>
      <w:bookmarkStart w:id="14" w:name="_Toc260069638"/>
      <w:bookmarkStart w:id="15" w:name="_Toc229305439"/>
      <w:bookmarkStart w:id="16" w:name="_Toc247456250"/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lang w:val="en-US" w:eastAsia="zh-CN" w:bidi="ar-SA"/>
        </w:rPr>
        <w:t>提供基于现有电缆平台的电缆头检修梯的研制、测试实验加工等技术服务，</w:t>
      </w:r>
      <w:bookmarkEnd w:id="10"/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lang w:val="en-US" w:eastAsia="zh-CN" w:bidi="ar-SA"/>
        </w:rPr>
        <w:t>最终交付：</w:t>
      </w:r>
    </w:p>
    <w:p w14:paraId="16A945CE">
      <w:pPr>
        <w:spacing w:line="600" w:lineRule="exact"/>
        <w:ind w:left="0" w:leftChars="0"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（1）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研制</w:t>
      </w: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lang w:val="en-US" w:eastAsia="zh-CN" w:bidi="ar-SA"/>
        </w:rPr>
        <w:t>电缆平台的电缆头检修梯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2套；</w:t>
      </w:r>
    </w:p>
    <w:p w14:paraId="3228D43A">
      <w:pPr>
        <w:spacing w:line="600" w:lineRule="exact"/>
        <w:ind w:left="0" w:leftChars="0"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（2）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提交实用新型专利所需的设计材料1份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；</w:t>
      </w:r>
    </w:p>
    <w:p w14:paraId="180B4775">
      <w:pPr>
        <w:spacing w:line="600" w:lineRule="exact"/>
        <w:ind w:left="0" w:leftChars="0"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（3）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录用论文1篇；</w:t>
      </w:r>
    </w:p>
    <w:p w14:paraId="35059B6A">
      <w:pPr>
        <w:spacing w:line="60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（4）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制作项目宣传小视频1套；</w:t>
      </w:r>
    </w:p>
    <w:p w14:paraId="0262673D">
      <w:pPr>
        <w:spacing w:line="600" w:lineRule="exact"/>
        <w:ind w:firstLine="56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（5）项目成果试验报告1份。</w:t>
      </w:r>
    </w:p>
    <w:p w14:paraId="1BE5F242">
      <w:pPr>
        <w:pStyle w:val="3"/>
        <w:bidi w:val="0"/>
        <w:rPr>
          <w:rFonts w:hint="eastAsia" w:asciiTheme="majorEastAsia" w:hAnsiTheme="majorEastAsia" w:eastAsiaTheme="majorEastAsia" w:cstheme="majorEastAsia"/>
        </w:rPr>
      </w:pPr>
      <w:bookmarkStart w:id="17" w:name="_Toc12273"/>
      <w:r>
        <w:rPr>
          <w:rFonts w:hint="eastAsia" w:asciiTheme="majorEastAsia" w:hAnsiTheme="majorEastAsia" w:eastAsiaTheme="majorEastAsia" w:cstheme="majorEastAsia"/>
        </w:rPr>
        <w:t>5技术指标</w:t>
      </w:r>
      <w:bookmarkEnd w:id="17"/>
    </w:p>
    <w:bookmarkEnd w:id="11"/>
    <w:bookmarkEnd w:id="12"/>
    <w:bookmarkEnd w:id="13"/>
    <w:bookmarkEnd w:id="14"/>
    <w:bookmarkEnd w:id="15"/>
    <w:bookmarkEnd w:id="16"/>
    <w:p w14:paraId="1259B68F">
      <w:pPr>
        <w:pStyle w:val="3"/>
        <w:rPr>
          <w:rFonts w:hint="eastAsia" w:ascii="仿宋" w:hAnsi="仿宋" w:eastAsia="仿宋" w:cs="仿宋"/>
          <w:sz w:val="28"/>
          <w:szCs w:val="28"/>
          <w:highlight w:val="none"/>
        </w:rPr>
      </w:pPr>
      <w:bookmarkStart w:id="18" w:name="_Toc21324"/>
      <w:bookmarkStart w:id="19" w:name="_Toc351566768"/>
      <w:bookmarkStart w:id="20" w:name="_Toc351722593"/>
      <w:r>
        <w:rPr>
          <w:rFonts w:hint="eastAsia" w:ascii="仿宋" w:hAnsi="仿宋" w:eastAsia="仿宋" w:cs="仿宋"/>
          <w:sz w:val="28"/>
          <w:szCs w:val="28"/>
          <w:highlight w:val="none"/>
        </w:rPr>
        <w:t>5.1功能说明及技术参数</w:t>
      </w:r>
      <w:bookmarkEnd w:id="18"/>
    </w:p>
    <w:p w14:paraId="1C54B5B6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highlight w:val="none"/>
          <w:lang w:val="en-US" w:eastAsia="zh-CN"/>
        </w:rPr>
        <w:t>电缆头检修梯（整体高度约3.4米）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主要分为2部分：电缆梯底座固定、增高部分。</w:t>
      </w:r>
      <w:bookmarkStart w:id="23" w:name="_GoBack"/>
      <w:bookmarkEnd w:id="23"/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根据甲方要求绘制实施加工图，以便材料供应。</w:t>
      </w:r>
    </w:p>
    <w:p w14:paraId="1F25108D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⑴梯体能进行拆卸组装，底座及第一节梯体高度约1.7米。</w:t>
      </w:r>
    </w:p>
    <w:p w14:paraId="305A1E08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⑵增加高度后的稳定性及连接的可靠性，增加高度约1.7米。</w:t>
      </w:r>
    </w:p>
    <w:p w14:paraId="40AAF7E1">
      <w:pPr>
        <w:pStyle w:val="4"/>
        <w:rPr>
          <w:rFonts w:hint="default" w:ascii="仿宋" w:hAnsi="仿宋" w:eastAsia="仿宋" w:cs="仿宋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kern w:val="2"/>
          <w:sz w:val="28"/>
          <w:szCs w:val="28"/>
          <w:highlight w:val="none"/>
          <w:lang w:val="en-US" w:eastAsia="zh-CN" w:bidi="ar-SA"/>
        </w:rPr>
        <w:t>具体加工尺寸在实施过程中由甲方最终确定。</w:t>
      </w:r>
    </w:p>
    <w:p w14:paraId="31416F39">
      <w:pPr>
        <w:pStyle w:val="3"/>
        <w:rPr>
          <w:rFonts w:hint="eastAsia" w:ascii="仿宋" w:hAnsi="仿宋" w:eastAsia="仿宋" w:cs="仿宋"/>
          <w:b/>
          <w:sz w:val="28"/>
          <w:szCs w:val="28"/>
          <w:highlight w:val="none"/>
        </w:rPr>
      </w:pPr>
      <w:bookmarkStart w:id="21" w:name="_Toc14181"/>
      <w:r>
        <w:rPr>
          <w:rFonts w:hint="eastAsia" w:ascii="仿宋" w:hAnsi="仿宋" w:eastAsia="仿宋" w:cs="仿宋"/>
          <w:b/>
          <w:sz w:val="28"/>
          <w:szCs w:val="28"/>
          <w:highlight w:val="none"/>
        </w:rPr>
        <w:t>5.</w:t>
      </w:r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b/>
          <w:sz w:val="28"/>
          <w:szCs w:val="28"/>
          <w:highlight w:val="none"/>
        </w:rPr>
        <w:t xml:space="preserve"> </w:t>
      </w:r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  <w:t>测试及加工内容</w:t>
      </w:r>
      <w:r>
        <w:rPr>
          <w:rFonts w:hint="eastAsia" w:ascii="仿宋" w:hAnsi="仿宋" w:eastAsia="仿宋" w:cs="仿宋"/>
          <w:b/>
          <w:sz w:val="28"/>
          <w:szCs w:val="28"/>
          <w:highlight w:val="none"/>
        </w:rPr>
        <w:t>清单</w:t>
      </w:r>
      <w:bookmarkEnd w:id="21"/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2209"/>
        <w:gridCol w:w="1678"/>
        <w:gridCol w:w="1064"/>
        <w:gridCol w:w="1185"/>
        <w:gridCol w:w="1657"/>
      </w:tblGrid>
      <w:tr w14:paraId="20DB6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  <w:noWrap w:val="0"/>
            <w:vAlign w:val="top"/>
          </w:tcPr>
          <w:p w14:paraId="5B106E85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序号</w:t>
            </w:r>
          </w:p>
        </w:tc>
        <w:tc>
          <w:tcPr>
            <w:tcW w:w="2209" w:type="dxa"/>
            <w:noWrap w:val="0"/>
            <w:vAlign w:val="top"/>
          </w:tcPr>
          <w:p w14:paraId="5A9F3238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名称</w:t>
            </w:r>
          </w:p>
        </w:tc>
        <w:tc>
          <w:tcPr>
            <w:tcW w:w="1678" w:type="dxa"/>
            <w:noWrap w:val="0"/>
            <w:vAlign w:val="top"/>
          </w:tcPr>
          <w:p w14:paraId="36615590">
            <w:pPr>
              <w:jc w:val="center"/>
              <w:rPr>
                <w:rFonts w:hint="eastAsia"/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规格型号</w:t>
            </w:r>
          </w:p>
        </w:tc>
        <w:tc>
          <w:tcPr>
            <w:tcW w:w="1064" w:type="dxa"/>
            <w:noWrap w:val="0"/>
            <w:vAlign w:val="top"/>
          </w:tcPr>
          <w:p w14:paraId="517FA990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数量</w:t>
            </w:r>
          </w:p>
        </w:tc>
        <w:tc>
          <w:tcPr>
            <w:tcW w:w="1185" w:type="dxa"/>
            <w:noWrap w:val="0"/>
            <w:vAlign w:val="top"/>
          </w:tcPr>
          <w:p w14:paraId="6D8B7DB2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单位</w:t>
            </w:r>
          </w:p>
        </w:tc>
        <w:tc>
          <w:tcPr>
            <w:tcW w:w="1657" w:type="dxa"/>
            <w:noWrap w:val="0"/>
            <w:vAlign w:val="top"/>
          </w:tcPr>
          <w:p w14:paraId="2465A37F"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备注</w:t>
            </w:r>
          </w:p>
        </w:tc>
      </w:tr>
      <w:tr w14:paraId="46EF2E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  <w:noWrap w:val="0"/>
            <w:vAlign w:val="top"/>
          </w:tcPr>
          <w:p w14:paraId="179B465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209" w:type="dxa"/>
            <w:noWrap w:val="0"/>
            <w:vAlign w:val="top"/>
          </w:tcPr>
          <w:p w14:paraId="533FDFC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  <w:t>梯体加工</w:t>
            </w:r>
          </w:p>
        </w:tc>
        <w:tc>
          <w:tcPr>
            <w:tcW w:w="1678" w:type="dxa"/>
            <w:noWrap w:val="0"/>
            <w:vAlign w:val="top"/>
          </w:tcPr>
          <w:p w14:paraId="09A3E98B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单节约1.7米</w:t>
            </w:r>
          </w:p>
        </w:tc>
        <w:tc>
          <w:tcPr>
            <w:tcW w:w="1064" w:type="dxa"/>
            <w:noWrap w:val="0"/>
            <w:vAlign w:val="top"/>
          </w:tcPr>
          <w:p w14:paraId="5B941B2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185" w:type="dxa"/>
            <w:noWrap w:val="0"/>
            <w:vAlign w:val="top"/>
          </w:tcPr>
          <w:p w14:paraId="73206ED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节</w:t>
            </w:r>
          </w:p>
        </w:tc>
        <w:tc>
          <w:tcPr>
            <w:tcW w:w="1657" w:type="dxa"/>
            <w:noWrap w:val="0"/>
            <w:vAlign w:val="top"/>
          </w:tcPr>
          <w:p w14:paraId="292A3FB9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满足项目需要</w:t>
            </w:r>
          </w:p>
        </w:tc>
      </w:tr>
      <w:tr w14:paraId="4CD74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  <w:noWrap w:val="0"/>
            <w:vAlign w:val="top"/>
          </w:tcPr>
          <w:p w14:paraId="70506B86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2209" w:type="dxa"/>
            <w:noWrap w:val="0"/>
            <w:vAlign w:val="top"/>
          </w:tcPr>
          <w:p w14:paraId="6762E2F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梯体抗弯强度测试</w:t>
            </w:r>
          </w:p>
        </w:tc>
        <w:tc>
          <w:tcPr>
            <w:tcW w:w="1678" w:type="dxa"/>
            <w:noWrap w:val="0"/>
            <w:vAlign w:val="top"/>
          </w:tcPr>
          <w:p w14:paraId="31D8E67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064" w:type="dxa"/>
            <w:noWrap w:val="0"/>
            <w:vAlign w:val="top"/>
          </w:tcPr>
          <w:p w14:paraId="10082CC4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85" w:type="dxa"/>
            <w:noWrap w:val="0"/>
            <w:vAlign w:val="top"/>
          </w:tcPr>
          <w:p w14:paraId="7A861F0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1657" w:type="dxa"/>
            <w:noWrap w:val="0"/>
            <w:vAlign w:val="top"/>
          </w:tcPr>
          <w:p w14:paraId="3884555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满足项目需要</w:t>
            </w:r>
          </w:p>
        </w:tc>
      </w:tr>
      <w:tr w14:paraId="6B46B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9" w:type="dxa"/>
            <w:noWrap w:val="0"/>
            <w:vAlign w:val="top"/>
          </w:tcPr>
          <w:p w14:paraId="036473CA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2209" w:type="dxa"/>
            <w:noWrap w:val="0"/>
            <w:vAlign w:val="top"/>
          </w:tcPr>
          <w:p w14:paraId="26B750BE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极限荷载试验</w:t>
            </w:r>
          </w:p>
        </w:tc>
        <w:tc>
          <w:tcPr>
            <w:tcW w:w="1678" w:type="dxa"/>
            <w:noWrap w:val="0"/>
            <w:vAlign w:val="top"/>
          </w:tcPr>
          <w:p w14:paraId="323AC9B7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1064" w:type="dxa"/>
            <w:noWrap w:val="0"/>
            <w:vAlign w:val="top"/>
          </w:tcPr>
          <w:p w14:paraId="0D4CBFED">
            <w:pPr>
              <w:jc w:val="center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85" w:type="dxa"/>
            <w:noWrap w:val="0"/>
            <w:vAlign w:val="top"/>
          </w:tcPr>
          <w:p w14:paraId="3B12675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次</w:t>
            </w:r>
          </w:p>
        </w:tc>
        <w:tc>
          <w:tcPr>
            <w:tcW w:w="1657" w:type="dxa"/>
            <w:noWrap w:val="0"/>
            <w:vAlign w:val="top"/>
          </w:tcPr>
          <w:p w14:paraId="0D4EE7A1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满足项目需要</w:t>
            </w:r>
          </w:p>
        </w:tc>
      </w:tr>
    </w:tbl>
    <w:p w14:paraId="07388DCC">
      <w:pPr>
        <w:spacing w:line="600" w:lineRule="exact"/>
        <w:ind w:firstLine="560" w:firstLineChars="200"/>
        <w:rPr>
          <w:rFonts w:hint="default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相关实验满足GB 4053、GB/T 17888与GB/T 17889相关标准。</w:t>
      </w:r>
    </w:p>
    <w:bookmarkEnd w:id="19"/>
    <w:bookmarkEnd w:id="20"/>
    <w:p w14:paraId="78680473">
      <w:pPr>
        <w:pStyle w:val="3"/>
        <w:rPr>
          <w:rFonts w:hint="eastAsia" w:ascii="仿宋" w:hAnsi="仿宋" w:eastAsia="仿宋" w:cs="仿宋"/>
          <w:sz w:val="28"/>
          <w:szCs w:val="28"/>
          <w:highlight w:val="none"/>
        </w:rPr>
      </w:pPr>
      <w:bookmarkStart w:id="22" w:name="_Toc18762"/>
      <w:r>
        <w:rPr>
          <w:rFonts w:hint="eastAsia" w:ascii="仿宋" w:hAnsi="仿宋" w:eastAsia="仿宋" w:cs="仿宋"/>
          <w:sz w:val="28"/>
          <w:szCs w:val="28"/>
          <w:highlight w:val="none"/>
        </w:rPr>
        <w:t>6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实施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管理</w:t>
      </w:r>
      <w:bookmarkEnd w:id="22"/>
    </w:p>
    <w:p w14:paraId="23B328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/>
        <w:autoSpaceDE w:val="0"/>
        <w:autoSpaceDN w:val="0"/>
        <w:bidi w:val="0"/>
        <w:adjustRightInd/>
        <w:snapToGrid/>
        <w:ind w:firstLine="560" w:firstLineChars="200"/>
        <w:textAlignment w:val="auto"/>
        <w:outlineLvl w:val="9"/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  <w:t>投标方设立项目负责人，项目负责人将全权负责与项目有关的全部事务，包括：</w:t>
      </w:r>
    </w:p>
    <w:p w14:paraId="67115B36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/>
        <w:autoSpaceDE w:val="0"/>
        <w:autoSpaceDN w:val="0"/>
        <w:bidi w:val="0"/>
        <w:adjustRightInd/>
        <w:snapToGrid/>
        <w:ind w:firstLine="560" w:firstLineChars="200"/>
        <w:textAlignment w:val="auto"/>
        <w:outlineLvl w:val="1"/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  <w:t>6.1负责项目的研制、过程控制及成果测试。</w:t>
      </w:r>
    </w:p>
    <w:p w14:paraId="26EAF1D1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/>
        <w:autoSpaceDE w:val="0"/>
        <w:autoSpaceDN w:val="0"/>
        <w:bidi w:val="0"/>
        <w:adjustRightInd/>
        <w:snapToGrid/>
        <w:ind w:firstLine="560" w:firstLineChars="200"/>
        <w:textAlignment w:val="auto"/>
        <w:outlineLvl w:val="1"/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  <w:t>6.2负责项目实施进度安排等事务协调。</w:t>
      </w:r>
    </w:p>
    <w:p w14:paraId="5EAE6734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/>
        <w:autoSpaceDE w:val="0"/>
        <w:autoSpaceDN w:val="0"/>
        <w:bidi w:val="0"/>
        <w:adjustRightInd/>
        <w:snapToGrid/>
        <w:ind w:firstLine="560" w:firstLineChars="200"/>
        <w:textAlignment w:val="auto"/>
        <w:outlineLvl w:val="1"/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  <w:t>6.3作为与双方联络的全权代表，负责项目沟通，实施协调和项目验收等事务的安排与协调。</w:t>
      </w:r>
    </w:p>
    <w:p w14:paraId="457F435A">
      <w:pPr>
        <w:pStyle w:val="3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/>
        <w:autoSpaceDE w:val="0"/>
        <w:autoSpaceDN w:val="0"/>
        <w:bidi w:val="0"/>
        <w:adjustRightInd/>
        <w:snapToGrid/>
        <w:ind w:firstLine="560" w:firstLineChars="200"/>
        <w:textAlignment w:val="auto"/>
        <w:outlineLvl w:val="1"/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  <w:t>6.4在项目实施过程中，按时向项目负责人反馈实施进度。</w:t>
      </w:r>
    </w:p>
    <w:p w14:paraId="614C6855">
      <w:pPr>
        <w:keepNext w:val="0"/>
        <w:keepLines w:val="0"/>
        <w:pageBreakBefore w:val="0"/>
        <w:widowControl w:val="0"/>
        <w:kinsoku/>
        <w:wordWrap/>
        <w:overflowPunct/>
        <w:topLinePunct/>
        <w:autoSpaceDE w:val="0"/>
        <w:autoSpaceDN w:val="0"/>
        <w:bidi w:val="0"/>
        <w:adjustRightInd/>
        <w:snapToGrid/>
        <w:ind w:firstLineChars="200"/>
        <w:textAlignment w:val="auto"/>
        <w:outlineLvl w:val="1"/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  <w:t>6.5遇有困难或项目执行与计划有偏差，及时向项目负责人汇报并主动提出解决方案。</w:t>
      </w:r>
    </w:p>
    <w:p w14:paraId="2E900CCB">
      <w:pPr>
        <w:outlineLvl w:val="0"/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  <w:lang w:val="en-US" w:eastAsia="zh-CN"/>
        </w:rPr>
        <w:t>7.质量保证</w:t>
      </w:r>
    </w:p>
    <w:p w14:paraId="4631916B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FF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1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投标方负责完成基于现有电缆平台的电缆头检修梯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研制、加工、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u w:val="none"/>
          <w:lang w:val="en-US" w:eastAsia="zh-CN"/>
        </w:rPr>
        <w:t>测试等技术服务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工作。招标方提供本项目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基础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研制材料，投标方负责加工制造及现场安装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及测试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。加工安装所需的全部辅助材料、工器具、机具、试验设备及施工人员均由投标方提供。招标方提供的材料如因正常工艺损耗、加工失误或损坏导致不足，由投标方自费补齐，确保项目完整交付，上述所有费用已包含在合同总价款中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。</w:t>
      </w:r>
    </w:p>
    <w:p w14:paraId="59E6AEC8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7.2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投标方应建立健全物质管理制度，完备物质出、入库手续，并详细记录。投标方使用的材料、设备的质量和规格型号必须经招标方认可后方能用于项目。</w:t>
      </w:r>
    </w:p>
    <w:p w14:paraId="63368724">
      <w:pPr>
        <w:spacing w:line="600" w:lineRule="exact"/>
        <w:ind w:firstLine="560" w:firstLineChars="200"/>
        <w:rPr>
          <w:rFonts w:hint="eastAsia" w:ascii="仿宋" w:hAnsi="仿宋" w:eastAsia="仿宋" w:cs="仿宋"/>
          <w:b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7.3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投标方使用的材料必须达到国家标准或行业标准、施工验收规范以及设计技术要求。不论是否经过招标方代表检验，均由投标方对其质量负责。如发现投标方将不合格产品、设备用于该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，招标方有权要求投标方更换并承担全部费用。</w:t>
      </w:r>
    </w:p>
    <w:p w14:paraId="1161355D">
      <w:pPr>
        <w:pStyle w:val="3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8项目进度</w:t>
      </w:r>
    </w:p>
    <w:p w14:paraId="4438F78B">
      <w:pPr>
        <w:spacing w:line="600" w:lineRule="exact"/>
        <w:ind w:firstLine="560" w:firstLineChars="200"/>
        <w:outlineLvl w:val="0"/>
        <w:rPr>
          <w:rFonts w:hint="default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合同签订之日起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30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天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内完成所有技术服务，并提交所有交付物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。</w:t>
      </w:r>
    </w:p>
    <w:p w14:paraId="1CDD7579">
      <w:pPr>
        <w:pStyle w:val="3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服务内容</w:t>
      </w:r>
    </w:p>
    <w:p w14:paraId="3C4A88A1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.1设备的免费质保期不低于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年</w:t>
      </w:r>
    </w:p>
    <w:p w14:paraId="2D3B78D3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.2投标方必须24小时（节假日或工作日）答复售后服务的需求，并在72小时内提供技术服务。</w:t>
      </w:r>
    </w:p>
    <w:p w14:paraId="41968B76">
      <w:pPr>
        <w:pStyle w:val="3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10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项目验收</w:t>
      </w:r>
    </w:p>
    <w:p w14:paraId="623FB31A">
      <w:pPr>
        <w:spacing w:line="600" w:lineRule="exact"/>
        <w:ind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投标方在自评具备验收条件后提出验收申请，招标方在收到验收申请后五个工作日内开展项目验收。验收按照招标方制定的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eastAsia="zh-CN"/>
        </w:rPr>
        <w:t>的技术规范书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具体实施。项目验收后，验收人员将根据实际情况提出验收报告，如若有需要整改的内容，投标方在验收后应主动配合招标方严格按照整改意见进行整改完善。</w:t>
      </w:r>
    </w:p>
    <w:p w14:paraId="60B139E7">
      <w:pPr>
        <w:pStyle w:val="3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预期成果</w:t>
      </w:r>
    </w:p>
    <w:p w14:paraId="7AC8F5AC">
      <w:pPr>
        <w:pStyle w:val="5"/>
        <w:numPr>
          <w:ilvl w:val="0"/>
          <w:numId w:val="0"/>
        </w:numPr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lang w:val="en-US" w:eastAsia="zh-CN" w:bidi="ar-SA"/>
        </w:rPr>
        <w:t>提供基于现有电缆平台的电缆头检修梯的研制、测试实验加工等技术服务，最终交付：</w:t>
      </w:r>
    </w:p>
    <w:p w14:paraId="56739F2D">
      <w:pPr>
        <w:spacing w:line="600" w:lineRule="exact"/>
        <w:ind w:left="0" w:leftChars="0"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（1）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研制</w:t>
      </w: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lang w:val="en-US" w:eastAsia="zh-CN" w:bidi="ar-SA"/>
        </w:rPr>
        <w:t>电缆平台的电缆头检修梯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2套；</w:t>
      </w:r>
    </w:p>
    <w:p w14:paraId="53EDF21F">
      <w:pPr>
        <w:spacing w:line="600" w:lineRule="exact"/>
        <w:ind w:left="0" w:leftChars="0"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（2）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提交实用新型专利所需的设计材料1份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；</w:t>
      </w:r>
    </w:p>
    <w:p w14:paraId="05D3DAC9">
      <w:pPr>
        <w:spacing w:line="600" w:lineRule="exact"/>
        <w:ind w:left="0" w:leftChars="0" w:firstLine="560" w:firstLineChars="200"/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（3）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录用论文1篇；</w:t>
      </w:r>
    </w:p>
    <w:p w14:paraId="0AC26FCF">
      <w:pPr>
        <w:spacing w:line="60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（4）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制作项目宣传小视频1套；</w:t>
      </w:r>
    </w:p>
    <w:p w14:paraId="597CEB3A">
      <w:pPr>
        <w:spacing w:line="600" w:lineRule="exact"/>
        <w:ind w:firstLine="56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2"/>
          <w:sz w:val="28"/>
          <w:szCs w:val="28"/>
          <w:highlight w:val="none"/>
          <w:u w:val="none"/>
          <w:lang w:val="en-US" w:eastAsia="zh-CN"/>
        </w:rPr>
        <w:t>（5）项目成果试验报告1份。</w:t>
      </w:r>
    </w:p>
    <w:p w14:paraId="00F0F61A">
      <w:pPr>
        <w:spacing w:line="600" w:lineRule="exact"/>
        <w:ind w:firstLine="0" w:firstLineChars="0"/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</w:pPr>
    </w:p>
    <w:p w14:paraId="55E4E987">
      <w:pPr>
        <w:tabs>
          <w:tab w:val="left" w:pos="2084"/>
        </w:tabs>
        <w:bidi w:val="0"/>
        <w:jc w:val="left"/>
        <w:rPr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F7C31"/>
    <w:rsid w:val="09A90D56"/>
    <w:rsid w:val="13A0152A"/>
    <w:rsid w:val="1BDD5A46"/>
    <w:rsid w:val="1DF20549"/>
    <w:rsid w:val="256604EB"/>
    <w:rsid w:val="2F5E7ADC"/>
    <w:rsid w:val="3FBE0211"/>
    <w:rsid w:val="45AD0AAC"/>
    <w:rsid w:val="51E47AE1"/>
    <w:rsid w:val="52E32D90"/>
    <w:rsid w:val="56B05B7D"/>
    <w:rsid w:val="58DF1825"/>
    <w:rsid w:val="5AD65B96"/>
    <w:rsid w:val="5C152DD1"/>
    <w:rsid w:val="5E321018"/>
    <w:rsid w:val="5E6474C7"/>
    <w:rsid w:val="6A9D5F27"/>
    <w:rsid w:val="6B2228EE"/>
    <w:rsid w:val="705F0591"/>
    <w:rsid w:val="763D5B17"/>
    <w:rsid w:val="7FE9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4"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 w:eastAsia="宋体"/>
      <w:b/>
      <w:sz w:val="32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39"/>
    <w:pPr>
      <w:ind w:left="420" w:leftChars="200"/>
    </w:p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6"/>
    <w:next w:val="6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6">
    <w:name w:val="Title"/>
    <w:basedOn w:val="1"/>
    <w:next w:val="1"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1"/>
    <w:basedOn w:val="1"/>
    <w:next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2207</Words>
  <Characters>2295</Characters>
  <Lines>0</Lines>
  <Paragraphs>0</Paragraphs>
  <TotalTime>4</TotalTime>
  <ScaleCrop>false</ScaleCrop>
  <LinksUpToDate>false</LinksUpToDate>
  <CharactersWithSpaces>2321</CharactersWithSpaces>
  <Application>WPS Office_12.1.0.23122_F1E327BC-269C-435d-A152-05C5408002CA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2026-05-09T06:41:00Z</dcterms:created>
  <dc:creator>UNIS</dc:creator>
  <cp:lastModifiedBy>UNIS</cp:lastModifiedBy>
  <dcterms:modified xsi:type="dcterms:W3CDTF">2026-07-10T00:46:06Z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2052-12.1.0.23122</vt:lpwstr>
  </property>
  <property fmtid="{D5CDD505-2E9C-101B-9397-08002B2CF9AE}" pid="3" name="KSOTemplateDocerSaveRecord">
    <vt:lpwstr>eyJoZGlkIjoiMWQ2YjUwZmVkZDk0NmY3NDM1NzQ2Zjk5MmZkNThiMzMifQ==</vt:lpwstr>
  </property>
  <property fmtid="{D5CDD505-2E9C-101B-9397-08002B2CF9AE}" pid="4" name="ICV">
    <vt:lpwstr>123EB7418F9945248A6D3F5B97C5C08A_12</vt:lpwstr>
  </property>
</Properties>
</file>