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71FB8">
      <w:pPr>
        <w:jc w:val="center"/>
        <w:rPr>
          <w:b/>
          <w:color w:val="auto"/>
          <w:sz w:val="44"/>
          <w:szCs w:val="44"/>
          <w:highlight w:val="none"/>
        </w:rPr>
      </w:pPr>
      <w:bookmarkStart w:id="0" w:name="_Toc274902993"/>
      <w:bookmarkStart w:id="1" w:name="_Toc371453819"/>
      <w:bookmarkStart w:id="2" w:name="_Toc371453820"/>
      <w:bookmarkStart w:id="3" w:name="_Toc274903054"/>
      <w:bookmarkStart w:id="4" w:name="_Toc371343936"/>
      <w:bookmarkStart w:id="5" w:name="_Toc323572795"/>
      <w:bookmarkStart w:id="6" w:name="_Toc244916004"/>
      <w:bookmarkStart w:id="7" w:name="_Toc339216643"/>
      <w:bookmarkStart w:id="8" w:name="_Toc371343937"/>
      <w:bookmarkStart w:id="9" w:name="_Toc339216642"/>
      <w:r>
        <w:rPr>
          <w:rFonts w:hint="eastAsia" w:ascii="黑体" w:hAnsi="黑体" w:eastAsia="黑体" w:cs="黑体"/>
          <w:b w:val="0"/>
          <w:bCs w:val="0"/>
          <w:color w:val="auto"/>
          <w:sz w:val="32"/>
          <w:szCs w:val="32"/>
          <w:lang w:val="en-US" w:eastAsia="zh-CN"/>
        </w:rPr>
        <w:drawing>
          <wp:anchor distT="0" distB="0" distL="114300" distR="114300" simplePos="0" relativeHeight="251660288" behindDoc="1" locked="0" layoutInCell="1" allowOverlap="1">
            <wp:simplePos x="0" y="0"/>
            <wp:positionH relativeFrom="column">
              <wp:posOffset>-939165</wp:posOffset>
            </wp:positionH>
            <wp:positionV relativeFrom="paragraph">
              <wp:posOffset>-986155</wp:posOffset>
            </wp:positionV>
            <wp:extent cx="7765415" cy="10979150"/>
            <wp:effectExtent l="0" t="0" r="6985" b="0"/>
            <wp:wrapNone/>
            <wp:docPr id="1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0"/>
                    <a:srcRect/>
                    <a:stretch>
                      <a:fillRect/>
                    </a:stretch>
                  </pic:blipFill>
                  <pic:spPr>
                    <a:xfrm>
                      <a:off x="0" y="0"/>
                      <a:ext cx="7765415" cy="10979150"/>
                    </a:xfrm>
                    <a:prstGeom prst="rect">
                      <a:avLst/>
                    </a:prstGeom>
                    <a:noFill/>
                    <a:ln w="9525">
                      <a:noFill/>
                      <a:miter lim="800000"/>
                      <a:headEnd/>
                      <a:tailEnd/>
                    </a:ln>
                  </pic:spPr>
                </pic:pic>
              </a:graphicData>
            </a:graphic>
          </wp:anchor>
        </w:drawing>
      </w:r>
    </w:p>
    <w:p w14:paraId="793D4D4F">
      <w:pPr>
        <w:jc w:val="center"/>
        <w:rPr>
          <w:rFonts w:hint="eastAsia" w:eastAsia="黑体"/>
          <w:b/>
          <w:color w:val="auto"/>
          <w:sz w:val="48"/>
          <w:szCs w:val="48"/>
          <w:highlight w:val="none"/>
        </w:rPr>
      </w:pPr>
    </w:p>
    <w:p w14:paraId="7B563A52">
      <w:pPr>
        <w:jc w:val="center"/>
        <w:rPr>
          <w:rFonts w:hint="eastAsia" w:eastAsia="黑体"/>
          <w:b/>
          <w:color w:val="auto"/>
          <w:sz w:val="48"/>
          <w:szCs w:val="48"/>
          <w:highlight w:val="none"/>
        </w:rPr>
      </w:pPr>
    </w:p>
    <w:p w14:paraId="09D1024D">
      <w:pPr>
        <w:jc w:val="center"/>
        <w:rPr>
          <w:rFonts w:hint="eastAsia" w:eastAsia="黑体"/>
          <w:b/>
          <w:color w:val="auto"/>
          <w:sz w:val="48"/>
          <w:szCs w:val="48"/>
          <w:highlight w:val="none"/>
        </w:rPr>
      </w:pPr>
    </w:p>
    <w:p w14:paraId="633DCFEA">
      <w:pPr>
        <w:jc w:val="center"/>
        <w:rPr>
          <w:rFonts w:hint="eastAsia" w:eastAsia="黑体"/>
          <w:b/>
          <w:color w:val="auto"/>
          <w:sz w:val="48"/>
          <w:szCs w:val="48"/>
          <w:highlight w:val="none"/>
        </w:rPr>
      </w:pPr>
    </w:p>
    <w:p w14:paraId="0BC82F70">
      <w:pPr>
        <w:jc w:val="center"/>
        <w:rPr>
          <w:rFonts w:hint="eastAsia" w:eastAsia="黑体"/>
          <w:b/>
          <w:color w:val="auto"/>
          <w:sz w:val="48"/>
          <w:szCs w:val="48"/>
          <w:highlight w:val="none"/>
        </w:rPr>
      </w:pPr>
    </w:p>
    <w:p w14:paraId="5A329B95">
      <w:pPr>
        <w:jc w:val="center"/>
        <w:rPr>
          <w:rFonts w:hint="eastAsia" w:eastAsia="黑体"/>
          <w:b/>
          <w:color w:val="auto"/>
          <w:sz w:val="48"/>
          <w:szCs w:val="48"/>
          <w:highlight w:val="none"/>
        </w:rPr>
      </w:pPr>
    </w:p>
    <w:p w14:paraId="67BD39CE">
      <w:pPr>
        <w:jc w:val="center"/>
        <w:rPr>
          <w:rFonts w:hint="eastAsia" w:eastAsia="黑体"/>
          <w:b/>
          <w:color w:val="auto"/>
          <w:sz w:val="48"/>
          <w:szCs w:val="48"/>
          <w:highlight w:val="none"/>
        </w:rPr>
      </w:pPr>
    </w:p>
    <w:p w14:paraId="3AC74FBE">
      <w:pPr>
        <w:jc w:val="center"/>
        <w:rPr>
          <w:rFonts w:eastAsia="黑体"/>
          <w:b/>
          <w:color w:val="auto"/>
          <w:sz w:val="48"/>
          <w:szCs w:val="48"/>
          <w:highlight w:val="none"/>
        </w:rPr>
      </w:pPr>
      <w:r>
        <w:rPr>
          <w:rFonts w:hint="eastAsia" w:ascii="黑体" w:hAnsi="黑体" w:eastAsia="黑体"/>
          <w:b/>
          <w:color w:val="auto"/>
          <w:sz w:val="52"/>
          <w:szCs w:val="52"/>
          <w:highlight w:val="none"/>
          <w:lang w:eastAsia="zh-CN"/>
        </w:rPr>
        <w:t>超高压大理局2026年一种特高压直流线路耐张塔长宽金具串永久性辅助出串装置研制零星采购</w:t>
      </w:r>
      <w:bookmarkStart w:id="15" w:name="_GoBack"/>
      <w:bookmarkEnd w:id="15"/>
      <w:r>
        <w:rPr>
          <w:rFonts w:hint="eastAsia" w:ascii="黑体" w:hAnsi="黑体" w:eastAsia="黑体"/>
          <w:b/>
          <w:color w:val="auto"/>
          <w:sz w:val="52"/>
          <w:szCs w:val="52"/>
          <w:highlight w:val="none"/>
          <w:lang w:eastAsia="zh-CN"/>
        </w:rPr>
        <w:t>项目询价材料</w:t>
      </w:r>
    </w:p>
    <w:p w14:paraId="0F4FCDD7">
      <w:pPr>
        <w:rPr>
          <w:rFonts w:ascii="黑体" w:hAnsi="黑体" w:eastAsia="黑体"/>
          <w:b/>
          <w:color w:val="auto"/>
          <w:sz w:val="32"/>
          <w:szCs w:val="32"/>
          <w:highlight w:val="none"/>
        </w:rPr>
      </w:pPr>
    </w:p>
    <w:p w14:paraId="5936F1BD">
      <w:pPr>
        <w:jc w:val="center"/>
        <w:rPr>
          <w:rFonts w:ascii="黑体" w:hAnsi="黑体" w:eastAsia="黑体"/>
          <w:b/>
          <w:color w:val="auto"/>
          <w:sz w:val="32"/>
          <w:szCs w:val="32"/>
          <w:highlight w:val="none"/>
        </w:rPr>
      </w:pPr>
    </w:p>
    <w:p w14:paraId="207BCB9D">
      <w:pPr>
        <w:spacing w:line="280" w:lineRule="exact"/>
        <w:jc w:val="center"/>
        <w:rPr>
          <w:rFonts w:ascii="黑体" w:hAnsi="黑体" w:eastAsia="黑体"/>
          <w:b/>
          <w:color w:val="auto"/>
          <w:sz w:val="30"/>
          <w:szCs w:val="30"/>
          <w:highlight w:val="none"/>
        </w:rPr>
      </w:pPr>
    </w:p>
    <w:p w14:paraId="02758DA2">
      <w:pPr>
        <w:spacing w:line="280" w:lineRule="exact"/>
        <w:jc w:val="center"/>
        <w:rPr>
          <w:rFonts w:ascii="黑体" w:hAnsi="黑体" w:eastAsia="黑体"/>
          <w:b/>
          <w:color w:val="auto"/>
          <w:sz w:val="30"/>
          <w:szCs w:val="30"/>
          <w:highlight w:val="none"/>
        </w:rPr>
      </w:pPr>
    </w:p>
    <w:p w14:paraId="0A22AE99">
      <w:pPr>
        <w:spacing w:line="280" w:lineRule="exact"/>
        <w:rPr>
          <w:rFonts w:ascii="黑体" w:hAnsi="黑体" w:eastAsia="黑体"/>
          <w:b/>
          <w:color w:val="auto"/>
          <w:sz w:val="30"/>
          <w:szCs w:val="30"/>
          <w:highlight w:val="none"/>
        </w:rPr>
      </w:pPr>
    </w:p>
    <w:p w14:paraId="1ADDE760">
      <w:pPr>
        <w:spacing w:line="280" w:lineRule="exact"/>
        <w:rPr>
          <w:rFonts w:ascii="黑体" w:hAnsi="黑体" w:eastAsia="黑体"/>
          <w:b/>
          <w:color w:val="auto"/>
          <w:sz w:val="30"/>
          <w:szCs w:val="30"/>
          <w:highlight w:val="none"/>
        </w:rPr>
      </w:pPr>
    </w:p>
    <w:p w14:paraId="65E7E9A5">
      <w:pPr>
        <w:spacing w:line="280" w:lineRule="exact"/>
        <w:rPr>
          <w:rFonts w:ascii="黑体" w:hAnsi="黑体" w:eastAsia="黑体"/>
          <w:b/>
          <w:color w:val="auto"/>
          <w:sz w:val="30"/>
          <w:szCs w:val="30"/>
          <w:highlight w:val="none"/>
        </w:rPr>
      </w:pPr>
    </w:p>
    <w:p w14:paraId="3C6E8947">
      <w:pPr>
        <w:spacing w:line="280" w:lineRule="exact"/>
        <w:rPr>
          <w:rFonts w:ascii="黑体" w:hAnsi="黑体" w:eastAsia="黑体"/>
          <w:b/>
          <w:color w:val="auto"/>
          <w:sz w:val="30"/>
          <w:szCs w:val="30"/>
          <w:highlight w:val="none"/>
        </w:rPr>
      </w:pPr>
    </w:p>
    <w:p w14:paraId="0C15EFB8">
      <w:pPr>
        <w:spacing w:line="280" w:lineRule="exact"/>
        <w:rPr>
          <w:rFonts w:ascii="黑体" w:hAnsi="黑体" w:eastAsia="黑体"/>
          <w:b/>
          <w:color w:val="auto"/>
          <w:sz w:val="30"/>
          <w:szCs w:val="30"/>
          <w:highlight w:val="none"/>
        </w:rPr>
      </w:pPr>
    </w:p>
    <w:p w14:paraId="27FF2C44">
      <w:pPr>
        <w:spacing w:line="280" w:lineRule="exact"/>
        <w:rPr>
          <w:rFonts w:ascii="黑体" w:hAnsi="黑体" w:eastAsia="黑体"/>
          <w:b/>
          <w:color w:val="auto"/>
          <w:sz w:val="30"/>
          <w:szCs w:val="30"/>
          <w:highlight w:val="none"/>
        </w:rPr>
      </w:pPr>
    </w:p>
    <w:p w14:paraId="5871601B">
      <w:pPr>
        <w:spacing w:line="280" w:lineRule="exact"/>
        <w:rPr>
          <w:rFonts w:ascii="黑体" w:hAnsi="黑体" w:eastAsia="黑体"/>
          <w:b/>
          <w:color w:val="auto"/>
          <w:sz w:val="30"/>
          <w:szCs w:val="30"/>
          <w:highlight w:val="none"/>
        </w:rPr>
      </w:pPr>
    </w:p>
    <w:p w14:paraId="7063C6D3">
      <w:pPr>
        <w:spacing w:line="280" w:lineRule="exact"/>
        <w:rPr>
          <w:rFonts w:ascii="黑体" w:hAnsi="黑体" w:eastAsia="黑体"/>
          <w:b/>
          <w:color w:val="auto"/>
          <w:sz w:val="30"/>
          <w:szCs w:val="30"/>
          <w:highlight w:val="none"/>
        </w:rPr>
      </w:pPr>
    </w:p>
    <w:p w14:paraId="283E7805">
      <w:pPr>
        <w:spacing w:line="280" w:lineRule="exact"/>
        <w:rPr>
          <w:rFonts w:ascii="黑体" w:hAnsi="黑体" w:eastAsia="黑体"/>
          <w:b/>
          <w:color w:val="auto"/>
          <w:sz w:val="30"/>
          <w:szCs w:val="30"/>
          <w:highlight w:val="none"/>
        </w:rPr>
      </w:pPr>
    </w:p>
    <w:p w14:paraId="70F60784">
      <w:pPr>
        <w:spacing w:line="280" w:lineRule="exact"/>
        <w:rPr>
          <w:rFonts w:ascii="黑体" w:hAnsi="黑体" w:eastAsia="黑体"/>
          <w:b/>
          <w:color w:val="auto"/>
          <w:sz w:val="30"/>
          <w:szCs w:val="30"/>
          <w:highlight w:val="none"/>
        </w:rPr>
      </w:pPr>
    </w:p>
    <w:p w14:paraId="2C331ECE">
      <w:pPr>
        <w:spacing w:line="280" w:lineRule="exact"/>
        <w:rPr>
          <w:rFonts w:ascii="黑体" w:hAnsi="黑体" w:eastAsia="黑体"/>
          <w:b/>
          <w:color w:val="auto"/>
          <w:sz w:val="30"/>
          <w:szCs w:val="30"/>
          <w:highlight w:val="none"/>
        </w:rPr>
      </w:pPr>
    </w:p>
    <w:p w14:paraId="4CBD9773">
      <w:pPr>
        <w:spacing w:line="280" w:lineRule="exact"/>
        <w:rPr>
          <w:rFonts w:ascii="黑体" w:hAnsi="黑体" w:eastAsia="黑体"/>
          <w:b/>
          <w:color w:val="auto"/>
          <w:sz w:val="30"/>
          <w:szCs w:val="30"/>
          <w:highlight w:val="none"/>
        </w:rPr>
      </w:pPr>
    </w:p>
    <w:p w14:paraId="6C75CF36">
      <w:pPr>
        <w:spacing w:before="480" w:beforeLines="200" w:line="320" w:lineRule="exact"/>
        <w:jc w:val="both"/>
        <w:rPr>
          <w:rFonts w:hint="eastAsia" w:ascii="宋体" w:hAnsi="宋体" w:cs="宋体"/>
          <w:color w:val="auto"/>
          <w:sz w:val="30"/>
          <w:szCs w:val="30"/>
          <w:highlight w:val="none"/>
        </w:rPr>
      </w:pPr>
    </w:p>
    <w:p w14:paraId="003A1F31">
      <w:pPr>
        <w:spacing w:before="480" w:beforeLines="200" w:line="320" w:lineRule="exact"/>
        <w:jc w:val="center"/>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公司大理局</w:t>
      </w:r>
      <w:r>
        <w:rPr>
          <w:rFonts w:hint="eastAsia" w:ascii="宋体" w:hAnsi="宋体" w:cs="宋体"/>
          <w:color w:val="auto"/>
          <w:sz w:val="30"/>
          <w:szCs w:val="30"/>
          <w:highlight w:val="none"/>
          <w:lang w:eastAsia="zh-CN"/>
        </w:rPr>
        <w:t>生产技术部</w:t>
      </w:r>
    </w:p>
    <w:p w14:paraId="23887634">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07</w:t>
      </w:r>
      <w:r>
        <w:rPr>
          <w:rFonts w:hint="eastAsia" w:ascii="宋体" w:hAnsi="宋体" w:cs="宋体"/>
          <w:color w:val="auto"/>
          <w:sz w:val="30"/>
          <w:szCs w:val="30"/>
          <w:highlight w:val="none"/>
        </w:rPr>
        <w:t>月</w:t>
      </w:r>
    </w:p>
    <w:p w14:paraId="52C598AB">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cols w:space="720" w:num="1"/>
          <w:docGrid w:linePitch="312" w:charSpace="0"/>
        </w:sectPr>
      </w:pPr>
    </w:p>
    <w:bookmarkEnd w:id="0"/>
    <w:bookmarkEnd w:id="1"/>
    <w:bookmarkEnd w:id="2"/>
    <w:bookmarkEnd w:id="3"/>
    <w:bookmarkEnd w:id="4"/>
    <w:bookmarkEnd w:id="5"/>
    <w:bookmarkEnd w:id="6"/>
    <w:bookmarkEnd w:id="7"/>
    <w:bookmarkEnd w:id="8"/>
    <w:bookmarkEnd w:id="9"/>
    <w:p w14:paraId="49C60E53">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99839020"/>
      <w:bookmarkStart w:id="11" w:name="_Toc372699294"/>
      <w:bookmarkStart w:id="12" w:name="_Toc369269815"/>
      <w:bookmarkStart w:id="13" w:name="_Toc371153697"/>
      <w:bookmarkStart w:id="14" w:name="_Toc371344042"/>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14:paraId="5D284CCC">
      <w:pPr>
        <w:numPr>
          <w:ilvl w:val="0"/>
          <w:numId w:val="0"/>
        </w:numPr>
        <w:adjustRightInd w:val="0"/>
        <w:snapToGrid w:val="0"/>
        <w:spacing w:line="360" w:lineRule="auto"/>
        <w:ind w:firstLine="480" w:firstLineChars="200"/>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超高压大理局2026年一种特高压直流线路耐张塔长宽金具串永久性辅助出串装置研制零星采购项目</w:t>
      </w:r>
    </w:p>
    <w:p w14:paraId="23E9A456">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14:paraId="04DA7897">
      <w:pPr>
        <w:widowControl w:val="0"/>
        <w:numPr>
          <w:ilvl w:val="0"/>
          <w:numId w:val="0"/>
        </w:numPr>
        <w:adjustRightInd w:val="0"/>
        <w:snapToGrid w:val="0"/>
        <w:spacing w:line="360" w:lineRule="auto"/>
        <w:ind w:left="0" w:leftChars="0"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随着藏粤直流特高压输电工程的建设推进，大理局所辖线路部分耐张塔采用双挂四联金具串结构，金具串较长、较宽，作业人员在无辅助装置的情况下无法正常出串，线路验收及后期运维检修作业面临较大困难。现有手段均为临时性出串装置，导致检修效率低、作业强度大，尤其在复杂地形和恶劣气象条件下，人员高空坠落风险更为突出。</w:t>
      </w:r>
    </w:p>
    <w:p w14:paraId="6F4AB5CA">
      <w:pPr>
        <w:widowControl w:val="0"/>
        <w:numPr>
          <w:ilvl w:val="0"/>
          <w:numId w:val="0"/>
        </w:numPr>
        <w:adjustRightInd w:val="0"/>
        <w:snapToGrid w:val="0"/>
        <w:spacing w:line="360" w:lineRule="auto"/>
        <w:ind w:left="0" w:leftChars="0"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因此，有必要针对藏粤直流工程特点，研制一套适用于长宽金具串的永久性辅助出串装置，在基建阶段同步安装，为后续验收及运维检修提供安全、高效的作业通道，从源头上防范人身安全风险，提升线路检修作业的标准化水平。</w:t>
      </w:r>
    </w:p>
    <w:p w14:paraId="2E42A980">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14:paraId="602D1B10">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协助研制一种适用于特高压直流输电线路耐张塔长、宽金具串的永久性辅助出串装置，提升复杂工况下绝缘子串检修、更换及出串作业的安全性与作业效率，具体包括：</w:t>
      </w:r>
    </w:p>
    <w:p w14:paraId="6826412F">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3.1协助开展永久性辅助出串装置结构设计与优化</w:t>
      </w:r>
    </w:p>
    <w:p w14:paraId="1E3E763A">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针对特高压直流输电线路耐张塔长串、宽串及多联金具串结构特点，研究一种可长期安装于金具串上的永久性辅助出串装置。重点考虑不同电压等级、不同塔型及复杂气候环境下的适应性需求，开展装置轻量化、模块化及高可靠性设计。综合考虑耐腐蚀、抗风振、抗覆冰及长期户外运行稳定性等要求，通过三维建模与结构力学分析，对装置受力结构、连接方式及关键参数进行优化，验证其承载能力、环境适应能力及长期运行安全性。</w:t>
      </w:r>
    </w:p>
    <w:p w14:paraId="787DD8C8">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3.2协助完成现场应用与验证</w:t>
      </w:r>
    </w:p>
    <w:p w14:paraId="4E9E80E4">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结合“金具串较长、较宽”的典型特高压直流线路耐张塔实际工况，编制永久性辅助出串装置现场安装、运维及作业应用方案。开展试验及模拟出串验证，重点验证装置在不同塔型、不同作业场景及复杂环境条件下的适用性与可靠性，评估其对作业效率提升、人员安全保障及劳动强度降低等方面的实际效果，并根据试验反馈持续优化装置结构与使用方案。</w:t>
      </w:r>
    </w:p>
    <w:p w14:paraId="05BBBCA3">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3.3交付成果：研制一套永久性辅助出串装置并提供第三方检测报告，配合开展技术创新总结提炼及保护、论文编写相关工作。</w:t>
      </w:r>
    </w:p>
    <w:p w14:paraId="350D4006">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lang w:eastAsia="zh-CN"/>
        </w:rPr>
        <w:t>项目</w:t>
      </w:r>
      <w:r>
        <w:rPr>
          <w:rFonts w:hint="eastAsia" w:ascii="宋体" w:hAnsi="宋体"/>
          <w:b/>
          <w:bCs/>
          <w:color w:val="auto"/>
          <w:sz w:val="24"/>
          <w:highlight w:val="none"/>
          <w:lang w:val="en-US" w:eastAsia="zh-CN"/>
        </w:rPr>
        <w:t>服务</w:t>
      </w:r>
      <w:r>
        <w:rPr>
          <w:rFonts w:hint="eastAsia" w:ascii="宋体" w:hAnsi="宋体"/>
          <w:b/>
          <w:bCs/>
          <w:color w:val="auto"/>
          <w:sz w:val="24"/>
          <w:highlight w:val="none"/>
        </w:rPr>
        <w:t>清单</w:t>
      </w:r>
    </w:p>
    <w:tbl>
      <w:tblPr>
        <w:tblStyle w:val="20"/>
        <w:tblW w:w="8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602"/>
        <w:gridCol w:w="954"/>
        <w:gridCol w:w="973"/>
        <w:gridCol w:w="3120"/>
      </w:tblGrid>
      <w:tr w14:paraId="49BD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783" w:type="dxa"/>
            <w:tcBorders>
              <w:tl2br w:val="nil"/>
              <w:tr2bl w:val="nil"/>
            </w:tcBorders>
            <w:shd w:val="clear" w:color="auto" w:fill="auto"/>
            <w:vAlign w:val="center"/>
          </w:tcPr>
          <w:p w14:paraId="4186BF17">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602" w:type="dxa"/>
            <w:tcBorders>
              <w:tl2br w:val="nil"/>
              <w:tr2bl w:val="nil"/>
            </w:tcBorders>
            <w:shd w:val="clear" w:color="auto" w:fill="auto"/>
            <w:vAlign w:val="center"/>
          </w:tcPr>
          <w:p w14:paraId="635DAB8D">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服务内容</w:t>
            </w:r>
          </w:p>
        </w:tc>
        <w:tc>
          <w:tcPr>
            <w:tcW w:w="954" w:type="dxa"/>
            <w:tcBorders>
              <w:tl2br w:val="nil"/>
              <w:tr2bl w:val="nil"/>
            </w:tcBorders>
            <w:shd w:val="clear" w:color="auto" w:fill="auto"/>
            <w:vAlign w:val="center"/>
          </w:tcPr>
          <w:p w14:paraId="127B012A">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73" w:type="dxa"/>
            <w:tcBorders>
              <w:tl2br w:val="nil"/>
              <w:tr2bl w:val="nil"/>
            </w:tcBorders>
            <w:shd w:val="clear" w:color="auto" w:fill="auto"/>
            <w:vAlign w:val="center"/>
          </w:tcPr>
          <w:p w14:paraId="11BFC25B">
            <w:pPr>
              <w:widowControl/>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3120" w:type="dxa"/>
            <w:tcBorders>
              <w:tl2br w:val="nil"/>
              <w:tr2bl w:val="nil"/>
            </w:tcBorders>
            <w:shd w:val="clear" w:color="auto" w:fill="auto"/>
            <w:vAlign w:val="center"/>
          </w:tcPr>
          <w:p w14:paraId="0FBF867B">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14:paraId="2A35D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14:paraId="3B6BD766">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2602" w:type="dxa"/>
            <w:tcBorders>
              <w:tl2br w:val="nil"/>
              <w:tr2bl w:val="nil"/>
            </w:tcBorders>
            <w:shd w:val="clear" w:color="auto" w:fill="auto"/>
            <w:vAlign w:val="center"/>
          </w:tcPr>
          <w:p w14:paraId="4D19F33A">
            <w:pPr>
              <w:widowControl/>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协助开展</w:t>
            </w:r>
            <w:r>
              <w:rPr>
                <w:rFonts w:hint="default" w:asciiTheme="minorEastAsia" w:hAnsiTheme="minorEastAsia" w:eastAsiaTheme="minorEastAsia" w:cstheme="minorEastAsia"/>
                <w:color w:val="auto"/>
                <w:sz w:val="24"/>
                <w:highlight w:val="none"/>
                <w:lang w:val="en-US" w:eastAsia="zh-CN"/>
              </w:rPr>
              <w:t>一种特高压直流线路耐张塔长宽金具串永久性辅助出串装置研制</w:t>
            </w:r>
          </w:p>
        </w:tc>
        <w:tc>
          <w:tcPr>
            <w:tcW w:w="954" w:type="dxa"/>
            <w:tcBorders>
              <w:tl2br w:val="nil"/>
              <w:tr2bl w:val="nil"/>
            </w:tcBorders>
            <w:shd w:val="clear" w:color="auto" w:fill="auto"/>
            <w:vAlign w:val="center"/>
          </w:tcPr>
          <w:p w14:paraId="1297B29A">
            <w:pPr>
              <w:adjustRightInd w:val="0"/>
              <w:snapToGrid w:val="0"/>
              <w:spacing w:line="360" w:lineRule="auto"/>
              <w:jc w:val="center"/>
              <w:rPr>
                <w:rFonts w:hint="eastAsia" w:ascii="宋体" w:hAnsi="宋体" w:eastAsia="宋体" w:cs="宋体"/>
                <w:b w:val="0"/>
                <w:bCs w:val="0"/>
                <w:color w:val="auto"/>
                <w:kern w:val="0"/>
                <w:sz w:val="20"/>
                <w:szCs w:val="21"/>
                <w:lang w:val="en-US" w:eastAsia="zh-CN" w:bidi="ar-SA"/>
              </w:rPr>
            </w:pPr>
            <w:r>
              <w:rPr>
                <w:rFonts w:hint="eastAsia" w:asciiTheme="minorEastAsia" w:hAnsiTheme="minorEastAsia" w:eastAsiaTheme="minorEastAsia" w:cstheme="minorEastAsia"/>
                <w:color w:val="auto"/>
                <w:sz w:val="24"/>
                <w:highlight w:val="none"/>
                <w:lang w:val="en-US" w:eastAsia="zh-CN"/>
              </w:rPr>
              <w:t>项</w:t>
            </w:r>
          </w:p>
        </w:tc>
        <w:tc>
          <w:tcPr>
            <w:tcW w:w="973" w:type="dxa"/>
            <w:tcBorders>
              <w:tl2br w:val="nil"/>
              <w:tr2bl w:val="nil"/>
            </w:tcBorders>
            <w:shd w:val="clear" w:color="auto" w:fill="auto"/>
            <w:vAlign w:val="center"/>
          </w:tcPr>
          <w:p w14:paraId="5E1BF574">
            <w:pPr>
              <w:widowControl/>
              <w:jc w:val="center"/>
              <w:textAlignment w:val="center"/>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 xml:space="preserve">1 </w:t>
            </w:r>
          </w:p>
        </w:tc>
        <w:tc>
          <w:tcPr>
            <w:tcW w:w="3120" w:type="dxa"/>
            <w:tcBorders>
              <w:tl2br w:val="nil"/>
              <w:tr2bl w:val="nil"/>
            </w:tcBorders>
            <w:shd w:val="clear" w:color="auto" w:fill="auto"/>
            <w:vAlign w:val="center"/>
          </w:tcPr>
          <w:p w14:paraId="0C411FB2">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详见技术要求3</w:t>
            </w:r>
          </w:p>
        </w:tc>
      </w:tr>
      <w:bookmarkEnd w:id="10"/>
      <w:bookmarkEnd w:id="11"/>
      <w:bookmarkEnd w:id="12"/>
      <w:bookmarkEnd w:id="13"/>
      <w:bookmarkEnd w:id="14"/>
    </w:tbl>
    <w:p w14:paraId="56458068">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5 </w:t>
      </w:r>
      <w:r>
        <w:rPr>
          <w:rFonts w:hint="eastAsia" w:ascii="宋体" w:hAnsi="宋体" w:cs="宋体"/>
          <w:b/>
          <w:bCs/>
          <w:color w:val="auto"/>
          <w:sz w:val="24"/>
          <w:highlight w:val="none"/>
        </w:rPr>
        <w:t>售后服务要求</w:t>
      </w:r>
    </w:p>
    <w:p w14:paraId="7A18B95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发票要求：报价单位可提供符合规定税率的全额增值税专用发票。</w:t>
      </w:r>
    </w:p>
    <w:p w14:paraId="5198179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质保期及售后服务响应要求：质保期不少于1年，质保期内有任何质量问题将免费进行修理、更换；售后服务的响应时间在4小时内；提供技术支持。</w:t>
      </w:r>
    </w:p>
    <w:p w14:paraId="31EBC96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交付时间及地点要求：交货时间为202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w:t>
      </w:r>
      <w:r>
        <w:rPr>
          <w:rFonts w:hint="eastAsia" w:ascii="宋体" w:hAnsi="宋体" w:cs="宋体"/>
          <w:color w:val="auto"/>
          <w:sz w:val="24"/>
          <w:highlight w:val="none"/>
          <w:lang w:val="en-US" w:eastAsia="zh-CN"/>
        </w:rPr>
        <w:t>交付</w:t>
      </w:r>
      <w:r>
        <w:rPr>
          <w:rFonts w:hint="eastAsia" w:ascii="宋体" w:hAnsi="宋体" w:cs="宋体"/>
          <w:color w:val="auto"/>
          <w:sz w:val="24"/>
          <w:highlight w:val="none"/>
        </w:rPr>
        <w:t>地点为中国南方电网有限责任公司超高压输电公司大理局。</w:t>
      </w:r>
    </w:p>
    <w:p w14:paraId="3E607B2B">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 </w:t>
      </w:r>
      <w:r>
        <w:rPr>
          <w:rFonts w:hint="eastAsia" w:ascii="宋体" w:hAnsi="宋体" w:cs="宋体"/>
          <w:b/>
          <w:bCs/>
          <w:color w:val="auto"/>
          <w:sz w:val="24"/>
          <w:highlight w:val="none"/>
        </w:rPr>
        <w:t>报价文件格式要求</w:t>
      </w:r>
    </w:p>
    <w:p w14:paraId="5551B8D9">
      <w:pPr>
        <w:spacing w:line="360" w:lineRule="auto"/>
        <w:ind w:firstLine="480" w:firstLineChars="200"/>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6.1 </w:t>
      </w:r>
      <w:r>
        <w:rPr>
          <w:rFonts w:hint="eastAsia" w:ascii="宋体" w:hAnsi="宋体" w:cs="宋体"/>
          <w:b/>
          <w:bCs/>
          <w:color w:val="auto"/>
          <w:sz w:val="24"/>
          <w:highlight w:val="none"/>
        </w:rPr>
        <w:t>报价单位需提供盖章版（单位行政印章）纸质报价文件</w:t>
      </w:r>
      <w:r>
        <w:rPr>
          <w:rFonts w:hint="eastAsia" w:ascii="宋体" w:hAnsi="宋体" w:cs="宋体"/>
          <w:color w:val="auto"/>
          <w:sz w:val="24"/>
          <w:highlight w:val="none"/>
        </w:rPr>
        <w:t>，报价文件包括但不限于：报价表、品质、售后服务及相关资质文件（复印件），</w:t>
      </w:r>
      <w:r>
        <w:rPr>
          <w:rFonts w:hint="eastAsia" w:ascii="宋体" w:hAnsi="宋体"/>
          <w:b/>
          <w:bCs/>
          <w:color w:val="auto"/>
          <w:sz w:val="24"/>
          <w:highlight w:val="none"/>
        </w:rPr>
        <w:t>《</w:t>
      </w:r>
      <w:r>
        <w:rPr>
          <w:rFonts w:hint="eastAsia" w:ascii="宋体" w:hAnsi="宋体" w:cs="宋体"/>
          <w:b/>
          <w:bCs/>
          <w:color w:val="auto"/>
          <w:sz w:val="24"/>
          <w:highlight w:val="none"/>
        </w:rPr>
        <w:t>报价文件格式》</w:t>
      </w:r>
      <w:r>
        <w:rPr>
          <w:rFonts w:hint="eastAsia" w:ascii="宋体" w:hAnsi="宋体" w:cs="宋体"/>
          <w:b/>
          <w:bCs/>
          <w:color w:val="auto"/>
          <w:sz w:val="24"/>
          <w:highlight w:val="none"/>
          <w:lang w:eastAsia="zh-CN"/>
        </w:rPr>
        <w:t>详见附件</w:t>
      </w:r>
      <w:r>
        <w:rPr>
          <w:rFonts w:hint="eastAsia" w:ascii="宋体" w:hAnsi="宋体" w:cs="宋体"/>
          <w:b/>
          <w:bCs/>
          <w:color w:val="auto"/>
          <w:sz w:val="24"/>
          <w:highlight w:val="none"/>
          <w:lang w:val="en-US" w:eastAsia="zh-CN"/>
        </w:rPr>
        <w:t>1。</w:t>
      </w:r>
    </w:p>
    <w:p w14:paraId="0E7A63B0">
      <w:pPr>
        <w:numPr>
          <w:ilvl w:val="0"/>
          <w:numId w:val="3"/>
        </w:numPr>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合同条款说明</w:t>
      </w:r>
    </w:p>
    <w:p w14:paraId="72763DAC">
      <w:pPr>
        <w:spacing w:line="360" w:lineRule="auto"/>
        <w:ind w:firstLine="480" w:firstLineChars="200"/>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7.1采购人和成交供应商应当在零星采购成交通知书发出之日起30日内，根据询价材料和成交供应商的报价文件订立书面合同。</w:t>
      </w:r>
    </w:p>
    <w:p w14:paraId="72CAB2BD">
      <w:pPr>
        <w:spacing w:line="360" w:lineRule="auto"/>
        <w:ind w:firstLine="480" w:firstLineChars="200"/>
        <w:rPr>
          <w:rFonts w:hint="eastAsia" w:ascii="宋体" w:hAnsi="宋体" w:cs="宋体"/>
          <w:b/>
          <w:bCs/>
          <w:color w:val="auto"/>
          <w:sz w:val="24"/>
          <w:highlight w:val="none"/>
          <w:lang w:val="en-US" w:eastAsia="zh-CN"/>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b w:val="0"/>
          <w:bCs w:val="0"/>
          <w:color w:val="auto"/>
          <w:sz w:val="24"/>
          <w:highlight w:val="none"/>
          <w:lang w:val="en-US" w:eastAsia="zh-CN"/>
        </w:rPr>
        <w:t>7.2合同签署完成后，</w:t>
      </w:r>
      <w:r>
        <w:rPr>
          <w:rFonts w:hint="eastAsia" w:ascii="宋体" w:hAnsi="宋体" w:cs="宋体"/>
          <w:color w:val="auto"/>
          <w:sz w:val="24"/>
          <w:highlight w:val="none"/>
          <w:lang w:val="en-US" w:eastAsia="zh-CN"/>
        </w:rPr>
        <w:t>成交供应商应当在3个月内完成技术合同认定登记。</w:t>
      </w:r>
    </w:p>
    <w:p w14:paraId="5134651C">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lang w:eastAsia="zh-CN"/>
        </w:rPr>
        <w:t>附件</w:t>
      </w:r>
      <w:r>
        <w:rPr>
          <w:rFonts w:hint="eastAsia"/>
          <w:b/>
          <w:bCs/>
          <w:color w:val="auto"/>
          <w:spacing w:val="10"/>
          <w:kern w:val="0"/>
          <w:sz w:val="28"/>
          <w:szCs w:val="28"/>
          <w:highlight w:val="none"/>
          <w:lang w:val="en-US" w:eastAsia="zh-CN"/>
        </w:rPr>
        <w:t>1：</w:t>
      </w:r>
      <w:r>
        <w:rPr>
          <w:rFonts w:hint="eastAsia"/>
          <w:b/>
          <w:bCs/>
          <w:color w:val="auto"/>
          <w:spacing w:val="10"/>
          <w:kern w:val="0"/>
          <w:sz w:val="28"/>
          <w:szCs w:val="28"/>
          <w:highlight w:val="none"/>
        </w:rPr>
        <w:t>《报价文件格式》:</w:t>
      </w:r>
    </w:p>
    <w:p w14:paraId="65916CDE">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14:paraId="1C51E06A">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14:paraId="73DF1194">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14:paraId="380A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14:paraId="72010AB7">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序号</w:t>
            </w:r>
          </w:p>
        </w:tc>
        <w:tc>
          <w:tcPr>
            <w:tcW w:w="2409" w:type="dxa"/>
            <w:vAlign w:val="center"/>
          </w:tcPr>
          <w:p w14:paraId="1F507A70">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项目名称</w:t>
            </w:r>
          </w:p>
        </w:tc>
        <w:tc>
          <w:tcPr>
            <w:tcW w:w="531" w:type="dxa"/>
            <w:vAlign w:val="center"/>
          </w:tcPr>
          <w:p w14:paraId="45AA3117">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单位</w:t>
            </w:r>
          </w:p>
        </w:tc>
        <w:tc>
          <w:tcPr>
            <w:tcW w:w="681" w:type="dxa"/>
            <w:vAlign w:val="center"/>
          </w:tcPr>
          <w:p w14:paraId="038F411B">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数量</w:t>
            </w:r>
          </w:p>
        </w:tc>
        <w:tc>
          <w:tcPr>
            <w:tcW w:w="1108" w:type="dxa"/>
            <w:vAlign w:val="center"/>
          </w:tcPr>
          <w:p w14:paraId="13D51CBC">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单价（元）</w:t>
            </w:r>
          </w:p>
        </w:tc>
        <w:tc>
          <w:tcPr>
            <w:tcW w:w="1214" w:type="dxa"/>
            <w:vAlign w:val="center"/>
          </w:tcPr>
          <w:p w14:paraId="0C3501CE">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总价（元）</w:t>
            </w:r>
          </w:p>
        </w:tc>
        <w:tc>
          <w:tcPr>
            <w:tcW w:w="2182" w:type="dxa"/>
            <w:vAlign w:val="center"/>
          </w:tcPr>
          <w:p w14:paraId="5C28566D">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备注</w:t>
            </w:r>
          </w:p>
        </w:tc>
      </w:tr>
      <w:tr w14:paraId="0F60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15" w:type="dxa"/>
            <w:vAlign w:val="center"/>
          </w:tcPr>
          <w:p w14:paraId="2E6BFB66">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color w:val="auto"/>
                <w:kern w:val="0"/>
                <w:sz w:val="20"/>
                <w:szCs w:val="21"/>
              </w:rPr>
              <w:t>1</w:t>
            </w:r>
          </w:p>
        </w:tc>
        <w:tc>
          <w:tcPr>
            <w:tcW w:w="2409" w:type="dxa"/>
            <w:vAlign w:val="center"/>
          </w:tcPr>
          <w:p w14:paraId="13638A07">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eastAsia="宋体" w:cs="宋体"/>
                <w:b w:val="0"/>
                <w:bCs w:val="0"/>
                <w:color w:val="auto"/>
                <w:kern w:val="0"/>
                <w:sz w:val="20"/>
                <w:szCs w:val="21"/>
                <w:lang w:val="en-US" w:eastAsia="zh-CN"/>
              </w:rPr>
              <w:t>超高压大理局2026年一种特高压直流线路耐张塔长宽金具串永久性辅助出串装置研制零星采购项目</w:t>
            </w:r>
          </w:p>
        </w:tc>
        <w:tc>
          <w:tcPr>
            <w:tcW w:w="531" w:type="dxa"/>
            <w:vAlign w:val="center"/>
          </w:tcPr>
          <w:p w14:paraId="2E3F222F">
            <w:pPr>
              <w:adjustRightInd w:val="0"/>
              <w:snapToGrid w:val="0"/>
              <w:spacing w:line="360" w:lineRule="auto"/>
              <w:jc w:val="center"/>
              <w:rPr>
                <w:rFonts w:hint="eastAsia" w:ascii="宋体" w:hAnsi="宋体" w:eastAsia="宋体" w:cs="宋体"/>
                <w:b w:val="0"/>
                <w:bCs w:val="0"/>
                <w:color w:val="auto"/>
                <w:kern w:val="0"/>
                <w:sz w:val="20"/>
                <w:szCs w:val="21"/>
                <w:lang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04AC1AA6">
            <w:pPr>
              <w:adjustRightInd w:val="0"/>
              <w:snapToGrid w:val="0"/>
              <w:spacing w:line="360" w:lineRule="auto"/>
              <w:jc w:val="center"/>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rPr>
              <w:t>1</w:t>
            </w:r>
          </w:p>
        </w:tc>
        <w:tc>
          <w:tcPr>
            <w:tcW w:w="1108" w:type="dxa"/>
            <w:vAlign w:val="center"/>
          </w:tcPr>
          <w:p w14:paraId="54764A40">
            <w:pPr>
              <w:adjustRightInd w:val="0"/>
              <w:snapToGrid w:val="0"/>
              <w:spacing w:line="360" w:lineRule="auto"/>
              <w:jc w:val="center"/>
              <w:rPr>
                <w:rFonts w:hint="eastAsia" w:ascii="宋体" w:hAnsi="宋体" w:cs="宋体"/>
                <w:b w:val="0"/>
                <w:bCs w:val="0"/>
                <w:color w:val="auto"/>
                <w:kern w:val="0"/>
                <w:sz w:val="20"/>
                <w:szCs w:val="21"/>
              </w:rPr>
            </w:pPr>
          </w:p>
        </w:tc>
        <w:tc>
          <w:tcPr>
            <w:tcW w:w="1214" w:type="dxa"/>
            <w:vAlign w:val="center"/>
          </w:tcPr>
          <w:p w14:paraId="0A38A720">
            <w:pPr>
              <w:adjustRightInd w:val="0"/>
              <w:snapToGrid w:val="0"/>
              <w:spacing w:line="360" w:lineRule="auto"/>
              <w:jc w:val="center"/>
              <w:rPr>
                <w:rFonts w:hint="eastAsia" w:ascii="宋体" w:hAnsi="宋体" w:cs="宋体"/>
                <w:b w:val="0"/>
                <w:bCs w:val="0"/>
                <w:color w:val="auto"/>
                <w:kern w:val="0"/>
                <w:sz w:val="20"/>
                <w:szCs w:val="21"/>
              </w:rPr>
            </w:pPr>
          </w:p>
        </w:tc>
        <w:tc>
          <w:tcPr>
            <w:tcW w:w="2182" w:type="dxa"/>
            <w:vAlign w:val="center"/>
          </w:tcPr>
          <w:p w14:paraId="109F9CEC">
            <w:pPr>
              <w:numPr>
                <w:ilvl w:val="0"/>
                <w:numId w:val="0"/>
              </w:numPr>
              <w:adjustRightInd w:val="0"/>
              <w:snapToGrid w:val="0"/>
              <w:spacing w:line="360" w:lineRule="auto"/>
              <w:jc w:val="both"/>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1、包含执行本项目所发的所有费用；</w:t>
            </w:r>
          </w:p>
          <w:p w14:paraId="6B73DE2C">
            <w:pPr>
              <w:adjustRightInd w:val="0"/>
              <w:snapToGrid w:val="0"/>
              <w:spacing w:line="360" w:lineRule="auto"/>
              <w:jc w:val="both"/>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lang w:val="en-US" w:eastAsia="zh-CN"/>
              </w:rPr>
              <w:t>2、提供全额增值税专用发票。</w:t>
            </w:r>
          </w:p>
        </w:tc>
      </w:tr>
      <w:tr w14:paraId="0012D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14:paraId="092F31BA">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b/>
                <w:bCs/>
                <w:color w:val="auto"/>
                <w:kern w:val="0"/>
                <w:sz w:val="20"/>
                <w:szCs w:val="21"/>
              </w:rPr>
              <w:t>分项报价清单</w:t>
            </w:r>
          </w:p>
        </w:tc>
      </w:tr>
      <w:tr w14:paraId="7854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14:paraId="1CEC5DC1">
            <w:pPr>
              <w:adjustRightInd w:val="0"/>
              <w:snapToGrid w:val="0"/>
              <w:spacing w:line="360" w:lineRule="auto"/>
              <w:jc w:val="center"/>
              <w:rPr>
                <w:rFonts w:hint="eastAsia" w:ascii="宋体" w:hAnsi="宋体" w:cs="宋体"/>
                <w:b/>
                <w:bCs/>
                <w:color w:val="auto"/>
                <w:kern w:val="0"/>
                <w:sz w:val="20"/>
                <w:szCs w:val="21"/>
                <w:lang w:val="en-US" w:eastAsia="zh-CN"/>
              </w:rPr>
            </w:pPr>
            <w:r>
              <w:rPr>
                <w:rFonts w:hint="eastAsia" w:ascii="宋体" w:hAnsi="宋体" w:cs="宋体"/>
                <w:b/>
                <w:bCs/>
                <w:color w:val="auto"/>
                <w:kern w:val="0"/>
                <w:sz w:val="20"/>
                <w:szCs w:val="21"/>
                <w:lang w:val="en-US" w:eastAsia="zh-CN"/>
              </w:rPr>
              <w:t>序号</w:t>
            </w:r>
          </w:p>
        </w:tc>
        <w:tc>
          <w:tcPr>
            <w:tcW w:w="2409" w:type="dxa"/>
            <w:vAlign w:val="center"/>
          </w:tcPr>
          <w:p w14:paraId="6CFDA93F">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cs="宋体"/>
                <w:b/>
                <w:bCs/>
                <w:color w:val="auto"/>
                <w:kern w:val="0"/>
                <w:sz w:val="20"/>
                <w:szCs w:val="21"/>
                <w:lang w:val="en-US" w:eastAsia="zh-CN"/>
              </w:rPr>
              <w:t>采购/服务内容</w:t>
            </w:r>
          </w:p>
        </w:tc>
        <w:tc>
          <w:tcPr>
            <w:tcW w:w="531" w:type="dxa"/>
            <w:vAlign w:val="center"/>
          </w:tcPr>
          <w:p w14:paraId="5110E9C7">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eastAsia="宋体" w:cs="宋体"/>
                <w:b/>
                <w:bCs/>
                <w:color w:val="auto"/>
                <w:kern w:val="0"/>
                <w:sz w:val="20"/>
                <w:szCs w:val="21"/>
                <w:lang w:val="en-US" w:eastAsia="zh-CN"/>
              </w:rPr>
              <w:t>单位</w:t>
            </w:r>
          </w:p>
        </w:tc>
        <w:tc>
          <w:tcPr>
            <w:tcW w:w="681" w:type="dxa"/>
            <w:vAlign w:val="center"/>
          </w:tcPr>
          <w:p w14:paraId="306BBE0A">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数量</w:t>
            </w:r>
          </w:p>
        </w:tc>
        <w:tc>
          <w:tcPr>
            <w:tcW w:w="1108" w:type="dxa"/>
            <w:vAlign w:val="center"/>
          </w:tcPr>
          <w:p w14:paraId="535C1D25">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单价（元）</w:t>
            </w:r>
          </w:p>
        </w:tc>
        <w:tc>
          <w:tcPr>
            <w:tcW w:w="1214" w:type="dxa"/>
            <w:vAlign w:val="center"/>
          </w:tcPr>
          <w:p w14:paraId="14F074AF">
            <w:pPr>
              <w:adjustRightInd w:val="0"/>
              <w:snapToGrid w:val="0"/>
              <w:spacing w:line="360" w:lineRule="auto"/>
              <w:jc w:val="center"/>
              <w:rPr>
                <w:rFonts w:hint="default"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总价（元）</w:t>
            </w:r>
          </w:p>
        </w:tc>
        <w:tc>
          <w:tcPr>
            <w:tcW w:w="2182" w:type="dxa"/>
            <w:vAlign w:val="center"/>
          </w:tcPr>
          <w:p w14:paraId="0D90E99E">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备注</w:t>
            </w:r>
          </w:p>
        </w:tc>
      </w:tr>
      <w:tr w14:paraId="615DC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2807B066">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1</w:t>
            </w:r>
          </w:p>
        </w:tc>
        <w:tc>
          <w:tcPr>
            <w:tcW w:w="2409" w:type="dxa"/>
            <w:vAlign w:val="center"/>
          </w:tcPr>
          <w:p w14:paraId="161D2F24">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default" w:ascii="宋体" w:hAnsi="宋体" w:eastAsia="宋体" w:cs="宋体"/>
                <w:b w:val="0"/>
                <w:bCs w:val="0"/>
                <w:color w:val="auto"/>
                <w:kern w:val="0"/>
                <w:sz w:val="20"/>
                <w:szCs w:val="21"/>
                <w:lang w:val="en-US" w:eastAsia="zh-CN"/>
              </w:rPr>
              <w:t>协助开展永久性辅助出串装置结构设计与优化</w:t>
            </w:r>
          </w:p>
        </w:tc>
        <w:tc>
          <w:tcPr>
            <w:tcW w:w="531" w:type="dxa"/>
            <w:vAlign w:val="center"/>
          </w:tcPr>
          <w:p w14:paraId="061BE4A3">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56152391">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5F82D56E">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3203CDA6">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0E319964">
            <w:pPr>
              <w:adjustRightInd w:val="0"/>
              <w:snapToGrid w:val="0"/>
              <w:spacing w:line="240" w:lineRule="auto"/>
              <w:jc w:val="center"/>
              <w:rPr>
                <w:rFonts w:hint="eastAsia" w:ascii="宋体" w:hAnsi="宋体" w:cs="宋体"/>
                <w:color w:val="auto"/>
                <w:kern w:val="0"/>
                <w:sz w:val="20"/>
                <w:szCs w:val="21"/>
                <w:lang w:val="en-US"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2269A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199ED607">
            <w:pPr>
              <w:adjustRightInd w:val="0"/>
              <w:snapToGrid w:val="0"/>
              <w:spacing w:line="360" w:lineRule="auto"/>
              <w:jc w:val="center"/>
              <w:rPr>
                <w:rFonts w:hint="eastAsia"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2</w:t>
            </w:r>
          </w:p>
        </w:tc>
        <w:tc>
          <w:tcPr>
            <w:tcW w:w="2409" w:type="dxa"/>
            <w:vAlign w:val="center"/>
          </w:tcPr>
          <w:p w14:paraId="0A92D255">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协助完成现场应用与验证</w:t>
            </w:r>
          </w:p>
        </w:tc>
        <w:tc>
          <w:tcPr>
            <w:tcW w:w="531" w:type="dxa"/>
            <w:vAlign w:val="center"/>
          </w:tcPr>
          <w:p w14:paraId="7B59766E">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2B006948">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13BD8AAE">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0DA73EF0">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18FE7401">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06BA6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14:paraId="5B566315">
            <w:pPr>
              <w:adjustRightInd w:val="0"/>
              <w:snapToGrid w:val="0"/>
              <w:spacing w:line="360" w:lineRule="auto"/>
              <w:jc w:val="center"/>
              <w:rPr>
                <w:rFonts w:hint="eastAsia" w:ascii="宋体" w:hAnsi="宋体" w:cs="宋体"/>
                <w:color w:val="auto"/>
                <w:kern w:val="0"/>
                <w:sz w:val="20"/>
                <w:szCs w:val="21"/>
              </w:rPr>
            </w:pPr>
          </w:p>
        </w:tc>
        <w:tc>
          <w:tcPr>
            <w:tcW w:w="2409" w:type="dxa"/>
            <w:vAlign w:val="center"/>
          </w:tcPr>
          <w:p w14:paraId="7D3D257A">
            <w:pPr>
              <w:adjustRightInd w:val="0"/>
              <w:snapToGrid w:val="0"/>
              <w:spacing w:line="360" w:lineRule="auto"/>
              <w:ind w:firstLine="843" w:firstLineChars="400"/>
              <w:jc w:val="both"/>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合计</w:t>
            </w:r>
          </w:p>
        </w:tc>
        <w:tc>
          <w:tcPr>
            <w:tcW w:w="5716" w:type="dxa"/>
            <w:gridSpan w:val="5"/>
            <w:vAlign w:val="center"/>
          </w:tcPr>
          <w:p w14:paraId="66BFBA40">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xx元</w:t>
            </w:r>
          </w:p>
        </w:tc>
      </w:tr>
    </w:tbl>
    <w:p w14:paraId="377BF37E">
      <w:pPr>
        <w:spacing w:line="360" w:lineRule="auto"/>
        <w:rPr>
          <w:rFonts w:ascii="宋体" w:hAnsi="宋体" w:cs="宋体"/>
          <w:color w:val="auto"/>
          <w:szCs w:val="21"/>
        </w:rPr>
      </w:pPr>
      <w:r>
        <w:rPr>
          <w:rFonts w:hint="eastAsia" w:ascii="宋体" w:hAnsi="宋体" w:cs="宋体"/>
          <w:color w:val="auto"/>
          <w:szCs w:val="21"/>
        </w:rPr>
        <w:t>注：</w:t>
      </w:r>
    </w:p>
    <w:p w14:paraId="371F2122">
      <w:pPr>
        <w:spacing w:line="360" w:lineRule="auto"/>
        <w:rPr>
          <w:rFonts w:ascii="宋体" w:hAnsi="宋体" w:cs="宋体"/>
          <w:color w:val="auto"/>
          <w:szCs w:val="21"/>
        </w:rPr>
      </w:pPr>
      <w:r>
        <w:rPr>
          <w:rFonts w:hint="eastAsia" w:ascii="宋体" w:hAnsi="宋体" w:cs="宋体"/>
          <w:color w:val="auto"/>
          <w:spacing w:val="-1"/>
          <w:szCs w:val="21"/>
        </w:rPr>
        <w:t>1、若单价和总价有差异，以单价为准；</w:t>
      </w:r>
    </w:p>
    <w:p w14:paraId="34AFE648">
      <w:pPr>
        <w:spacing w:line="360" w:lineRule="auto"/>
        <w:rPr>
          <w:rFonts w:ascii="宋体" w:hAnsi="宋体" w:cs="宋体"/>
          <w:color w:val="auto"/>
          <w:szCs w:val="21"/>
        </w:rPr>
      </w:pPr>
      <w:r>
        <w:rPr>
          <w:rFonts w:hint="eastAsia" w:ascii="宋体" w:hAnsi="宋体" w:cs="宋体"/>
          <w:color w:val="auto"/>
          <w:spacing w:val="-1"/>
          <w:szCs w:val="21"/>
        </w:rPr>
        <w:t>2、</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为执行本项目所发生的其他一切费用均已包含在总价中；</w:t>
      </w:r>
    </w:p>
    <w:p w14:paraId="26B60F0F">
      <w:pPr>
        <w:spacing w:line="360" w:lineRule="auto"/>
        <w:rPr>
          <w:rFonts w:hint="eastAsia" w:ascii="宋体" w:hAnsi="宋体" w:cs="宋体"/>
          <w:color w:val="auto"/>
          <w:spacing w:val="-1"/>
          <w:szCs w:val="21"/>
        </w:rPr>
      </w:pPr>
      <w:r>
        <w:rPr>
          <w:rFonts w:hint="eastAsia" w:ascii="宋体" w:hAnsi="宋体" w:cs="宋体"/>
          <w:color w:val="auto"/>
          <w:spacing w:val="-1"/>
          <w:szCs w:val="21"/>
        </w:rPr>
        <w:t>3、按照询价文件中的需求进行报价，报价包含运杂费、服务</w:t>
      </w:r>
      <w:r>
        <w:rPr>
          <w:rFonts w:hint="eastAsia" w:ascii="宋体" w:hAnsi="宋体" w:cs="宋体"/>
          <w:color w:val="auto"/>
          <w:spacing w:val="-1"/>
          <w:szCs w:val="21"/>
          <w:lang w:val="en-US" w:eastAsia="zh-CN"/>
        </w:rPr>
        <w:t>/产品</w:t>
      </w:r>
      <w:r>
        <w:rPr>
          <w:rFonts w:hint="eastAsia" w:ascii="宋体" w:hAnsi="宋体" w:cs="宋体"/>
          <w:color w:val="auto"/>
          <w:spacing w:val="-1"/>
          <w:szCs w:val="21"/>
        </w:rPr>
        <w:t>费</w:t>
      </w:r>
      <w:r>
        <w:rPr>
          <w:rFonts w:hint="eastAsia" w:ascii="宋体" w:hAnsi="宋体" w:cs="宋体"/>
          <w:color w:val="auto"/>
          <w:spacing w:val="-1"/>
          <w:szCs w:val="21"/>
          <w:lang w:eastAsia="zh-CN"/>
        </w:rPr>
        <w:t>、税费</w:t>
      </w:r>
      <w:r>
        <w:rPr>
          <w:rFonts w:hint="eastAsia" w:ascii="宋体" w:hAnsi="宋体" w:cs="宋体"/>
          <w:color w:val="auto"/>
          <w:spacing w:val="-1"/>
          <w:szCs w:val="21"/>
        </w:rPr>
        <w:t xml:space="preserve">，发票应按照分项报价清单分项开具对应符合规定税率的全额增值税专用发票。 </w:t>
      </w:r>
    </w:p>
    <w:p w14:paraId="2D311A91">
      <w:pPr>
        <w:spacing w:line="360" w:lineRule="auto"/>
        <w:jc w:val="right"/>
        <w:rPr>
          <w:rFonts w:hint="eastAsia" w:ascii="宋体" w:hAnsi="宋体" w:cs="宋体"/>
          <w:color w:val="auto"/>
          <w:spacing w:val="-1"/>
          <w:szCs w:val="21"/>
        </w:rPr>
      </w:pPr>
    </w:p>
    <w:p w14:paraId="71877D3B">
      <w:pPr>
        <w:wordWrap w:val="0"/>
        <w:spacing w:line="360" w:lineRule="auto"/>
        <w:jc w:val="right"/>
        <w:rPr>
          <w:rFonts w:hint="default" w:ascii="宋体" w:hAnsi="宋体" w:eastAsia="宋体" w:cs="宋体"/>
          <w:color w:val="auto"/>
          <w:spacing w:val="-1"/>
          <w:szCs w:val="21"/>
          <w:lang w:val="en-US" w:eastAsia="zh-CN"/>
        </w:rPr>
      </w:pPr>
      <w:r>
        <w:rPr>
          <w:rFonts w:hint="eastAsia" w:ascii="宋体" w:hAnsi="宋体" w:cs="宋体"/>
          <w:color w:val="auto"/>
          <w:spacing w:val="-1"/>
          <w:szCs w:val="21"/>
        </w:rPr>
        <w:t>法定代表人或其授权代理人签字：</w:t>
      </w:r>
      <w:r>
        <w:rPr>
          <w:rFonts w:hint="eastAsia" w:ascii="宋体" w:hAnsi="宋体" w:cs="宋体"/>
          <w:color w:val="auto"/>
          <w:spacing w:val="-1"/>
          <w:szCs w:val="21"/>
          <w:lang w:val="en-US" w:eastAsia="zh-CN"/>
        </w:rPr>
        <w:t xml:space="preserve">     </w:t>
      </w:r>
    </w:p>
    <w:p w14:paraId="37B1C570">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color w:val="auto"/>
          <w:spacing w:val="-1"/>
          <w:szCs w:val="21"/>
        </w:rPr>
        <w:t>年     月     日</w:t>
      </w:r>
      <w:r>
        <w:rPr>
          <w:rFonts w:hint="eastAsia" w:ascii="宋体" w:hAnsi="宋体" w:cs="宋体"/>
          <w:color w:val="auto"/>
          <w:spacing w:val="-1"/>
          <w:szCs w:val="21"/>
          <w:lang w:val="en-US" w:eastAsia="zh-CN"/>
        </w:rPr>
        <w:t xml:space="preserve">          </w:t>
      </w:r>
    </w:p>
    <w:p w14:paraId="1253CC01">
      <w:pPr>
        <w:spacing w:line="360" w:lineRule="auto"/>
        <w:jc w:val="center"/>
        <w:rPr>
          <w:color w:val="auto"/>
          <w:spacing w:val="-1"/>
          <w:sz w:val="24"/>
          <w:highlight w:val="none"/>
        </w:rPr>
        <w:sectPr>
          <w:footerReference r:id="rId7" w:type="default"/>
          <w:pgSz w:w="11906" w:h="16838"/>
          <w:pgMar w:top="1440" w:right="1800" w:bottom="1440" w:left="1800" w:header="851" w:footer="992" w:gutter="0"/>
          <w:pgNumType w:fmt="decimal"/>
          <w:cols w:space="720" w:num="1"/>
          <w:docGrid w:type="lines" w:linePitch="312" w:charSpace="0"/>
        </w:sectPr>
      </w:pPr>
    </w:p>
    <w:p w14:paraId="41AD4BE0">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6172"/>
        <w:gridCol w:w="1794"/>
      </w:tblGrid>
      <w:tr w14:paraId="658C9D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14:paraId="2C92D5A8">
            <w:pPr>
              <w:widowControl/>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6172" w:type="dxa"/>
            <w:tcBorders>
              <w:tl2br w:val="nil"/>
              <w:tr2bl w:val="nil"/>
            </w:tcBorders>
            <w:shd w:val="clear" w:color="auto" w:fill="auto"/>
            <w:vAlign w:val="center"/>
          </w:tcPr>
          <w:p w14:paraId="524B3DA7">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1794" w:type="dxa"/>
            <w:tcBorders>
              <w:tl2br w:val="nil"/>
              <w:tr2bl w:val="nil"/>
            </w:tcBorders>
            <w:shd w:val="clear" w:color="auto" w:fill="auto"/>
            <w:vAlign w:val="center"/>
          </w:tcPr>
          <w:p w14:paraId="3D565D9B">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14:paraId="552A96E3">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14:paraId="7C8DB6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60" w:hRule="exact"/>
          <w:jc w:val="center"/>
        </w:trPr>
        <w:tc>
          <w:tcPr>
            <w:tcW w:w="8554" w:type="dxa"/>
            <w:gridSpan w:val="3"/>
            <w:tcBorders>
              <w:tl2br w:val="nil"/>
              <w:tr2bl w:val="nil"/>
            </w:tcBorders>
            <w:shd w:val="clear" w:color="auto" w:fill="auto"/>
            <w:vAlign w:val="center"/>
          </w:tcPr>
          <w:p w14:paraId="3E56234B">
            <w:pPr>
              <w:jc w:val="center"/>
              <w:rPr>
                <w:rFonts w:asciiTheme="minorEastAsia" w:hAnsiTheme="minorEastAsia" w:eastAsiaTheme="minorEastAsia" w:cstheme="minorEastAsia"/>
                <w:color w:val="auto"/>
                <w:sz w:val="24"/>
                <w:highlight w:val="yellow"/>
              </w:rPr>
            </w:pPr>
            <w:r>
              <w:rPr>
                <w:rFonts w:hint="eastAsia" w:asciiTheme="minorEastAsia" w:hAnsiTheme="minorEastAsia" w:eastAsiaTheme="minorEastAsia" w:cstheme="minorEastAsia"/>
                <w:color w:val="auto"/>
                <w:sz w:val="24"/>
                <w:szCs w:val="24"/>
                <w:highlight w:val="none"/>
              </w:rPr>
              <w:t>超高压大理局2026年一种特高压直流线路耐张塔长宽金具串永久性辅助出串装置研制零星采购项目</w:t>
            </w:r>
          </w:p>
        </w:tc>
      </w:tr>
      <w:tr w14:paraId="69A791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755" w:hRule="exact"/>
          <w:jc w:val="center"/>
        </w:trPr>
        <w:tc>
          <w:tcPr>
            <w:tcW w:w="588" w:type="dxa"/>
            <w:tcBorders>
              <w:tl2br w:val="nil"/>
              <w:tr2bl w:val="nil"/>
            </w:tcBorders>
            <w:shd w:val="clear" w:color="auto" w:fill="auto"/>
            <w:vAlign w:val="center"/>
          </w:tcPr>
          <w:p w14:paraId="3FF9B5AF">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1</w:t>
            </w:r>
          </w:p>
        </w:tc>
        <w:tc>
          <w:tcPr>
            <w:tcW w:w="6172" w:type="dxa"/>
            <w:tcBorders>
              <w:tl2br w:val="nil"/>
              <w:tr2bl w:val="nil"/>
            </w:tcBorders>
            <w:shd w:val="clear" w:color="auto" w:fill="auto"/>
            <w:vAlign w:val="center"/>
          </w:tcPr>
          <w:p w14:paraId="6A3450EE">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协助开展永久性辅助出串装置结构设计与优化：针对特高压直流输电线路耐张塔长串、宽串及多联金具串结构特点，研究一种可长期安装于金具串上的永久性辅助出串装置。重点考虑不同电压等级、不同塔型及复杂气候环境下的适应性需求，开展装置轻量化、模块化及高可靠性设计。综合考虑耐腐蚀、抗风振、抗覆冰及长期户外运行稳定性等要求，通过三维建模与结构力学分析，对装置受力结构、连接方式及关键参数进行优化，验证其承载能力、环境适应能力及长期运行安全性。</w:t>
            </w:r>
          </w:p>
        </w:tc>
        <w:tc>
          <w:tcPr>
            <w:tcW w:w="1794" w:type="dxa"/>
            <w:tcBorders>
              <w:tl2br w:val="nil"/>
              <w:tr2bl w:val="nil"/>
            </w:tcBorders>
            <w:shd w:val="clear" w:color="auto" w:fill="auto"/>
            <w:vAlign w:val="center"/>
          </w:tcPr>
          <w:p w14:paraId="4183DA06">
            <w:pPr>
              <w:rPr>
                <w:rFonts w:hint="eastAsia" w:ascii="宋体" w:hAnsi="宋体" w:eastAsia="宋体" w:cs="宋体"/>
                <w:color w:val="auto"/>
                <w:sz w:val="21"/>
                <w:szCs w:val="21"/>
                <w:highlight w:val="none"/>
                <w:lang w:val="en-US" w:eastAsia="zh-CN"/>
              </w:rPr>
            </w:pPr>
          </w:p>
        </w:tc>
      </w:tr>
      <w:tr w14:paraId="759412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156" w:hRule="exact"/>
          <w:jc w:val="center"/>
        </w:trPr>
        <w:tc>
          <w:tcPr>
            <w:tcW w:w="588" w:type="dxa"/>
            <w:tcBorders>
              <w:tl2br w:val="nil"/>
              <w:tr2bl w:val="nil"/>
            </w:tcBorders>
            <w:shd w:val="clear" w:color="auto" w:fill="auto"/>
            <w:vAlign w:val="center"/>
          </w:tcPr>
          <w:p w14:paraId="44890203">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2</w:t>
            </w:r>
          </w:p>
        </w:tc>
        <w:tc>
          <w:tcPr>
            <w:tcW w:w="6172" w:type="dxa"/>
            <w:tcBorders>
              <w:tl2br w:val="nil"/>
              <w:tr2bl w:val="nil"/>
            </w:tcBorders>
            <w:shd w:val="clear" w:color="auto" w:fill="auto"/>
            <w:vAlign w:val="center"/>
          </w:tcPr>
          <w:p w14:paraId="2EAB93F8">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协助完成现场应用与验证：结合“金具串较长、较宽”的典型特高压直流线路耐张塔实际工况，编制永久性辅助出串装置现场安装、运维及作业应用方案。开展试验及模拟出串验证，重点验证装置在不同塔型、不同作业场景及复杂环境条件下的适用性与可靠性，评估其对作业效率提升、人员安全保障及劳动强度降低等方面的实际效果，并根据试验反馈持续优化装置结构与使用方案。</w:t>
            </w:r>
          </w:p>
        </w:tc>
        <w:tc>
          <w:tcPr>
            <w:tcW w:w="1794" w:type="dxa"/>
            <w:tcBorders>
              <w:tl2br w:val="nil"/>
              <w:tr2bl w:val="nil"/>
            </w:tcBorders>
            <w:shd w:val="clear" w:color="auto" w:fill="auto"/>
            <w:vAlign w:val="center"/>
          </w:tcPr>
          <w:p w14:paraId="4EA5883F">
            <w:pPr>
              <w:rPr>
                <w:rFonts w:hint="eastAsia" w:ascii="宋体" w:hAnsi="宋体" w:eastAsia="宋体" w:cs="宋体"/>
                <w:color w:val="auto"/>
                <w:sz w:val="21"/>
                <w:szCs w:val="21"/>
                <w:highlight w:val="none"/>
                <w:lang w:val="en-US" w:eastAsia="zh-CN"/>
              </w:rPr>
            </w:pPr>
          </w:p>
        </w:tc>
      </w:tr>
      <w:tr w14:paraId="34C301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295" w:hRule="exact"/>
          <w:jc w:val="center"/>
        </w:trPr>
        <w:tc>
          <w:tcPr>
            <w:tcW w:w="588" w:type="dxa"/>
            <w:tcBorders>
              <w:tl2br w:val="nil"/>
              <w:tr2bl w:val="nil"/>
            </w:tcBorders>
            <w:shd w:val="clear" w:color="auto" w:fill="auto"/>
            <w:vAlign w:val="center"/>
          </w:tcPr>
          <w:p w14:paraId="2C94501B">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3</w:t>
            </w:r>
          </w:p>
        </w:tc>
        <w:tc>
          <w:tcPr>
            <w:tcW w:w="6172" w:type="dxa"/>
            <w:tcBorders>
              <w:tl2br w:val="nil"/>
              <w:tr2bl w:val="nil"/>
            </w:tcBorders>
            <w:shd w:val="clear" w:color="auto" w:fill="auto"/>
            <w:vAlign w:val="center"/>
          </w:tcPr>
          <w:p w14:paraId="7424F1DE">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交付成果：研制一套永久性辅助出串装置并提供第三方检测报告，配合开展技术创新总结提炼及保护、论文编写相关工作。</w:t>
            </w:r>
          </w:p>
        </w:tc>
        <w:tc>
          <w:tcPr>
            <w:tcW w:w="1794" w:type="dxa"/>
            <w:tcBorders>
              <w:tl2br w:val="nil"/>
              <w:tr2bl w:val="nil"/>
            </w:tcBorders>
            <w:shd w:val="clear" w:color="auto" w:fill="auto"/>
            <w:vAlign w:val="center"/>
          </w:tcPr>
          <w:p w14:paraId="736543C9">
            <w:pPr>
              <w:jc w:val="center"/>
              <w:rPr>
                <w:rFonts w:hint="eastAsia" w:ascii="宋体" w:hAnsi="宋体" w:eastAsia="宋体" w:cs="宋体"/>
                <w:color w:val="auto"/>
                <w:sz w:val="21"/>
                <w:szCs w:val="21"/>
                <w:highlight w:val="none"/>
              </w:rPr>
            </w:pPr>
          </w:p>
        </w:tc>
      </w:tr>
    </w:tbl>
    <w:p w14:paraId="7EDE3746">
      <w:pPr>
        <w:tabs>
          <w:tab w:val="left" w:pos="7180"/>
          <w:tab w:val="left" w:pos="7601"/>
        </w:tabs>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14:paraId="1EC9F2DF">
      <w:pPr>
        <w:tabs>
          <w:tab w:val="left" w:pos="7180"/>
          <w:tab w:val="left" w:pos="7601"/>
        </w:tabs>
        <w:spacing w:line="360" w:lineRule="auto"/>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14:paraId="3F667381">
      <w:pPr>
        <w:tabs>
          <w:tab w:val="left" w:pos="7180"/>
          <w:tab w:val="left" w:pos="7601"/>
        </w:tabs>
        <w:spacing w:line="360" w:lineRule="auto"/>
        <w:jc w:val="left"/>
        <w:rPr>
          <w:rFonts w:asciiTheme="minorEastAsia" w:hAnsiTheme="minorEastAsia" w:eastAsiaTheme="minorEastAsia" w:cstheme="minorEastAsia"/>
          <w:color w:val="auto"/>
          <w:spacing w:val="-1"/>
          <w:kern w:val="0"/>
          <w:sz w:val="24"/>
          <w:highlight w:val="none"/>
          <w:lang w:val="zh-CN"/>
        </w:rPr>
      </w:pPr>
    </w:p>
    <w:p w14:paraId="72FBD5BC">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14:paraId="2D190042">
      <w:pPr>
        <w:tabs>
          <w:tab w:val="left" w:pos="722"/>
          <w:tab w:val="left" w:pos="1323"/>
        </w:tabs>
        <w:spacing w:line="360" w:lineRule="auto"/>
        <w:ind w:firstLine="6000" w:firstLineChars="2500"/>
        <w:jc w:val="both"/>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14:paraId="04A66E5E">
      <w:pPr>
        <w:rPr>
          <w:b/>
          <w:bCs/>
          <w:color w:val="auto"/>
          <w:spacing w:val="14"/>
          <w:kern w:val="0"/>
          <w:sz w:val="28"/>
          <w:szCs w:val="28"/>
          <w:highlight w:val="none"/>
        </w:rPr>
      </w:pPr>
      <w:r>
        <w:rPr>
          <w:b/>
          <w:bCs/>
          <w:color w:val="auto"/>
          <w:spacing w:val="14"/>
          <w:kern w:val="0"/>
          <w:sz w:val="28"/>
          <w:szCs w:val="28"/>
          <w:highlight w:val="none"/>
        </w:rPr>
        <w:br w:type="page"/>
      </w:r>
    </w:p>
    <w:p w14:paraId="36BA5B89">
      <w:pPr>
        <w:spacing w:line="360" w:lineRule="auto"/>
        <w:outlineLvl w:val="5"/>
        <w:rPr>
          <w:b/>
          <w:bCs/>
          <w:color w:val="auto"/>
          <w:spacing w:val="14"/>
          <w:kern w:val="0"/>
          <w:sz w:val="28"/>
          <w:szCs w:val="28"/>
          <w:highlight w:val="none"/>
        </w:rPr>
      </w:pPr>
    </w:p>
    <w:p w14:paraId="4D698FAE">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14:paraId="47EBDA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14:paraId="78D45B33">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14:paraId="04E46D18">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14:paraId="47EE3E9C">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14:paraId="088A1228">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14:paraId="1ABCF9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14:paraId="4CCCEE48">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14:paraId="49BE8F45">
            <w:pPr>
              <w:spacing w:line="360" w:lineRule="auto"/>
              <w:rPr>
                <w:rFonts w:ascii="宋体" w:hAnsi="宋体" w:cs="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报价单位可提供符合规定税率的全额增值税专用发票。</w:t>
            </w:r>
          </w:p>
          <w:p w14:paraId="5085F731">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14:paraId="3A5E6AAC">
            <w:pPr>
              <w:jc w:val="center"/>
              <w:rPr>
                <w:rFonts w:asciiTheme="minorEastAsia" w:hAnsiTheme="minorEastAsia" w:eastAsiaTheme="minorEastAsia" w:cstheme="minorEastAsia"/>
                <w:color w:val="auto"/>
                <w:sz w:val="24"/>
                <w:highlight w:val="none"/>
              </w:rPr>
            </w:pPr>
          </w:p>
        </w:tc>
      </w:tr>
      <w:tr w14:paraId="050C43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59" w:hRule="exact"/>
          <w:jc w:val="center"/>
        </w:trPr>
        <w:tc>
          <w:tcPr>
            <w:tcW w:w="588" w:type="dxa"/>
            <w:tcBorders>
              <w:tl2br w:val="nil"/>
              <w:tr2bl w:val="nil"/>
            </w:tcBorders>
            <w:shd w:val="clear" w:color="auto" w:fill="auto"/>
            <w:vAlign w:val="center"/>
          </w:tcPr>
          <w:p w14:paraId="17E4AB69">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14:paraId="21CBCCF9">
            <w:pPr>
              <w:spacing w:line="360" w:lineRule="auto"/>
              <w:rPr>
                <w:rFonts w:ascii="宋体" w:hAnsi="宋体"/>
                <w:color w:val="auto"/>
                <w:sz w:val="24"/>
                <w:highlight w:val="none"/>
              </w:rPr>
            </w:pPr>
            <w:r>
              <w:rPr>
                <w:rFonts w:hint="eastAsia" w:ascii="宋体" w:hAnsi="宋体" w:cs="宋体"/>
                <w:b/>
                <w:bCs/>
                <w:color w:val="auto"/>
                <w:sz w:val="24"/>
                <w:highlight w:val="none"/>
              </w:rPr>
              <w:t>质保期及售后服务响应要求：</w:t>
            </w:r>
            <w:r>
              <w:rPr>
                <w:rFonts w:hint="eastAsia" w:ascii="宋体" w:hAnsi="宋体" w:cs="宋体"/>
                <w:color w:val="auto"/>
                <w:sz w:val="24"/>
                <w:highlight w:val="none"/>
              </w:rPr>
              <w:t>质保期不少于1年，质保期内有任何质量问题将免费进行</w:t>
            </w:r>
            <w:r>
              <w:rPr>
                <w:rFonts w:hint="eastAsia" w:ascii="宋体" w:hAnsi="宋体" w:cs="宋体"/>
                <w:color w:val="auto"/>
                <w:sz w:val="24"/>
                <w:highlight w:val="none"/>
                <w:lang w:val="en-US" w:eastAsia="zh-CN"/>
              </w:rPr>
              <w:t>维护</w:t>
            </w:r>
            <w:r>
              <w:rPr>
                <w:rFonts w:hint="eastAsia" w:ascii="宋体" w:hAnsi="宋体" w:cs="宋体"/>
                <w:color w:val="auto"/>
                <w:sz w:val="24"/>
                <w:highlight w:val="none"/>
              </w:rPr>
              <w:t>、更换；售后服务的响应时间在4小时内；提供技术支持。</w:t>
            </w:r>
          </w:p>
        </w:tc>
        <w:tc>
          <w:tcPr>
            <w:tcW w:w="2046" w:type="dxa"/>
            <w:tcBorders>
              <w:tl2br w:val="nil"/>
              <w:tr2bl w:val="nil"/>
            </w:tcBorders>
            <w:shd w:val="clear" w:color="auto" w:fill="auto"/>
            <w:vAlign w:val="center"/>
          </w:tcPr>
          <w:p w14:paraId="687F8253">
            <w:pPr>
              <w:jc w:val="center"/>
              <w:rPr>
                <w:rFonts w:asciiTheme="minorEastAsia" w:hAnsiTheme="minorEastAsia" w:eastAsiaTheme="minorEastAsia" w:cstheme="minorEastAsia"/>
                <w:color w:val="auto"/>
                <w:sz w:val="24"/>
                <w:highlight w:val="none"/>
              </w:rPr>
            </w:pPr>
          </w:p>
        </w:tc>
      </w:tr>
      <w:tr w14:paraId="6B04F0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14:paraId="372695AD">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14:paraId="21DECB0C">
            <w:pPr>
              <w:spacing w:line="360" w:lineRule="auto"/>
              <w:rPr>
                <w:rFonts w:ascii="宋体" w:hAnsi="宋体" w:cs="宋体"/>
                <w:color w:val="auto"/>
                <w:sz w:val="24"/>
                <w:highlight w:val="none"/>
              </w:rPr>
            </w:pPr>
            <w:r>
              <w:rPr>
                <w:rFonts w:hint="eastAsia" w:ascii="宋体" w:hAnsi="宋体" w:cs="宋体"/>
                <w:b/>
                <w:bCs/>
                <w:color w:val="auto"/>
                <w:sz w:val="24"/>
                <w:highlight w:val="none"/>
              </w:rPr>
              <w:t>交付时间及地点要求：</w:t>
            </w:r>
            <w:r>
              <w:rPr>
                <w:rFonts w:hint="eastAsia" w:ascii="宋体" w:hAnsi="宋体" w:cs="宋体"/>
                <w:color w:val="auto"/>
                <w:sz w:val="24"/>
                <w:highlight w:val="none"/>
              </w:rPr>
              <w:t>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14:paraId="37A284C1">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14:paraId="4C399069">
            <w:pPr>
              <w:jc w:val="center"/>
              <w:rPr>
                <w:rFonts w:asciiTheme="minorEastAsia" w:hAnsiTheme="minorEastAsia" w:eastAsiaTheme="minorEastAsia" w:cstheme="minorEastAsia"/>
                <w:color w:val="auto"/>
                <w:sz w:val="24"/>
                <w:highlight w:val="none"/>
              </w:rPr>
            </w:pPr>
          </w:p>
        </w:tc>
      </w:tr>
    </w:tbl>
    <w:p w14:paraId="7F594FD0">
      <w:pPr>
        <w:spacing w:line="360" w:lineRule="auto"/>
        <w:jc w:val="left"/>
        <w:outlineLvl w:val="5"/>
        <w:rPr>
          <w:color w:val="auto"/>
          <w:kern w:val="0"/>
          <w:sz w:val="24"/>
          <w:highlight w:val="none"/>
        </w:rPr>
      </w:pPr>
    </w:p>
    <w:p w14:paraId="52142C83">
      <w:pPr>
        <w:tabs>
          <w:tab w:val="left" w:pos="7180"/>
          <w:tab w:val="left" w:pos="7601"/>
        </w:tabs>
        <w:spacing w:line="360" w:lineRule="auto"/>
        <w:jc w:val="right"/>
        <w:rPr>
          <w:color w:val="auto"/>
          <w:spacing w:val="-1"/>
          <w:kern w:val="0"/>
          <w:sz w:val="24"/>
          <w:highlight w:val="none"/>
          <w:lang w:val="zh-CN"/>
        </w:rPr>
      </w:pPr>
    </w:p>
    <w:p w14:paraId="5ADBEEEE">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14:paraId="65AFA118">
      <w:pPr>
        <w:tabs>
          <w:tab w:val="left" w:pos="7180"/>
          <w:tab w:val="left" w:pos="7601"/>
        </w:tabs>
        <w:spacing w:line="360" w:lineRule="auto"/>
        <w:jc w:val="left"/>
        <w:rPr>
          <w:color w:val="auto"/>
          <w:spacing w:val="-1"/>
          <w:kern w:val="0"/>
          <w:sz w:val="24"/>
          <w:highlight w:val="none"/>
          <w:lang w:val="zh-CN"/>
        </w:rPr>
      </w:pPr>
    </w:p>
    <w:p w14:paraId="710AFA03">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14:paraId="0AD73D3D">
      <w:pPr>
        <w:tabs>
          <w:tab w:val="left" w:pos="525"/>
          <w:tab w:val="left" w:pos="1051"/>
        </w:tabs>
        <w:wordWrap w:val="0"/>
        <w:spacing w:line="360" w:lineRule="auto"/>
        <w:jc w:val="right"/>
        <w:rPr>
          <w:color w:val="auto"/>
          <w:kern w:val="0"/>
          <w:sz w:val="24"/>
          <w:highlight w:val="none"/>
          <w:lang w:val="zh-CN"/>
        </w:rPr>
      </w:pPr>
    </w:p>
    <w:p w14:paraId="22FB0BBD">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14:paraId="092173A7">
      <w:pPr>
        <w:ind w:firstLine="2150" w:firstLineChars="700"/>
        <w:rPr>
          <w:rFonts w:hint="eastAsia"/>
          <w:b/>
          <w:bCs/>
          <w:color w:val="auto"/>
          <w:spacing w:val="13"/>
          <w:kern w:val="0"/>
          <w:sz w:val="28"/>
          <w:szCs w:val="28"/>
          <w:highlight w:val="none"/>
        </w:rPr>
      </w:pPr>
    </w:p>
    <w:p w14:paraId="5C8859B6">
      <w:pPr>
        <w:ind w:firstLine="2150" w:firstLineChars="700"/>
        <w:rPr>
          <w:rFonts w:hint="eastAsia"/>
          <w:b/>
          <w:bCs/>
          <w:color w:val="auto"/>
          <w:spacing w:val="13"/>
          <w:kern w:val="0"/>
          <w:sz w:val="28"/>
          <w:szCs w:val="28"/>
          <w:highlight w:val="none"/>
        </w:rPr>
      </w:pPr>
    </w:p>
    <w:p w14:paraId="1812187D">
      <w:pPr>
        <w:ind w:firstLine="2150" w:firstLineChars="700"/>
        <w:rPr>
          <w:rFonts w:hint="eastAsia"/>
          <w:b/>
          <w:bCs/>
          <w:color w:val="auto"/>
          <w:spacing w:val="13"/>
          <w:kern w:val="0"/>
          <w:sz w:val="28"/>
          <w:szCs w:val="28"/>
          <w:highlight w:val="none"/>
        </w:rPr>
      </w:pPr>
    </w:p>
    <w:p w14:paraId="1EB51401">
      <w:pPr>
        <w:ind w:firstLine="2150" w:firstLineChars="700"/>
        <w:rPr>
          <w:rFonts w:hint="eastAsia"/>
          <w:b/>
          <w:bCs/>
          <w:color w:val="auto"/>
          <w:spacing w:val="13"/>
          <w:kern w:val="0"/>
          <w:sz w:val="28"/>
          <w:szCs w:val="28"/>
          <w:highlight w:val="none"/>
        </w:rPr>
      </w:pPr>
    </w:p>
    <w:p w14:paraId="5FC7DE98">
      <w:pPr>
        <w:ind w:firstLine="2150" w:firstLineChars="700"/>
        <w:rPr>
          <w:rFonts w:hint="eastAsia"/>
          <w:b/>
          <w:bCs/>
          <w:color w:val="auto"/>
          <w:spacing w:val="13"/>
          <w:kern w:val="0"/>
          <w:sz w:val="28"/>
          <w:szCs w:val="28"/>
          <w:highlight w:val="none"/>
        </w:rPr>
      </w:pPr>
    </w:p>
    <w:p w14:paraId="76E907C9">
      <w:pPr>
        <w:ind w:firstLine="2150" w:firstLineChars="700"/>
        <w:rPr>
          <w:rFonts w:hint="eastAsia"/>
          <w:b/>
          <w:bCs/>
          <w:color w:val="auto"/>
          <w:spacing w:val="13"/>
          <w:kern w:val="0"/>
          <w:sz w:val="28"/>
          <w:szCs w:val="28"/>
          <w:highlight w:val="none"/>
        </w:rPr>
      </w:pPr>
    </w:p>
    <w:p w14:paraId="3BE4130E">
      <w:pPr>
        <w:ind w:firstLine="2150" w:firstLineChars="700"/>
        <w:rPr>
          <w:rFonts w:hint="eastAsia"/>
          <w:b/>
          <w:bCs/>
          <w:color w:val="auto"/>
          <w:spacing w:val="13"/>
          <w:kern w:val="0"/>
          <w:sz w:val="28"/>
          <w:szCs w:val="28"/>
          <w:highlight w:val="none"/>
        </w:rPr>
      </w:pPr>
    </w:p>
    <w:p w14:paraId="753A1AD7">
      <w:pPr>
        <w:ind w:firstLine="2150" w:firstLineChars="700"/>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14:paraId="6E79E2C7">
      <w:pPr>
        <w:spacing w:line="360" w:lineRule="auto"/>
        <w:jc w:val="center"/>
        <w:outlineLvl w:val="5"/>
        <w:rPr>
          <w:rFonts w:ascii="宋体" w:hAnsi="宋体" w:cs="宋体"/>
          <w:color w:val="auto"/>
          <w:sz w:val="24"/>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sectPr>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C5E7C">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A721F">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6635E4">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06635E4">
                    <w:pPr>
                      <w:pStyle w:val="14"/>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FDA315">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2FDA315">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14:paraId="21C39943">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LrFBM8BAACYAwAADgAAAAAAAAABACAAAAAiAQAA&#10;ZHJzL2Uyb0RvYy54bWxQSwUGAAAAAAYABgBZAQAAYwUAAAAA&#10;">
              <v:fill on="f" focussize="0,0"/>
              <v:stroke on="f"/>
              <v:imagedata o:title=""/>
              <o:lock v:ext="edit" aspectratio="f"/>
              <v:textbox inset="0mm,0mm,0mm,0mm" style="mso-fit-shape-to-text:t;">
                <w:txbxContent>
                  <w:p w14:paraId="21C39943">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3F50B">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68671">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BD68671">
                    <w:pPr>
                      <w:pStyle w:val="14"/>
                    </w:pPr>
                    <w:r>
                      <w:fldChar w:fldCharType="begin"/>
                    </w:r>
                    <w:r>
                      <w:instrText xml:space="preserve"> PAGE  \* MERGEFORMAT </w:instrText>
                    </w:r>
                    <w:r>
                      <w:fldChar w:fldCharType="separate"/>
                    </w:r>
                    <w:r>
                      <w:t>3</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C3E998">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FC3E998">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14:paraId="79CA02D6">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14:paraId="79CA02D6">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C0BC3">
    <w:pPr>
      <w:pStyle w:val="1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952EC1">
                          <w:pPr>
                            <w:pStyle w:val="1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6952EC1">
                    <w:pPr>
                      <w:pStyle w:val="14"/>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6AD68">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7CEAC">
    <w:pPr>
      <w:pStyle w:val="15"/>
      <w:pBdr>
        <w:bottom w:val="none" w:color="auto" w:sz="0" w:space="0"/>
      </w:pBdr>
    </w:pPr>
  </w:p>
  <w:p w14:paraId="64C0FE5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F0C9365"/>
    <w:multiLevelType w:val="singleLevel"/>
    <w:tmpl w:val="4F0C9365"/>
    <w:lvl w:ilvl="0" w:tentative="0">
      <w:start w:val="7"/>
      <w:numFmt w:val="decimal"/>
      <w:suff w:val="space"/>
      <w:lvlText w:val="%1."/>
      <w:lvlJc w:val="left"/>
    </w:lvl>
  </w:abstractNum>
  <w:abstractNum w:abstractNumId="2">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mMzc1YzY2YWM4YTFkMzRmNGVhNGZlOWVhMjg5ZmIifQ=="/>
  </w:docVars>
  <w:rsids>
    <w:rsidRoot w:val="00700C0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4E6E8D"/>
    <w:rsid w:val="004F1100"/>
    <w:rsid w:val="005A0156"/>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171CC"/>
    <w:rsid w:val="00C61456"/>
    <w:rsid w:val="00DB2F76"/>
    <w:rsid w:val="00DE3D98"/>
    <w:rsid w:val="00EC56DD"/>
    <w:rsid w:val="00F04019"/>
    <w:rsid w:val="00FE4E68"/>
    <w:rsid w:val="019C23B2"/>
    <w:rsid w:val="01A40F8A"/>
    <w:rsid w:val="026A3D04"/>
    <w:rsid w:val="02E84E1B"/>
    <w:rsid w:val="02EB5557"/>
    <w:rsid w:val="02F8486D"/>
    <w:rsid w:val="03032BFE"/>
    <w:rsid w:val="03947769"/>
    <w:rsid w:val="039A1E76"/>
    <w:rsid w:val="03D34E4B"/>
    <w:rsid w:val="041B14CC"/>
    <w:rsid w:val="043851F9"/>
    <w:rsid w:val="04392C7B"/>
    <w:rsid w:val="04501704"/>
    <w:rsid w:val="045F49E7"/>
    <w:rsid w:val="046B4A83"/>
    <w:rsid w:val="04CA6BD2"/>
    <w:rsid w:val="059852A9"/>
    <w:rsid w:val="05AB50DB"/>
    <w:rsid w:val="05B67AF4"/>
    <w:rsid w:val="05CD2719"/>
    <w:rsid w:val="05F41940"/>
    <w:rsid w:val="060F4BD6"/>
    <w:rsid w:val="06910EC7"/>
    <w:rsid w:val="06AB0929"/>
    <w:rsid w:val="06C70D2A"/>
    <w:rsid w:val="070A0B6B"/>
    <w:rsid w:val="07961E4E"/>
    <w:rsid w:val="0891161B"/>
    <w:rsid w:val="08986A27"/>
    <w:rsid w:val="08B379B6"/>
    <w:rsid w:val="08D01A69"/>
    <w:rsid w:val="092E4D8E"/>
    <w:rsid w:val="09352129"/>
    <w:rsid w:val="095B0EE9"/>
    <w:rsid w:val="09884131"/>
    <w:rsid w:val="09942142"/>
    <w:rsid w:val="09B052F6"/>
    <w:rsid w:val="09B91536"/>
    <w:rsid w:val="09F04A5A"/>
    <w:rsid w:val="0A5C68BB"/>
    <w:rsid w:val="0A726C5D"/>
    <w:rsid w:val="0A9C5575"/>
    <w:rsid w:val="0AB60694"/>
    <w:rsid w:val="0ACF1ECA"/>
    <w:rsid w:val="0B3145BB"/>
    <w:rsid w:val="0B4C4D17"/>
    <w:rsid w:val="0B5308D4"/>
    <w:rsid w:val="0B62608C"/>
    <w:rsid w:val="0BF7203B"/>
    <w:rsid w:val="0BF7440E"/>
    <w:rsid w:val="0C183058"/>
    <w:rsid w:val="0C476233"/>
    <w:rsid w:val="0C5C70D2"/>
    <w:rsid w:val="0C8849AD"/>
    <w:rsid w:val="0C95712B"/>
    <w:rsid w:val="0CBD44D5"/>
    <w:rsid w:val="0CC4072B"/>
    <w:rsid w:val="0CF24637"/>
    <w:rsid w:val="0CFD0263"/>
    <w:rsid w:val="0E2B54C7"/>
    <w:rsid w:val="0E8F38EB"/>
    <w:rsid w:val="0ECD3EA6"/>
    <w:rsid w:val="0EFD7A26"/>
    <w:rsid w:val="0F7B2D38"/>
    <w:rsid w:val="10090346"/>
    <w:rsid w:val="100E20E9"/>
    <w:rsid w:val="108F47AF"/>
    <w:rsid w:val="109C7D56"/>
    <w:rsid w:val="10CD441E"/>
    <w:rsid w:val="10D053A3"/>
    <w:rsid w:val="11325498"/>
    <w:rsid w:val="114917E9"/>
    <w:rsid w:val="11727245"/>
    <w:rsid w:val="11BA645E"/>
    <w:rsid w:val="11C13F63"/>
    <w:rsid w:val="11C4398B"/>
    <w:rsid w:val="11DD40A3"/>
    <w:rsid w:val="121037B1"/>
    <w:rsid w:val="124B085A"/>
    <w:rsid w:val="127C43FA"/>
    <w:rsid w:val="12E542C2"/>
    <w:rsid w:val="13042485"/>
    <w:rsid w:val="132867FC"/>
    <w:rsid w:val="1376193B"/>
    <w:rsid w:val="13AF2A62"/>
    <w:rsid w:val="13F6014E"/>
    <w:rsid w:val="140E14EE"/>
    <w:rsid w:val="145D0DF7"/>
    <w:rsid w:val="15031A58"/>
    <w:rsid w:val="15127864"/>
    <w:rsid w:val="152A4CC8"/>
    <w:rsid w:val="15380D5E"/>
    <w:rsid w:val="153E2707"/>
    <w:rsid w:val="15CE0DB9"/>
    <w:rsid w:val="163D0A11"/>
    <w:rsid w:val="16A076A8"/>
    <w:rsid w:val="16E17FD7"/>
    <w:rsid w:val="17087877"/>
    <w:rsid w:val="170F3531"/>
    <w:rsid w:val="17192215"/>
    <w:rsid w:val="175F1A0E"/>
    <w:rsid w:val="17F90724"/>
    <w:rsid w:val="1825592A"/>
    <w:rsid w:val="18377B1D"/>
    <w:rsid w:val="188E7C69"/>
    <w:rsid w:val="1890085C"/>
    <w:rsid w:val="18B9039C"/>
    <w:rsid w:val="18DC7149"/>
    <w:rsid w:val="18E65311"/>
    <w:rsid w:val="19775419"/>
    <w:rsid w:val="1A0C35CC"/>
    <w:rsid w:val="1A710D72"/>
    <w:rsid w:val="1AD66518"/>
    <w:rsid w:val="1B7A6B81"/>
    <w:rsid w:val="1B7B3422"/>
    <w:rsid w:val="1C27355C"/>
    <w:rsid w:val="1C4E11FC"/>
    <w:rsid w:val="1C601D9D"/>
    <w:rsid w:val="1C9B0B55"/>
    <w:rsid w:val="1CB369A2"/>
    <w:rsid w:val="1D1C0950"/>
    <w:rsid w:val="1D4D49A3"/>
    <w:rsid w:val="1D7651D8"/>
    <w:rsid w:val="1E256847"/>
    <w:rsid w:val="1E425E07"/>
    <w:rsid w:val="1EA91661"/>
    <w:rsid w:val="1EAC6AFA"/>
    <w:rsid w:val="1EAD7DE2"/>
    <w:rsid w:val="1EF814B6"/>
    <w:rsid w:val="1FB61E73"/>
    <w:rsid w:val="1FC90C3E"/>
    <w:rsid w:val="1FEA2DF0"/>
    <w:rsid w:val="20201EC2"/>
    <w:rsid w:val="2046687E"/>
    <w:rsid w:val="207A4B27"/>
    <w:rsid w:val="20B7108F"/>
    <w:rsid w:val="20C2474B"/>
    <w:rsid w:val="20DE7F97"/>
    <w:rsid w:val="21086AC5"/>
    <w:rsid w:val="21164180"/>
    <w:rsid w:val="211C55DD"/>
    <w:rsid w:val="21D11228"/>
    <w:rsid w:val="21D65FA3"/>
    <w:rsid w:val="21EA76D2"/>
    <w:rsid w:val="21F046BC"/>
    <w:rsid w:val="22410CA3"/>
    <w:rsid w:val="230D5F83"/>
    <w:rsid w:val="231435E3"/>
    <w:rsid w:val="231D1CA3"/>
    <w:rsid w:val="246E7F53"/>
    <w:rsid w:val="251A5E6D"/>
    <w:rsid w:val="2561471F"/>
    <w:rsid w:val="25E95241"/>
    <w:rsid w:val="26136085"/>
    <w:rsid w:val="2682413A"/>
    <w:rsid w:val="26B143E9"/>
    <w:rsid w:val="26B76B93"/>
    <w:rsid w:val="26CF68D5"/>
    <w:rsid w:val="26D06059"/>
    <w:rsid w:val="26EA2865"/>
    <w:rsid w:val="27D63767"/>
    <w:rsid w:val="291256ED"/>
    <w:rsid w:val="291D3964"/>
    <w:rsid w:val="29606D8E"/>
    <w:rsid w:val="298B6166"/>
    <w:rsid w:val="29B97180"/>
    <w:rsid w:val="29D439C5"/>
    <w:rsid w:val="29F71DCE"/>
    <w:rsid w:val="2A5D4013"/>
    <w:rsid w:val="2A73216B"/>
    <w:rsid w:val="2B971F94"/>
    <w:rsid w:val="2C4634F8"/>
    <w:rsid w:val="2C482CB1"/>
    <w:rsid w:val="2C8A7F2A"/>
    <w:rsid w:val="2CA351F8"/>
    <w:rsid w:val="2CB35BE4"/>
    <w:rsid w:val="2D4B705C"/>
    <w:rsid w:val="2DDB37E6"/>
    <w:rsid w:val="2E0A0EFD"/>
    <w:rsid w:val="2EA73A95"/>
    <w:rsid w:val="2ED325DC"/>
    <w:rsid w:val="2F1C4D59"/>
    <w:rsid w:val="2F3C75DF"/>
    <w:rsid w:val="2F4D7950"/>
    <w:rsid w:val="2F5C0B8A"/>
    <w:rsid w:val="2F956FA1"/>
    <w:rsid w:val="2FE979AE"/>
    <w:rsid w:val="300924A8"/>
    <w:rsid w:val="30152D72"/>
    <w:rsid w:val="30473295"/>
    <w:rsid w:val="30786DD9"/>
    <w:rsid w:val="30B351BB"/>
    <w:rsid w:val="30C42C66"/>
    <w:rsid w:val="30D83BD1"/>
    <w:rsid w:val="30DD6F38"/>
    <w:rsid w:val="3116556A"/>
    <w:rsid w:val="313A6116"/>
    <w:rsid w:val="31403EEE"/>
    <w:rsid w:val="314C4B41"/>
    <w:rsid w:val="3161392D"/>
    <w:rsid w:val="31AB088A"/>
    <w:rsid w:val="31F1799F"/>
    <w:rsid w:val="328336DF"/>
    <w:rsid w:val="3283636F"/>
    <w:rsid w:val="32AC098F"/>
    <w:rsid w:val="32E70612"/>
    <w:rsid w:val="32FC2794"/>
    <w:rsid w:val="33483B2E"/>
    <w:rsid w:val="33591408"/>
    <w:rsid w:val="338E2CB9"/>
    <w:rsid w:val="33AE5DBB"/>
    <w:rsid w:val="343F4552"/>
    <w:rsid w:val="34485725"/>
    <w:rsid w:val="344C3454"/>
    <w:rsid w:val="347D12EB"/>
    <w:rsid w:val="34D13C4A"/>
    <w:rsid w:val="34D6203C"/>
    <w:rsid w:val="34FB1B75"/>
    <w:rsid w:val="350967C7"/>
    <w:rsid w:val="35670EDC"/>
    <w:rsid w:val="357850C8"/>
    <w:rsid w:val="35A54830"/>
    <w:rsid w:val="35E26F61"/>
    <w:rsid w:val="36A93D34"/>
    <w:rsid w:val="36C4459F"/>
    <w:rsid w:val="36CA7098"/>
    <w:rsid w:val="36CE7125"/>
    <w:rsid w:val="36DD06B5"/>
    <w:rsid w:val="380E0584"/>
    <w:rsid w:val="38107BBE"/>
    <w:rsid w:val="38592D41"/>
    <w:rsid w:val="38723B01"/>
    <w:rsid w:val="389771E3"/>
    <w:rsid w:val="38B17DB0"/>
    <w:rsid w:val="39284554"/>
    <w:rsid w:val="393307F8"/>
    <w:rsid w:val="39345BEF"/>
    <w:rsid w:val="39432B7F"/>
    <w:rsid w:val="399E5A8D"/>
    <w:rsid w:val="39CD5D7A"/>
    <w:rsid w:val="3A7115CF"/>
    <w:rsid w:val="3A762EA6"/>
    <w:rsid w:val="3AC26874"/>
    <w:rsid w:val="3AE871ED"/>
    <w:rsid w:val="3B166795"/>
    <w:rsid w:val="3B3A4A72"/>
    <w:rsid w:val="3B426DFA"/>
    <w:rsid w:val="3B6B3809"/>
    <w:rsid w:val="3B875E3D"/>
    <w:rsid w:val="3BB95095"/>
    <w:rsid w:val="3C0C0FD1"/>
    <w:rsid w:val="3C0D22F1"/>
    <w:rsid w:val="3C266C56"/>
    <w:rsid w:val="3CFD0D4E"/>
    <w:rsid w:val="3D7015BC"/>
    <w:rsid w:val="3D932ECE"/>
    <w:rsid w:val="3DF6298B"/>
    <w:rsid w:val="3E032F55"/>
    <w:rsid w:val="3E314D55"/>
    <w:rsid w:val="3E5A5D0F"/>
    <w:rsid w:val="3ED75761"/>
    <w:rsid w:val="3EE60069"/>
    <w:rsid w:val="3F037F80"/>
    <w:rsid w:val="3F5D7C25"/>
    <w:rsid w:val="3F6E7356"/>
    <w:rsid w:val="3FCF3A3E"/>
    <w:rsid w:val="4032245D"/>
    <w:rsid w:val="40595BA0"/>
    <w:rsid w:val="40CE4481"/>
    <w:rsid w:val="40D02223"/>
    <w:rsid w:val="41044933"/>
    <w:rsid w:val="41B64242"/>
    <w:rsid w:val="41D930E9"/>
    <w:rsid w:val="41F149BD"/>
    <w:rsid w:val="420172F8"/>
    <w:rsid w:val="4214444F"/>
    <w:rsid w:val="42325426"/>
    <w:rsid w:val="42515CDB"/>
    <w:rsid w:val="428178ED"/>
    <w:rsid w:val="42DA1507"/>
    <w:rsid w:val="437F3C55"/>
    <w:rsid w:val="43854DD3"/>
    <w:rsid w:val="443E1922"/>
    <w:rsid w:val="445544D0"/>
    <w:rsid w:val="44883556"/>
    <w:rsid w:val="450A0452"/>
    <w:rsid w:val="4566672F"/>
    <w:rsid w:val="4597553F"/>
    <w:rsid w:val="45B96669"/>
    <w:rsid w:val="46762E88"/>
    <w:rsid w:val="46B251D5"/>
    <w:rsid w:val="46D75F15"/>
    <w:rsid w:val="46F337F6"/>
    <w:rsid w:val="4701711C"/>
    <w:rsid w:val="47357AE2"/>
    <w:rsid w:val="47873FED"/>
    <w:rsid w:val="478A5985"/>
    <w:rsid w:val="47ED3A0E"/>
    <w:rsid w:val="482360E6"/>
    <w:rsid w:val="485A7764"/>
    <w:rsid w:val="48697707"/>
    <w:rsid w:val="487D34CE"/>
    <w:rsid w:val="48812C6D"/>
    <w:rsid w:val="48FA0CCE"/>
    <w:rsid w:val="49063EED"/>
    <w:rsid w:val="49670CFC"/>
    <w:rsid w:val="497E67FC"/>
    <w:rsid w:val="4A340908"/>
    <w:rsid w:val="4A654689"/>
    <w:rsid w:val="4A9D32F7"/>
    <w:rsid w:val="4AFB712A"/>
    <w:rsid w:val="4B03697D"/>
    <w:rsid w:val="4B1F6D56"/>
    <w:rsid w:val="4B3F2937"/>
    <w:rsid w:val="4B545024"/>
    <w:rsid w:val="4B722F98"/>
    <w:rsid w:val="4BDA732C"/>
    <w:rsid w:val="4C2C4D07"/>
    <w:rsid w:val="4C747C00"/>
    <w:rsid w:val="4CAE23D4"/>
    <w:rsid w:val="4CDE6D29"/>
    <w:rsid w:val="4CF16EBB"/>
    <w:rsid w:val="4CF27A3F"/>
    <w:rsid w:val="4D952847"/>
    <w:rsid w:val="4DAD009F"/>
    <w:rsid w:val="4DFA077B"/>
    <w:rsid w:val="4E111E7F"/>
    <w:rsid w:val="4E1F0A8F"/>
    <w:rsid w:val="4E622728"/>
    <w:rsid w:val="4E9B72CC"/>
    <w:rsid w:val="4EFE4BD1"/>
    <w:rsid w:val="4F2502DD"/>
    <w:rsid w:val="4FC43269"/>
    <w:rsid w:val="4FCF137E"/>
    <w:rsid w:val="4FF36AD1"/>
    <w:rsid w:val="50236B06"/>
    <w:rsid w:val="503B1FAE"/>
    <w:rsid w:val="503B6ED8"/>
    <w:rsid w:val="506E60D9"/>
    <w:rsid w:val="50F4209B"/>
    <w:rsid w:val="5103544F"/>
    <w:rsid w:val="51461658"/>
    <w:rsid w:val="51B306F8"/>
    <w:rsid w:val="51C130AF"/>
    <w:rsid w:val="522A39D8"/>
    <w:rsid w:val="53646DCD"/>
    <w:rsid w:val="53932D81"/>
    <w:rsid w:val="53975234"/>
    <w:rsid w:val="539D4641"/>
    <w:rsid w:val="53AB1337"/>
    <w:rsid w:val="53C131CC"/>
    <w:rsid w:val="53EF0B3B"/>
    <w:rsid w:val="54507861"/>
    <w:rsid w:val="547919F2"/>
    <w:rsid w:val="547B03D3"/>
    <w:rsid w:val="54FC1BBE"/>
    <w:rsid w:val="552B1DC7"/>
    <w:rsid w:val="553F47A0"/>
    <w:rsid w:val="554561C6"/>
    <w:rsid w:val="555108DF"/>
    <w:rsid w:val="55AE0DFF"/>
    <w:rsid w:val="55F857FB"/>
    <w:rsid w:val="560C77A6"/>
    <w:rsid w:val="5615612F"/>
    <w:rsid w:val="56367CCB"/>
    <w:rsid w:val="5696489C"/>
    <w:rsid w:val="569D378C"/>
    <w:rsid w:val="56AB6EAC"/>
    <w:rsid w:val="56F56768"/>
    <w:rsid w:val="571C15EB"/>
    <w:rsid w:val="57C81676"/>
    <w:rsid w:val="585D55F4"/>
    <w:rsid w:val="58734628"/>
    <w:rsid w:val="588B3A52"/>
    <w:rsid w:val="58F723E5"/>
    <w:rsid w:val="598F0310"/>
    <w:rsid w:val="59FD2825"/>
    <w:rsid w:val="5A0B5058"/>
    <w:rsid w:val="5AF624AB"/>
    <w:rsid w:val="5B1F26BA"/>
    <w:rsid w:val="5B4162F2"/>
    <w:rsid w:val="5B6B1990"/>
    <w:rsid w:val="5B6E2B3B"/>
    <w:rsid w:val="5C270F1D"/>
    <w:rsid w:val="5C8F3336"/>
    <w:rsid w:val="5C927AE0"/>
    <w:rsid w:val="5CBA122E"/>
    <w:rsid w:val="5CD22158"/>
    <w:rsid w:val="5CDE243B"/>
    <w:rsid w:val="5D4D621E"/>
    <w:rsid w:val="5D587E33"/>
    <w:rsid w:val="5D754213"/>
    <w:rsid w:val="5D837E1D"/>
    <w:rsid w:val="5D98197C"/>
    <w:rsid w:val="5DAF4A90"/>
    <w:rsid w:val="5E102188"/>
    <w:rsid w:val="5E282B86"/>
    <w:rsid w:val="5EA6472F"/>
    <w:rsid w:val="5EC22C27"/>
    <w:rsid w:val="5ED35121"/>
    <w:rsid w:val="5F041F5F"/>
    <w:rsid w:val="5F1337E9"/>
    <w:rsid w:val="5F3F6973"/>
    <w:rsid w:val="5F511A4D"/>
    <w:rsid w:val="5FA75912"/>
    <w:rsid w:val="5FE45DE0"/>
    <w:rsid w:val="5FE5141B"/>
    <w:rsid w:val="60D85E8A"/>
    <w:rsid w:val="60E13F9A"/>
    <w:rsid w:val="612E6E2A"/>
    <w:rsid w:val="61604458"/>
    <w:rsid w:val="619C7C5C"/>
    <w:rsid w:val="628A19B9"/>
    <w:rsid w:val="62EB4356"/>
    <w:rsid w:val="62FE7930"/>
    <w:rsid w:val="6315604E"/>
    <w:rsid w:val="63A802C2"/>
    <w:rsid w:val="63D506D7"/>
    <w:rsid w:val="63EA067C"/>
    <w:rsid w:val="64DB5A06"/>
    <w:rsid w:val="64F54A79"/>
    <w:rsid w:val="65037CE8"/>
    <w:rsid w:val="652D0705"/>
    <w:rsid w:val="65676159"/>
    <w:rsid w:val="65E26DFB"/>
    <w:rsid w:val="65EF3B0C"/>
    <w:rsid w:val="66740FA8"/>
    <w:rsid w:val="66E2035A"/>
    <w:rsid w:val="670B0B64"/>
    <w:rsid w:val="67C65F33"/>
    <w:rsid w:val="67EA5309"/>
    <w:rsid w:val="681151C8"/>
    <w:rsid w:val="68186A2D"/>
    <w:rsid w:val="68752646"/>
    <w:rsid w:val="690B57BB"/>
    <w:rsid w:val="693718D7"/>
    <w:rsid w:val="69801D62"/>
    <w:rsid w:val="69AB7271"/>
    <w:rsid w:val="69B27FF1"/>
    <w:rsid w:val="69CB581E"/>
    <w:rsid w:val="69E563C8"/>
    <w:rsid w:val="6A5B058F"/>
    <w:rsid w:val="6AFB15BD"/>
    <w:rsid w:val="6B0C7C6D"/>
    <w:rsid w:val="6B4A6F94"/>
    <w:rsid w:val="6BA04A3E"/>
    <w:rsid w:val="6BAB24B1"/>
    <w:rsid w:val="6C042199"/>
    <w:rsid w:val="6C2F1675"/>
    <w:rsid w:val="6C4A1BC7"/>
    <w:rsid w:val="6C4A6B37"/>
    <w:rsid w:val="6CE15D0F"/>
    <w:rsid w:val="6CFC63A0"/>
    <w:rsid w:val="6D4D5460"/>
    <w:rsid w:val="6D645085"/>
    <w:rsid w:val="6D9165AA"/>
    <w:rsid w:val="6DAC5479"/>
    <w:rsid w:val="6DDB10B7"/>
    <w:rsid w:val="6DE71DDB"/>
    <w:rsid w:val="6E6C7DCD"/>
    <w:rsid w:val="6E6F41E6"/>
    <w:rsid w:val="6E865A0B"/>
    <w:rsid w:val="6ECB5AFA"/>
    <w:rsid w:val="6F2A116E"/>
    <w:rsid w:val="6F2A656C"/>
    <w:rsid w:val="6F637933"/>
    <w:rsid w:val="6F9159A1"/>
    <w:rsid w:val="6FE96964"/>
    <w:rsid w:val="70966945"/>
    <w:rsid w:val="70D46D82"/>
    <w:rsid w:val="71462673"/>
    <w:rsid w:val="724E3782"/>
    <w:rsid w:val="72902DA7"/>
    <w:rsid w:val="72916007"/>
    <w:rsid w:val="72A57890"/>
    <w:rsid w:val="72AD55AD"/>
    <w:rsid w:val="73123FD7"/>
    <w:rsid w:val="731352DC"/>
    <w:rsid w:val="73673268"/>
    <w:rsid w:val="73815910"/>
    <w:rsid w:val="73B54DDE"/>
    <w:rsid w:val="74150381"/>
    <w:rsid w:val="743F2AD2"/>
    <w:rsid w:val="744E6D6A"/>
    <w:rsid w:val="7470173A"/>
    <w:rsid w:val="74CB497C"/>
    <w:rsid w:val="75D11DC2"/>
    <w:rsid w:val="75F82604"/>
    <w:rsid w:val="76301283"/>
    <w:rsid w:val="76380C6F"/>
    <w:rsid w:val="764F12F9"/>
    <w:rsid w:val="767874E3"/>
    <w:rsid w:val="768024F8"/>
    <w:rsid w:val="76CC75F6"/>
    <w:rsid w:val="76E210A4"/>
    <w:rsid w:val="77187B21"/>
    <w:rsid w:val="774B1B00"/>
    <w:rsid w:val="775725A0"/>
    <w:rsid w:val="777A2A82"/>
    <w:rsid w:val="783B14B5"/>
    <w:rsid w:val="785E688C"/>
    <w:rsid w:val="78675AD3"/>
    <w:rsid w:val="786F69A2"/>
    <w:rsid w:val="78711EA5"/>
    <w:rsid w:val="78B946AB"/>
    <w:rsid w:val="78D70170"/>
    <w:rsid w:val="78FE2CC9"/>
    <w:rsid w:val="79123E17"/>
    <w:rsid w:val="792B04A4"/>
    <w:rsid w:val="79387F53"/>
    <w:rsid w:val="794761A6"/>
    <w:rsid w:val="79880773"/>
    <w:rsid w:val="79AF3171"/>
    <w:rsid w:val="79FE2930"/>
    <w:rsid w:val="7A31432B"/>
    <w:rsid w:val="7A4430A5"/>
    <w:rsid w:val="7A607960"/>
    <w:rsid w:val="7A7D2F58"/>
    <w:rsid w:val="7AA30EC0"/>
    <w:rsid w:val="7AE925C7"/>
    <w:rsid w:val="7C2D6B7E"/>
    <w:rsid w:val="7C94167F"/>
    <w:rsid w:val="7CA613CD"/>
    <w:rsid w:val="7D104923"/>
    <w:rsid w:val="7DBB2757"/>
    <w:rsid w:val="7EA448D3"/>
    <w:rsid w:val="7F642A46"/>
    <w:rsid w:val="7F64616D"/>
    <w:rsid w:val="7F736225"/>
    <w:rsid w:val="7F861A6C"/>
    <w:rsid w:val="7FA53E0F"/>
    <w:rsid w:val="7FA731FC"/>
    <w:rsid w:val="7FD564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3"/>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6"/>
    <w:qFormat/>
    <w:uiPriority w:val="99"/>
    <w:rPr>
      <w:rFonts w:ascii="宋体" w:hAnsi="Courier New" w:eastAsiaTheme="minorEastAsia" w:cstheme="minorBidi"/>
    </w:rPr>
  </w:style>
  <w:style w:type="paragraph" w:styleId="13">
    <w:name w:val="Balloon Text"/>
    <w:basedOn w:val="1"/>
    <w:link w:val="41"/>
    <w:qFormat/>
    <w:uiPriority w:val="0"/>
    <w:rPr>
      <w:rFonts w:asciiTheme="minorHAnsi" w:hAnsiTheme="minorHAnsi" w:cstheme="minorBidi"/>
      <w:sz w:val="18"/>
      <w:szCs w:val="18"/>
    </w:rPr>
  </w:style>
  <w:style w:type="paragraph" w:styleId="14">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2"/>
    <w:qFormat/>
    <w:uiPriority w:val="0"/>
    <w:rPr>
      <w:rFonts w:ascii="宋体" w:hAnsi="Courier New"/>
      <w:szCs w:val="24"/>
    </w:rPr>
  </w:style>
  <w:style w:type="character" w:customStyle="1" w:styleId="27">
    <w:name w:val="页脚 字符"/>
    <w:link w:val="14"/>
    <w:qFormat/>
    <w:uiPriority w:val="99"/>
    <w:rPr>
      <w:rFonts w:eastAsia="宋体"/>
      <w:sz w:val="18"/>
      <w:szCs w:val="18"/>
    </w:rPr>
  </w:style>
  <w:style w:type="character" w:customStyle="1" w:styleId="28">
    <w:name w:val="标题 字符"/>
    <w:link w:val="3"/>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5"/>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4"/>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5"/>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6"/>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3"/>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9"/>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1878</Words>
  <Characters>1921</Characters>
  <Lines>18</Lines>
  <Paragraphs>5</Paragraphs>
  <TotalTime>28</TotalTime>
  <ScaleCrop>false</ScaleCrop>
  <LinksUpToDate>false</LinksUpToDate>
  <CharactersWithSpaces>1999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HETONGBO</cp:lastModifiedBy>
  <cp:lastPrinted>2026-07-08T08:39:00Z</cp:lastPrinted>
  <dcterms:modified xsi:type="dcterms:W3CDTF">2026-07-16T14:44:45Z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FECE4064834E41E9A9BE124D62188751</vt:lpwstr>
  </property>
  <property fmtid="{D5CDD505-2E9C-101B-9397-08002B2CF9AE}" pid="4" name="KSOTemplateDocerSaveRecord">
    <vt:lpwstr>eyJoZGlkIjoiZDgzZTg1OGRiZDJkYjAzODc2MzQ5NTZlYmVhMWYxNWUiLCJ1c2VySWQiOiIyNTA0ODkzMTUifQ==</vt:lpwstr>
  </property>
</Properties>
</file>