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39216643"/>
      <w:bookmarkStart w:id="1" w:name="_Toc323572795"/>
      <w:bookmarkStart w:id="2" w:name="_Toc274902993"/>
      <w:bookmarkStart w:id="3" w:name="_Toc339216642"/>
      <w:bookmarkStart w:id="4" w:name="_Toc371343936"/>
      <w:bookmarkStart w:id="5" w:name="_Toc371343937"/>
      <w:bookmarkStart w:id="6" w:name="_Toc244916004"/>
      <w:bookmarkStart w:id="7" w:name="_Toc274903054"/>
      <w:bookmarkStart w:id="8" w:name="_Toc371453819"/>
      <w:bookmarkStart w:id="9" w:name="_Toc371453820"/>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4384" behindDoc="1" locked="0" layoutInCell="1" allowOverlap="1">
                <wp:simplePos x="0" y="0"/>
                <wp:positionH relativeFrom="column">
                  <wp:posOffset>687705</wp:posOffset>
                </wp:positionH>
                <wp:positionV relativeFrom="paragraph">
                  <wp:posOffset>7334250</wp:posOffset>
                </wp:positionV>
                <wp:extent cx="4545965" cy="1525270"/>
                <wp:effectExtent l="0" t="0" r="0" b="0"/>
                <wp:wrapTight wrapText="bothSides">
                  <wp:wrapPolygon>
                    <wp:start x="0" y="0"/>
                    <wp:lineTo x="0" y="21600"/>
                    <wp:lineTo x="21600" y="21600"/>
                    <wp:lineTo x="21600" y="0"/>
                    <wp:lineTo x="0" y="0"/>
                  </wp:wrapPolygon>
                </wp:wrapTight>
                <wp:docPr id="14" name="文本框 14"/>
                <wp:cNvGraphicFramePr/>
                <a:graphic xmlns:a="http://schemas.openxmlformats.org/drawingml/2006/main">
                  <a:graphicData uri="http://schemas.microsoft.com/office/word/2010/wordprocessingShape">
                    <wps:wsp>
                      <wps:cNvSpPr txBox="1"/>
                      <wps:spPr>
                        <a:xfrm>
                          <a:off x="0" y="0"/>
                          <a:ext cx="4545965" cy="1525270"/>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pStyle w:val="2"/>
                              <w:rPr>
                                <w:rFonts w:hint="eastAsia"/>
                                <w:lang w:val="en-US" w:eastAsia="zh-CN"/>
                              </w:rPr>
                            </w:pP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wps:txbx>
                      <wps:bodyPr upright="1"/>
                    </wps:wsp>
                  </a:graphicData>
                </a:graphic>
              </wp:anchor>
            </w:drawing>
          </mc:Choice>
          <mc:Fallback>
            <w:pict>
              <v:shape id="_x0000_s1026" o:spid="_x0000_s1026" o:spt="202" type="#_x0000_t202" style="position:absolute;left:0pt;margin-left:54.15pt;margin-top:577.5pt;height:120.1pt;width:357.95pt;mso-wrap-distance-left:9pt;mso-wrap-distance-right:9pt;z-index:-251652096;mso-width-relative:page;mso-height-relative:page;" filled="f" stroked="f" coordsize="21600,21600" wrapcoords="0 0 0 21600 21600 21600 21600 0 0 0" o:gfxdata="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3K&#10;eyTZAAAADQEAAA8AAAAAAAAAAQAgAAAAIgAAAGRycy9kb3ducmV2LnhtbFBLAQIUABQAAAAIAIdO&#10;4kCJHTGJsAEAAFEDAAAOAAAAAAAAAAEAIAAAACgBAABkcnMvZTJvRG9jLnhtbFBLBQYAAAAABgAG&#10;AFkBAABKBQ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pPr>
                        <w:pStyle w:val="2"/>
                        <w:rPr>
                          <w:rFonts w:hint="eastAsia"/>
                          <w:lang w:val="en-US" w:eastAsia="zh-CN"/>
                        </w:rPr>
                      </w:pP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二〇二六年七月</w:t>
                      </w:r>
                    </w:p>
                  </w:txbxContent>
                </v:textbox>
                <w10:wrap type="tight"/>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-892810</wp:posOffset>
            </wp:positionH>
            <wp:positionV relativeFrom="paragraph">
              <wp:posOffset>-895350</wp:posOffset>
            </wp:positionV>
            <wp:extent cx="7765415" cy="10979150"/>
            <wp:effectExtent l="0" t="0" r="6985" b="0"/>
            <wp:wrapNone/>
            <wp:docPr id="8"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yellow"/>
          <w:lang w:eastAsia="zh-CN"/>
        </w:rPr>
      </w:pPr>
      <w:r>
        <w:rPr>
          <w:rFonts w:hint="eastAsia" w:eastAsia="黑体"/>
          <w:b/>
          <w:color w:val="auto"/>
          <w:sz w:val="48"/>
          <w:szCs w:val="48"/>
          <w:highlight w:val="none"/>
          <w:lang w:eastAsia="zh-CN"/>
        </w:rPr>
        <w:t>超高压大理局2026年环境友好型撒布式滑坡监测系统研究开发零星采购项目</w:t>
      </w:r>
    </w:p>
    <w:p>
      <w:pPr>
        <w:jc w:val="center"/>
        <w:rPr>
          <w:rFonts w:eastAsia="黑体"/>
          <w:b/>
          <w:color w:val="auto"/>
          <w:sz w:val="48"/>
          <w:szCs w:val="48"/>
          <w:highlight w:val="none"/>
        </w:rPr>
      </w:pPr>
      <w:r>
        <w:rPr>
          <w:rFonts w:hint="eastAsia" w:eastAsia="黑体"/>
          <w:b/>
          <w:color w:val="auto"/>
          <w:sz w:val="48"/>
          <w:szCs w:val="48"/>
          <w:highlight w:val="none"/>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2699294"/>
      <w:bookmarkStart w:id="11" w:name="_Toc371153697"/>
      <w:bookmarkStart w:id="12" w:name="_Toc399839020"/>
      <w:bookmarkStart w:id="13" w:name="_Toc371344042"/>
      <w:bookmarkStart w:id="14" w:name="_Toc369269815"/>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超高压大理局2026年环境友好型撒布式滑坡监测系统研究开发零星采购项目。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本项目围绕高海拔山区滑坡监测难题，构建“环保低成本撒布式传感+群体协同感知+智能预警”的技术体系，主要开展以下研究：</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一是研发环保型低成本撒布式滑坡监测传感器。采用“可抛弃+广覆盖”设计思路，集成震动、温度及IMU多源感知单元，结合星型自组网与低功耗MCU，实现微动感知与触发上报。传感器采用可降解PHA材料外壳及无铅电路设计，具备-40℃~80℃环境适应能力，满足高海拔复杂环境部署需求；同步研发环境友好型通信网关，支持4G、毫米波及卫星通信，保障全域数据可靠传输。</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二是构建多层级智能算法体系。开发单传感器震动唤醒与姿态识别算法，实现微动识别与干扰过滤；构建多传感器群体协同分析模型，基于时空关联判定区域异常；进一步融合多源数据，形成轻量化AI预警模型，实现滑坡风险精准识别与动态预警；同时开发云端与移动端平台，实现数据可视化、历史追溯及告警定位。</w:t>
      </w:r>
    </w:p>
    <w:p>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三是开展系统集成与应用验证。通过实验室与现场测试，验证功耗、通信稳定性、算法精度及预警响应性能；在典型高风险区域开展实地部署与抛撒测试，评估系统覆盖能力与秒级预警效果，形成可复制的工程应用方案。</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协助环境友好型撒布式滑坡监测系统研究开发，具体包括：</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协助开发环保型低成本撒布式滑坡监测传感器。传感器采用可降解PHA材料外壳及无铅电路设计，集成震动、温度及IMU多源感知单元，结合星型自组网与低功耗MCU，实现微动感知与触发上报。研发环境友好型通信网关，支持4G、毫米波及卫星通信，保障全域数据可靠传输。传感器具备-40℃~80℃环境适应能力。</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协助完成多层级智能算法体系构建。开发单传感器震动唤醒与姿态识别算法，构建多传感器群体协同分析模型，融合多源数据形成轻量化AI预警模型，实现滑坡风险精准识别与动态预警。协助开发云端与移动端平台，实现数据可视化、历史追溯及告警定位。</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协助完成系统集成与应用验证。通过实验室与现场测试，验证功耗、通信稳定性、算法精度及预警响应性能；在典型高风险区域开展实地部署与抛撒测试，评估系统覆盖能力与秒级预警效果，形成可复制的工程应用方案。</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4.交付成果：研制环境友好型可抛撒部署传感器1型及样机20个、环境友好型专用通信样机1个、地质监测展示系统1套，并提供第三方检测报告，配合开展技术创新总结提炼及保护、论文编写相关工作。</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7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57"/>
        <w:gridCol w:w="2547"/>
        <w:gridCol w:w="940"/>
        <w:gridCol w:w="957"/>
        <w:gridCol w:w="2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7" w:hRule="atLeast"/>
          <w:jc w:val="center"/>
        </w:trPr>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54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4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57"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2456"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8" w:hRule="atLeast"/>
          <w:jc w:val="center"/>
        </w:trPr>
        <w:tc>
          <w:tcPr>
            <w:tcW w:w="957"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2547"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协助开展</w:t>
            </w:r>
            <w:r>
              <w:rPr>
                <w:rFonts w:hint="eastAsia" w:ascii="宋体" w:hAnsi="宋体" w:eastAsia="宋体" w:cs="宋体"/>
                <w:color w:val="auto"/>
                <w:sz w:val="24"/>
                <w:szCs w:val="24"/>
                <w:highlight w:val="none"/>
                <w:lang w:eastAsia="zh-CN"/>
              </w:rPr>
              <w:t>环境友好型撒布式滑坡监测系统研究开发</w:t>
            </w:r>
          </w:p>
        </w:tc>
        <w:tc>
          <w:tcPr>
            <w:tcW w:w="940" w:type="dxa"/>
            <w:tcBorders>
              <w:tl2br w:val="nil"/>
              <w:tr2bl w:val="nil"/>
            </w:tcBorders>
            <w:shd w:val="clear" w:color="auto" w:fill="auto"/>
            <w:vAlign w:val="center"/>
          </w:tcPr>
          <w:p>
            <w:pPr>
              <w:adjustRightInd w:val="0"/>
              <w:snapToGrid w:val="0"/>
              <w:spacing w:line="360" w:lineRule="auto"/>
              <w:jc w:val="center"/>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rPr>
              <w:t>项</w:t>
            </w:r>
          </w:p>
        </w:tc>
        <w:tc>
          <w:tcPr>
            <w:tcW w:w="957"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p>
        </w:tc>
        <w:tc>
          <w:tcPr>
            <w:tcW w:w="2456"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详见技术要求3</w:t>
            </w:r>
          </w:p>
        </w:tc>
      </w:tr>
      <w:bookmarkEnd w:id="10"/>
      <w:bookmarkEnd w:id="11"/>
      <w:bookmarkEnd w:id="12"/>
      <w:bookmarkEnd w:id="13"/>
      <w:bookmarkEnd w:id="1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质保期及售后服务响应要求：质保期不少于1年，质保期内有任何质量问题将免费进行修理、更换；售后服务的响应时间在4小时内；提供技术支持。</w:t>
      </w:r>
    </w:p>
    <w:p>
      <w:pPr>
        <w:spacing w:line="360" w:lineRule="auto"/>
        <w:ind w:firstLine="480" w:firstLineChars="200"/>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pPr>
        <w:spacing w:line="360" w:lineRule="auto"/>
        <w:ind w:firstLine="480" w:firstLineChars="200"/>
        <w:rPr>
          <w:rFonts w:hint="default"/>
          <w:highlight w:val="yellow"/>
          <w:lang w:val="en-US"/>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采购人和成交供应商应当在零星采购成交通知书发出之日起30日内，根据询价材料和成交供应商的报价文件订立书面合同，</w:t>
      </w:r>
      <w:r>
        <w:rPr>
          <w:rFonts w:hint="eastAsia" w:ascii="宋体" w:hAnsi="宋体" w:cs="宋体"/>
          <w:b/>
          <w:bCs/>
          <w:color w:val="auto"/>
          <w:sz w:val="24"/>
          <w:highlight w:val="none"/>
          <w:lang w:val="en-US" w:eastAsia="zh-CN"/>
        </w:rPr>
        <w:t>《合同条款及格式》详见附件2。</w:t>
      </w:r>
      <w:r>
        <w:rPr>
          <w:rFonts w:hint="eastAsia" w:ascii="宋体" w:hAnsi="宋体" w:cs="宋体"/>
          <w:b w:val="0"/>
          <w:bCs w:val="0"/>
          <w:color w:val="auto"/>
          <w:sz w:val="24"/>
          <w:highlight w:val="none"/>
          <w:lang w:val="en-US" w:eastAsia="zh-CN"/>
        </w:rPr>
        <w:t>合同签署完成后，</w:t>
      </w:r>
      <w:r>
        <w:rPr>
          <w:rFonts w:hint="eastAsia" w:ascii="宋体" w:hAnsi="宋体" w:cs="宋体"/>
          <w:color w:val="auto"/>
          <w:sz w:val="24"/>
          <w:highlight w:val="none"/>
          <w:lang w:val="en-US" w:eastAsia="zh-CN"/>
        </w:rPr>
        <w:t>成交供应商应当在3个月内完成技术合同认定登记。</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超高压大理局2026年环境友好型撒布式滑坡监测系统研究开发零星采购项目</w:t>
            </w:r>
          </w:p>
        </w:tc>
        <w:tc>
          <w:tcPr>
            <w:tcW w:w="531"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协助开发环保型低成本撒布式滑坡监测传感器</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协助完成多层级智能算法体系构建</w:t>
            </w:r>
          </w:p>
        </w:tc>
        <w:tc>
          <w:tcPr>
            <w:tcW w:w="53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协助完成系统集成与应用验证</w:t>
            </w:r>
          </w:p>
        </w:tc>
        <w:tc>
          <w:tcPr>
            <w:tcW w:w="531" w:type="dxa"/>
            <w:vAlign w:val="center"/>
          </w:tcPr>
          <w:p>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color w:val="auto"/>
          <w:spacing w:val="-1"/>
          <w:szCs w:val="21"/>
        </w:rPr>
      </w:pPr>
    </w:p>
    <w:p>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p>
    <w:p>
      <w:pPr>
        <w:keepNext w:val="0"/>
        <w:keepLines w:val="0"/>
        <w:pageBreakBefore w:val="0"/>
        <w:kinsoku/>
        <w:overflowPunct/>
        <w:topLinePunct w:val="0"/>
        <w:autoSpaceDE/>
        <w:autoSpaceDN/>
        <w:bidi w:val="0"/>
        <w:adjustRightInd w:val="0"/>
        <w:snapToGrid w:val="0"/>
        <w:spacing w:line="24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1781" w:tblpY="389"/>
        <w:tblOverlap w:val="never"/>
        <w:tblW w:w="855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6278"/>
        <w:gridCol w:w="168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16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trPr>
        <w:tc>
          <w:tcPr>
            <w:tcW w:w="8554" w:type="dxa"/>
            <w:gridSpan w:val="3"/>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超高压大理局2026年环境友好型撒布式滑坡监测系统研究开发零星采购项目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705"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1</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开发环保型低成本撒布式滑坡监测传感器。传感器采用可降解PHA材料外壳及无铅电路设计，集成震动、温度及IMU多源感知单元，结合星型自组网与低功耗MCU，实现微动感知与触发上报。研发环境友好型通信网关，支持4G、毫米波及卫星通信，保障全域数据可靠传输。传感器具备-40℃~80℃环境适应能力。</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71"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2</w:t>
            </w:r>
          </w:p>
        </w:tc>
        <w:tc>
          <w:tcPr>
            <w:tcW w:w="627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完成多层级智能算法体系构建。开发单传感器震动唤醒与姿态识别算法，构建多传感器群体协同分析模型，融合多源数据形成轻量化AI预警模型，实现滑坡风险精准识别与动态预警。协助开发云端与移动端平台，实现数据可视化、历史追溯及告警定位。</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Cs/>
                <w:kern w:val="0"/>
                <w:sz w:val="21"/>
                <w:szCs w:val="21"/>
                <w:highlight w:val="none"/>
              </w:rPr>
              <w:t>3</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完成系统集成与应用验证。通过实验室与现场测试，验证功耗、通信稳定性、算法精度及预警响应性能；在典型高风险区域开展实地部署与抛撒测试，评估系统覆盖能力与秒级预警效果，形成可复制的工程应用方案。</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9" w:hRule="exact"/>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4</w:t>
            </w:r>
          </w:p>
        </w:tc>
        <w:tc>
          <w:tcPr>
            <w:tcW w:w="627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交付成果：研制环境友好型可抛撒部署传感器1型及样机20个、环境友好型专用通信样机1个、地质监测展示系统1套，并提供第三方检测报告，配合开展技术创新总结提炼及保护、论文编写相关工作。</w:t>
            </w:r>
          </w:p>
        </w:tc>
        <w:tc>
          <w:tcPr>
            <w:tcW w:w="1688"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hint="eastAsia" w:ascii="宋体" w:hAnsi="宋体" w:eastAsia="宋体" w:cs="宋体"/>
                <w:color w:val="auto"/>
                <w:sz w:val="21"/>
                <w:szCs w:val="21"/>
                <w:highlight w:val="none"/>
              </w:rPr>
            </w:pPr>
          </w:p>
        </w:tc>
      </w:tr>
    </w:tbl>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keepNext w:val="0"/>
        <w:keepLines w:val="0"/>
        <w:pageBreakBefore w:val="0"/>
        <w:kinsoku/>
        <w:overflowPunct/>
        <w:topLinePunct w:val="0"/>
        <w:autoSpaceDE/>
        <w:autoSpaceDN/>
        <w:bidi w:val="0"/>
        <w:adjustRightInd w:val="0"/>
        <w:snapToGrid w:val="0"/>
        <w:rPr>
          <w:b/>
          <w:bCs/>
          <w:color w:val="auto"/>
          <w:spacing w:val="14"/>
          <w:kern w:val="0"/>
          <w:sz w:val="28"/>
          <w:szCs w:val="28"/>
          <w:highlight w:val="none"/>
        </w:rPr>
      </w:pPr>
      <w:r>
        <w:rPr>
          <w:b/>
          <w:bCs/>
          <w:color w:val="auto"/>
          <w:spacing w:val="14"/>
          <w:kern w:val="0"/>
          <w:sz w:val="28"/>
          <w:szCs w:val="28"/>
          <w:highlight w:val="none"/>
        </w:rPr>
        <w:br w:type="page"/>
      </w:r>
    </w:p>
    <w:p>
      <w:pPr>
        <w:keepNext w:val="0"/>
        <w:keepLines w:val="0"/>
        <w:pageBreakBefore w:val="0"/>
        <w:kinsoku/>
        <w:overflowPunct/>
        <w:topLinePunct w:val="0"/>
        <w:autoSpaceDE/>
        <w:autoSpaceDN/>
        <w:bidi w:val="0"/>
        <w:adjustRightInd w:val="0"/>
        <w:snapToGrid w:val="0"/>
        <w:spacing w:line="360" w:lineRule="auto"/>
        <w:outlineLvl w:val="5"/>
        <w:rPr>
          <w:b/>
          <w:bCs/>
          <w:color w:val="auto"/>
          <w:spacing w:val="14"/>
          <w:kern w:val="0"/>
          <w:sz w:val="28"/>
          <w:szCs w:val="28"/>
          <w:highlight w:val="none"/>
        </w:rPr>
      </w:pPr>
    </w:p>
    <w:p>
      <w:pPr>
        <w:keepNext w:val="0"/>
        <w:keepLines w:val="0"/>
        <w:pageBreakBefore w:val="0"/>
        <w:kinsoku/>
        <w:overflowPunct/>
        <w:topLinePunct w:val="0"/>
        <w:autoSpaceDE/>
        <w:autoSpaceDN/>
        <w:bidi w:val="0"/>
        <w:adjustRightInd w:val="0"/>
        <w:snapToGrid w:val="0"/>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1901" w:tblpY="404"/>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bookmarkStart w:id="15" w:name="_GoBack"/>
            <w:bookmarkEnd w:id="15"/>
          </w:p>
        </w:tc>
        <w:tc>
          <w:tcPr>
            <w:tcW w:w="2046"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olor w:val="auto"/>
                <w:sz w:val="24"/>
                <w:highlight w:val="none"/>
              </w:rPr>
            </w:pPr>
            <w:r>
              <w:rPr>
                <w:rFonts w:hint="eastAsia" w:ascii="宋体" w:hAnsi="宋体" w:cs="宋体"/>
                <w:b/>
                <w:bCs/>
                <w:color w:val="auto"/>
                <w:sz w:val="24"/>
                <w:highlight w:val="none"/>
                <w:lang w:eastAsia="zh-CN"/>
              </w:rPr>
              <w:t>服务成果</w:t>
            </w: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keepNext w:val="0"/>
              <w:keepLines w:val="0"/>
              <w:pageBreakBefore w:val="0"/>
              <w:widowControl/>
              <w:kinsoku/>
              <w:overflowPunct/>
              <w:topLinePunct w:val="0"/>
              <w:autoSpaceDE/>
              <w:autoSpaceDN/>
              <w:bidi w:val="0"/>
              <w:adjustRightInd w:val="0"/>
              <w:snapToGrid w:val="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服务成果交付</w:t>
            </w:r>
            <w:r>
              <w:rPr>
                <w:rFonts w:hint="eastAsia" w:ascii="宋体" w:hAnsi="宋体" w:cs="宋体"/>
                <w:b/>
                <w:bCs/>
                <w:color w:val="auto"/>
                <w:sz w:val="24"/>
                <w:highlight w:val="none"/>
              </w:rPr>
              <w:t>时间及地点要求：</w:t>
            </w:r>
            <w:r>
              <w:rPr>
                <w:rFonts w:hint="eastAsia" w:ascii="宋体" w:hAnsi="宋体" w:cs="宋体"/>
                <w:color w:val="auto"/>
                <w:sz w:val="24"/>
                <w:highlight w:val="none"/>
                <w:lang w:eastAsia="zh-CN"/>
              </w:rPr>
              <w:t>服务成果交付</w:t>
            </w:r>
            <w:r>
              <w:rPr>
                <w:rFonts w:hint="eastAsia" w:ascii="宋体" w:hAnsi="宋体" w:cs="宋体"/>
                <w:color w:val="auto"/>
                <w:sz w:val="24"/>
                <w:highlight w:val="none"/>
              </w:rPr>
              <w:t>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pPr>
              <w:keepNext w:val="0"/>
              <w:keepLines w:val="0"/>
              <w:pageBreakBefore w:val="0"/>
              <w:widowControl/>
              <w:kinsoku/>
              <w:overflowPunct/>
              <w:topLinePunct w:val="0"/>
              <w:autoSpaceDE/>
              <w:autoSpaceDN/>
              <w:bidi w:val="0"/>
              <w:adjustRightInd w:val="0"/>
              <w:snapToGrid w:val="0"/>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keepNext w:val="0"/>
              <w:keepLines w:val="0"/>
              <w:pageBreakBefore w:val="0"/>
              <w:kinsoku/>
              <w:overflowPunct/>
              <w:topLinePunct w:val="0"/>
              <w:autoSpaceDE/>
              <w:autoSpaceDN/>
              <w:bidi w:val="0"/>
              <w:adjustRightInd w:val="0"/>
              <w:snapToGrid w:val="0"/>
              <w:jc w:val="center"/>
              <w:rPr>
                <w:rFonts w:asciiTheme="minorEastAsia" w:hAnsiTheme="minorEastAsia" w:eastAsiaTheme="minorEastAsia" w:cstheme="minorEastAsia"/>
                <w:color w:val="auto"/>
                <w:sz w:val="24"/>
                <w:highlight w:val="none"/>
              </w:rPr>
            </w:pPr>
          </w:p>
        </w:tc>
      </w:tr>
    </w:tbl>
    <w:p>
      <w:pPr>
        <w:keepNext w:val="0"/>
        <w:keepLines w:val="0"/>
        <w:pageBreakBefore w:val="0"/>
        <w:kinsoku/>
        <w:overflowPunct/>
        <w:topLinePunct w:val="0"/>
        <w:autoSpaceDE/>
        <w:autoSpaceDN/>
        <w:bidi w:val="0"/>
        <w:adjustRightInd w:val="0"/>
        <w:snapToGrid w:val="0"/>
        <w:spacing w:line="360" w:lineRule="auto"/>
        <w:jc w:val="left"/>
        <w:outlineLvl w:val="5"/>
        <w:rPr>
          <w:color w:val="auto"/>
          <w:kern w:val="0"/>
          <w:sz w:val="24"/>
          <w:highlight w:val="none"/>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left"/>
        <w:rPr>
          <w:color w:val="auto"/>
          <w:spacing w:val="-1"/>
          <w:kern w:val="0"/>
          <w:sz w:val="24"/>
          <w:highlight w:val="none"/>
          <w:lang w:val="zh-CN"/>
        </w:rPr>
      </w:pPr>
    </w:p>
    <w:p>
      <w:pPr>
        <w:keepNext w:val="0"/>
        <w:keepLines w:val="0"/>
        <w:pageBreakBefore w:val="0"/>
        <w:tabs>
          <w:tab w:val="left" w:pos="7180"/>
          <w:tab w:val="left" w:pos="7601"/>
        </w:tabs>
        <w:kinsoku/>
        <w:overflowPunct/>
        <w:topLinePunct w:val="0"/>
        <w:autoSpaceDE/>
        <w:autoSpaceDN/>
        <w:bidi w:val="0"/>
        <w:adjustRightInd w:val="0"/>
        <w:snapToGrid w:val="0"/>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keepNext w:val="0"/>
        <w:keepLines w:val="0"/>
        <w:pageBreakBefore w:val="0"/>
        <w:tabs>
          <w:tab w:val="left" w:pos="525"/>
          <w:tab w:val="left" w:pos="1051"/>
        </w:tabs>
        <w:kinsoku/>
        <w:wordWrap w:val="0"/>
        <w:overflowPunct/>
        <w:topLinePunct w:val="0"/>
        <w:autoSpaceDE/>
        <w:autoSpaceDN/>
        <w:bidi w:val="0"/>
        <w:adjustRightInd w:val="0"/>
        <w:snapToGrid w:val="0"/>
        <w:spacing w:line="360" w:lineRule="auto"/>
        <w:jc w:val="right"/>
        <w:rPr>
          <w:color w:val="auto"/>
          <w:kern w:val="0"/>
          <w:sz w:val="24"/>
          <w:highlight w:val="none"/>
          <w:lang w:val="zh-CN"/>
        </w:rPr>
      </w:pPr>
    </w:p>
    <w:p>
      <w:pPr>
        <w:keepNext w:val="0"/>
        <w:keepLines w:val="0"/>
        <w:pageBreakBefore w:val="0"/>
        <w:tabs>
          <w:tab w:val="left" w:pos="722"/>
          <w:tab w:val="left" w:pos="1323"/>
        </w:tabs>
        <w:kinsoku/>
        <w:overflowPunct/>
        <w:topLinePunct w:val="0"/>
        <w:autoSpaceDE/>
        <w:autoSpaceDN/>
        <w:bidi w:val="0"/>
        <w:adjustRightInd w:val="0"/>
        <w:snapToGrid w:val="0"/>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keepNext w:val="0"/>
        <w:keepLines w:val="0"/>
        <w:pageBreakBefore w:val="0"/>
        <w:kinsoku/>
        <w:overflowPunct/>
        <w:topLinePunct w:val="0"/>
        <w:autoSpaceDE/>
        <w:autoSpaceDN/>
        <w:bidi w:val="0"/>
        <w:adjustRightInd w:val="0"/>
        <w:snapToGrid w:val="0"/>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sectPr>
          <w:footerReference r:id="rId8" w:type="default"/>
          <w:pgSz w:w="11906" w:h="16838"/>
          <w:pgMar w:top="1440" w:right="1800" w:bottom="1440" w:left="1800" w:header="851" w:footer="992" w:gutter="0"/>
          <w:pgNumType w:fmt="decimal"/>
          <w:cols w:space="425" w:num="1"/>
          <w:docGrid w:type="lines" w:linePitch="312" w:charSpace="0"/>
        </w:sectPr>
      </w:pPr>
    </w:p>
    <w:p>
      <w:pPr>
        <w:spacing w:line="360" w:lineRule="auto"/>
        <w:rPr>
          <w:rFonts w:ascii="宋体" w:hAnsi="宋体" w:cs="宋体"/>
          <w:color w:val="auto"/>
          <w:sz w:val="24"/>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r>
                            <w:rPr>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r>
                      <w:rPr>
                        <w:sz w:val="18"/>
                      </w:rPr>
                      <w:t xml:space="preserve"> 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LrFBM8BAACY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51882"/>
    <w:rsid w:val="009B64F0"/>
    <w:rsid w:val="009C13CE"/>
    <w:rsid w:val="009E26B5"/>
    <w:rsid w:val="00A00FD5"/>
    <w:rsid w:val="00A276B2"/>
    <w:rsid w:val="00A465FA"/>
    <w:rsid w:val="00A7008F"/>
    <w:rsid w:val="00A73D90"/>
    <w:rsid w:val="00BE0E55"/>
    <w:rsid w:val="00C61456"/>
    <w:rsid w:val="00DB2F76"/>
    <w:rsid w:val="00DE3D98"/>
    <w:rsid w:val="00E055E9"/>
    <w:rsid w:val="00EC56DD"/>
    <w:rsid w:val="00F04019"/>
    <w:rsid w:val="00FE4E68"/>
    <w:rsid w:val="01A40F8A"/>
    <w:rsid w:val="02E84E1B"/>
    <w:rsid w:val="02EB154A"/>
    <w:rsid w:val="039A1E76"/>
    <w:rsid w:val="04501704"/>
    <w:rsid w:val="046B4A83"/>
    <w:rsid w:val="048447AC"/>
    <w:rsid w:val="04CA6BD2"/>
    <w:rsid w:val="059852A9"/>
    <w:rsid w:val="05B67AF4"/>
    <w:rsid w:val="05CD2719"/>
    <w:rsid w:val="05F41940"/>
    <w:rsid w:val="060F4BD6"/>
    <w:rsid w:val="06161502"/>
    <w:rsid w:val="06910EC7"/>
    <w:rsid w:val="06AB0929"/>
    <w:rsid w:val="070A0B6B"/>
    <w:rsid w:val="07961E4E"/>
    <w:rsid w:val="08B379B6"/>
    <w:rsid w:val="08D01A69"/>
    <w:rsid w:val="095B0EE9"/>
    <w:rsid w:val="09B91536"/>
    <w:rsid w:val="0A5C68BB"/>
    <w:rsid w:val="0A726C5D"/>
    <w:rsid w:val="0A9C5575"/>
    <w:rsid w:val="0AB60694"/>
    <w:rsid w:val="0AD32091"/>
    <w:rsid w:val="0B3145BB"/>
    <w:rsid w:val="0B5308D4"/>
    <w:rsid w:val="0B62608C"/>
    <w:rsid w:val="0BF7440E"/>
    <w:rsid w:val="0BFD7535"/>
    <w:rsid w:val="0C183058"/>
    <w:rsid w:val="0C8849AD"/>
    <w:rsid w:val="0C95712B"/>
    <w:rsid w:val="0CBD44D5"/>
    <w:rsid w:val="0CC4072B"/>
    <w:rsid w:val="0CF24637"/>
    <w:rsid w:val="0CFD0263"/>
    <w:rsid w:val="0E2B54C7"/>
    <w:rsid w:val="0E8F38EB"/>
    <w:rsid w:val="0F7B2D38"/>
    <w:rsid w:val="10090346"/>
    <w:rsid w:val="100E20E9"/>
    <w:rsid w:val="108F47AF"/>
    <w:rsid w:val="109C7D56"/>
    <w:rsid w:val="10C61D50"/>
    <w:rsid w:val="11325498"/>
    <w:rsid w:val="116C2284"/>
    <w:rsid w:val="11727245"/>
    <w:rsid w:val="11C13F63"/>
    <w:rsid w:val="11C4398B"/>
    <w:rsid w:val="11DD40A3"/>
    <w:rsid w:val="124B085A"/>
    <w:rsid w:val="127C43FA"/>
    <w:rsid w:val="12CE6E94"/>
    <w:rsid w:val="12E542C2"/>
    <w:rsid w:val="1376193B"/>
    <w:rsid w:val="13AF2A62"/>
    <w:rsid w:val="140E14EE"/>
    <w:rsid w:val="15031A58"/>
    <w:rsid w:val="15127864"/>
    <w:rsid w:val="153B46D1"/>
    <w:rsid w:val="153E2707"/>
    <w:rsid w:val="15CE0DB9"/>
    <w:rsid w:val="163D0A11"/>
    <w:rsid w:val="16A076A8"/>
    <w:rsid w:val="16E17FD7"/>
    <w:rsid w:val="17087877"/>
    <w:rsid w:val="170F3531"/>
    <w:rsid w:val="17192215"/>
    <w:rsid w:val="17423139"/>
    <w:rsid w:val="17F90724"/>
    <w:rsid w:val="18377B1D"/>
    <w:rsid w:val="188E7C69"/>
    <w:rsid w:val="18DC7149"/>
    <w:rsid w:val="18E65311"/>
    <w:rsid w:val="190177F4"/>
    <w:rsid w:val="19775419"/>
    <w:rsid w:val="1B7A6B81"/>
    <w:rsid w:val="1BE81568"/>
    <w:rsid w:val="1C27355C"/>
    <w:rsid w:val="1C601D9D"/>
    <w:rsid w:val="1C9B0B55"/>
    <w:rsid w:val="1D7651D8"/>
    <w:rsid w:val="1E072CF3"/>
    <w:rsid w:val="1E425E07"/>
    <w:rsid w:val="1EA91661"/>
    <w:rsid w:val="1EF814B6"/>
    <w:rsid w:val="1F486752"/>
    <w:rsid w:val="1FB61E73"/>
    <w:rsid w:val="1FEA2DF0"/>
    <w:rsid w:val="20717F2A"/>
    <w:rsid w:val="207A4B27"/>
    <w:rsid w:val="20C2474B"/>
    <w:rsid w:val="20DE7F97"/>
    <w:rsid w:val="21086AC5"/>
    <w:rsid w:val="21164180"/>
    <w:rsid w:val="21C84BD6"/>
    <w:rsid w:val="21D11228"/>
    <w:rsid w:val="21D65FA3"/>
    <w:rsid w:val="21EA76D2"/>
    <w:rsid w:val="22410CA3"/>
    <w:rsid w:val="230D5F83"/>
    <w:rsid w:val="231435E3"/>
    <w:rsid w:val="23BA0DA2"/>
    <w:rsid w:val="26025181"/>
    <w:rsid w:val="265754CC"/>
    <w:rsid w:val="26B143E9"/>
    <w:rsid w:val="26CF68D5"/>
    <w:rsid w:val="26D06059"/>
    <w:rsid w:val="280165F4"/>
    <w:rsid w:val="291D3964"/>
    <w:rsid w:val="298B6166"/>
    <w:rsid w:val="29D439C5"/>
    <w:rsid w:val="29F71DCE"/>
    <w:rsid w:val="2A5D4013"/>
    <w:rsid w:val="2A73216B"/>
    <w:rsid w:val="2C4634F8"/>
    <w:rsid w:val="2C8A7F2A"/>
    <w:rsid w:val="2CA351F8"/>
    <w:rsid w:val="2DC758C4"/>
    <w:rsid w:val="2DCE6FB3"/>
    <w:rsid w:val="2DDB37E6"/>
    <w:rsid w:val="2E0A0EFD"/>
    <w:rsid w:val="2E436CF9"/>
    <w:rsid w:val="2F2462CE"/>
    <w:rsid w:val="2F3C75DF"/>
    <w:rsid w:val="2F4D7950"/>
    <w:rsid w:val="2F5C0B8A"/>
    <w:rsid w:val="300924A8"/>
    <w:rsid w:val="30786DD9"/>
    <w:rsid w:val="30B351BB"/>
    <w:rsid w:val="30C42C66"/>
    <w:rsid w:val="30D83BD1"/>
    <w:rsid w:val="3116556A"/>
    <w:rsid w:val="31403EEE"/>
    <w:rsid w:val="314C4B41"/>
    <w:rsid w:val="3161392D"/>
    <w:rsid w:val="31F1799F"/>
    <w:rsid w:val="32AC098F"/>
    <w:rsid w:val="32FC2794"/>
    <w:rsid w:val="33591408"/>
    <w:rsid w:val="338E2CB9"/>
    <w:rsid w:val="33AE5DBB"/>
    <w:rsid w:val="34485725"/>
    <w:rsid w:val="344C3454"/>
    <w:rsid w:val="347D12EB"/>
    <w:rsid w:val="34FB1B75"/>
    <w:rsid w:val="350967C7"/>
    <w:rsid w:val="35A54830"/>
    <w:rsid w:val="35E26F61"/>
    <w:rsid w:val="36A93D34"/>
    <w:rsid w:val="36C4459F"/>
    <w:rsid w:val="36CA7098"/>
    <w:rsid w:val="36CE7125"/>
    <w:rsid w:val="36DD06B5"/>
    <w:rsid w:val="38107BBE"/>
    <w:rsid w:val="38592D41"/>
    <w:rsid w:val="38723B01"/>
    <w:rsid w:val="38B17DB0"/>
    <w:rsid w:val="393307F8"/>
    <w:rsid w:val="39345BEF"/>
    <w:rsid w:val="399E5A8D"/>
    <w:rsid w:val="39C13B3B"/>
    <w:rsid w:val="3A7115CF"/>
    <w:rsid w:val="3A762EA6"/>
    <w:rsid w:val="3AE871ED"/>
    <w:rsid w:val="3B166795"/>
    <w:rsid w:val="3B3A4A72"/>
    <w:rsid w:val="3B426DFA"/>
    <w:rsid w:val="3BB95095"/>
    <w:rsid w:val="3C0C0FD1"/>
    <w:rsid w:val="3C0D22F1"/>
    <w:rsid w:val="3CFD0D4E"/>
    <w:rsid w:val="3D5E47CC"/>
    <w:rsid w:val="3D932ECE"/>
    <w:rsid w:val="3DF6298B"/>
    <w:rsid w:val="3E032F55"/>
    <w:rsid w:val="3E5A5D0F"/>
    <w:rsid w:val="3ED75761"/>
    <w:rsid w:val="3EE60069"/>
    <w:rsid w:val="3F037F80"/>
    <w:rsid w:val="3F5D7C25"/>
    <w:rsid w:val="3F6E7356"/>
    <w:rsid w:val="40026051"/>
    <w:rsid w:val="40CE4481"/>
    <w:rsid w:val="40D02223"/>
    <w:rsid w:val="41044933"/>
    <w:rsid w:val="411C2ABC"/>
    <w:rsid w:val="41B64242"/>
    <w:rsid w:val="41D930E9"/>
    <w:rsid w:val="420172F8"/>
    <w:rsid w:val="4214444F"/>
    <w:rsid w:val="428178ED"/>
    <w:rsid w:val="437F3C55"/>
    <w:rsid w:val="43F33DE5"/>
    <w:rsid w:val="443E1922"/>
    <w:rsid w:val="445544D0"/>
    <w:rsid w:val="44883556"/>
    <w:rsid w:val="4566672F"/>
    <w:rsid w:val="4597553F"/>
    <w:rsid w:val="45B96669"/>
    <w:rsid w:val="46B251D5"/>
    <w:rsid w:val="46D75F15"/>
    <w:rsid w:val="47136D96"/>
    <w:rsid w:val="47873FED"/>
    <w:rsid w:val="478A5985"/>
    <w:rsid w:val="47B97B6E"/>
    <w:rsid w:val="47DB78B4"/>
    <w:rsid w:val="485A7764"/>
    <w:rsid w:val="48697707"/>
    <w:rsid w:val="487D34CE"/>
    <w:rsid w:val="48812C6D"/>
    <w:rsid w:val="48FA0CCE"/>
    <w:rsid w:val="497E67FC"/>
    <w:rsid w:val="49970D05"/>
    <w:rsid w:val="4A340908"/>
    <w:rsid w:val="4A654689"/>
    <w:rsid w:val="4AFB712A"/>
    <w:rsid w:val="4B060CB1"/>
    <w:rsid w:val="4B2E4DE4"/>
    <w:rsid w:val="4B3F2937"/>
    <w:rsid w:val="4B722F98"/>
    <w:rsid w:val="4BDA732C"/>
    <w:rsid w:val="4C747C00"/>
    <w:rsid w:val="4CAE23D4"/>
    <w:rsid w:val="4CF16EBB"/>
    <w:rsid w:val="4CF27A3F"/>
    <w:rsid w:val="4D952847"/>
    <w:rsid w:val="4E111E7F"/>
    <w:rsid w:val="4E1F0A8F"/>
    <w:rsid w:val="4E9B72CC"/>
    <w:rsid w:val="4EFE4BD1"/>
    <w:rsid w:val="4F131E20"/>
    <w:rsid w:val="4FCF137E"/>
    <w:rsid w:val="4FF36AD1"/>
    <w:rsid w:val="503B6ED8"/>
    <w:rsid w:val="506E60D9"/>
    <w:rsid w:val="50F4209B"/>
    <w:rsid w:val="5103544F"/>
    <w:rsid w:val="51461658"/>
    <w:rsid w:val="51B306F8"/>
    <w:rsid w:val="53646DCD"/>
    <w:rsid w:val="53932D81"/>
    <w:rsid w:val="539D4641"/>
    <w:rsid w:val="53AB1337"/>
    <w:rsid w:val="53EF0B3B"/>
    <w:rsid w:val="54507861"/>
    <w:rsid w:val="547919F2"/>
    <w:rsid w:val="547B03D3"/>
    <w:rsid w:val="54C853D4"/>
    <w:rsid w:val="54FC1BBE"/>
    <w:rsid w:val="553F47A0"/>
    <w:rsid w:val="554561C6"/>
    <w:rsid w:val="555108DF"/>
    <w:rsid w:val="55AE0DFF"/>
    <w:rsid w:val="55F857FB"/>
    <w:rsid w:val="56020408"/>
    <w:rsid w:val="560C77A6"/>
    <w:rsid w:val="569D378C"/>
    <w:rsid w:val="56AB6EAC"/>
    <w:rsid w:val="56F56768"/>
    <w:rsid w:val="571C15EB"/>
    <w:rsid w:val="57C81676"/>
    <w:rsid w:val="57CD04DD"/>
    <w:rsid w:val="585D55F4"/>
    <w:rsid w:val="58734628"/>
    <w:rsid w:val="59722590"/>
    <w:rsid w:val="598F0310"/>
    <w:rsid w:val="59E85E60"/>
    <w:rsid w:val="59FD2825"/>
    <w:rsid w:val="5A0B5058"/>
    <w:rsid w:val="5B1F26BA"/>
    <w:rsid w:val="5B4162F2"/>
    <w:rsid w:val="5B6B1990"/>
    <w:rsid w:val="5B6E2B3B"/>
    <w:rsid w:val="5C270F1D"/>
    <w:rsid w:val="5C8F3336"/>
    <w:rsid w:val="5C927AE0"/>
    <w:rsid w:val="5CDE243B"/>
    <w:rsid w:val="5D754213"/>
    <w:rsid w:val="5D837E1D"/>
    <w:rsid w:val="5D98197C"/>
    <w:rsid w:val="5DAF4A90"/>
    <w:rsid w:val="5E102188"/>
    <w:rsid w:val="5EA6472F"/>
    <w:rsid w:val="5EC22C27"/>
    <w:rsid w:val="5F041F5F"/>
    <w:rsid w:val="5F1337E9"/>
    <w:rsid w:val="5F3F6973"/>
    <w:rsid w:val="5FA75912"/>
    <w:rsid w:val="5FE45DE0"/>
    <w:rsid w:val="5FE5141B"/>
    <w:rsid w:val="60D85E8A"/>
    <w:rsid w:val="612E6E2A"/>
    <w:rsid w:val="61604458"/>
    <w:rsid w:val="629642BB"/>
    <w:rsid w:val="62FE7930"/>
    <w:rsid w:val="6315604E"/>
    <w:rsid w:val="63A802C2"/>
    <w:rsid w:val="64F54A79"/>
    <w:rsid w:val="65037CE8"/>
    <w:rsid w:val="652D0705"/>
    <w:rsid w:val="65676159"/>
    <w:rsid w:val="65E26DFB"/>
    <w:rsid w:val="65EF3B0C"/>
    <w:rsid w:val="664B421A"/>
    <w:rsid w:val="66740FA8"/>
    <w:rsid w:val="670B0B64"/>
    <w:rsid w:val="67B45FC3"/>
    <w:rsid w:val="67C65F33"/>
    <w:rsid w:val="68186A2D"/>
    <w:rsid w:val="690B57BB"/>
    <w:rsid w:val="693718D7"/>
    <w:rsid w:val="69801D62"/>
    <w:rsid w:val="69AB7271"/>
    <w:rsid w:val="69B27FF1"/>
    <w:rsid w:val="6A5B058F"/>
    <w:rsid w:val="6ADC7A7D"/>
    <w:rsid w:val="6ADD047E"/>
    <w:rsid w:val="6AFB15BD"/>
    <w:rsid w:val="6B0C7C6D"/>
    <w:rsid w:val="6BA04A3E"/>
    <w:rsid w:val="6C042199"/>
    <w:rsid w:val="6C2F1675"/>
    <w:rsid w:val="6C4A1BC7"/>
    <w:rsid w:val="6CE15D0F"/>
    <w:rsid w:val="6CFC63A0"/>
    <w:rsid w:val="6D9165AA"/>
    <w:rsid w:val="6DDB10B7"/>
    <w:rsid w:val="6E6F41E6"/>
    <w:rsid w:val="6E865A0B"/>
    <w:rsid w:val="6ECB5AFA"/>
    <w:rsid w:val="6F2A656C"/>
    <w:rsid w:val="6F637933"/>
    <w:rsid w:val="6F9159A1"/>
    <w:rsid w:val="6FE96964"/>
    <w:rsid w:val="70966945"/>
    <w:rsid w:val="70D46D82"/>
    <w:rsid w:val="71462673"/>
    <w:rsid w:val="71D41E02"/>
    <w:rsid w:val="724E3782"/>
    <w:rsid w:val="72902DA7"/>
    <w:rsid w:val="72A57890"/>
    <w:rsid w:val="72AD55AD"/>
    <w:rsid w:val="735E0012"/>
    <w:rsid w:val="73673268"/>
    <w:rsid w:val="73B54DDE"/>
    <w:rsid w:val="743F2AD2"/>
    <w:rsid w:val="7470173A"/>
    <w:rsid w:val="74CB497C"/>
    <w:rsid w:val="75F82604"/>
    <w:rsid w:val="76301283"/>
    <w:rsid w:val="76380C6F"/>
    <w:rsid w:val="764F12F9"/>
    <w:rsid w:val="767874E3"/>
    <w:rsid w:val="768024F8"/>
    <w:rsid w:val="77187B21"/>
    <w:rsid w:val="77387FCF"/>
    <w:rsid w:val="774B1B00"/>
    <w:rsid w:val="775725A0"/>
    <w:rsid w:val="777A2A82"/>
    <w:rsid w:val="78327197"/>
    <w:rsid w:val="78675AD3"/>
    <w:rsid w:val="78D70170"/>
    <w:rsid w:val="78FE2CC9"/>
    <w:rsid w:val="79123E17"/>
    <w:rsid w:val="792B04A4"/>
    <w:rsid w:val="79387F53"/>
    <w:rsid w:val="794761A6"/>
    <w:rsid w:val="7A31432B"/>
    <w:rsid w:val="7A7D2F58"/>
    <w:rsid w:val="7AE925C7"/>
    <w:rsid w:val="7B38234C"/>
    <w:rsid w:val="7BD32074"/>
    <w:rsid w:val="7C2D6B7E"/>
    <w:rsid w:val="7C94167F"/>
    <w:rsid w:val="7CA613CD"/>
    <w:rsid w:val="7D104923"/>
    <w:rsid w:val="7D9C76EE"/>
    <w:rsid w:val="7F642A46"/>
    <w:rsid w:val="7F64616D"/>
    <w:rsid w:val="7F861A6C"/>
    <w:rsid w:val="7FB16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2594</Words>
  <Characters>2668</Characters>
  <Lines>18</Lines>
  <Paragraphs>5</Paragraphs>
  <TotalTime>1</TotalTime>
  <ScaleCrop>false</ScaleCrop>
  <LinksUpToDate>false</LinksUpToDate>
  <CharactersWithSpaces>2786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110F4942CD4C522AE05336050A0A2485</cp:lastModifiedBy>
  <cp:lastPrinted>2024-02-27T06:19:00Z</cp:lastPrinted>
  <dcterms:modified xsi:type="dcterms:W3CDTF">2026-07-13T01:59:03Z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094A2C6C3047499696A63A6F2C44D47D</vt:lpwstr>
  </property>
  <property fmtid="{D5CDD505-2E9C-101B-9397-08002B2CF9AE}" pid="4" name="KSOTemplateDocerSaveRecord">
    <vt:lpwstr>eyJoZGlkIjoiMjI2ZWRiY2VhYTUyYjE0Mzc3ZDUwOGJjOWVjNGM4MzkiLCJ1c2VySWQiOiI1NDY4ODQzODIifQ==</vt:lpwstr>
  </property>
</Properties>
</file>