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line="284" w:lineRule="auto"/>
        <w:rPr>
          <w:color w:val="auto"/>
          <w:highlight w:val="none"/>
        </w:rPr>
      </w:pPr>
    </w:p>
    <w:p>
      <w:pPr>
        <w:pStyle w:val="4"/>
        <w:spacing w:line="284" w:lineRule="auto"/>
        <w:rPr>
          <w:color w:val="auto"/>
          <w:highlight w:val="none"/>
        </w:rPr>
      </w:pPr>
    </w:p>
    <w:p>
      <w:pPr>
        <w:pStyle w:val="4"/>
        <w:spacing w:line="285" w:lineRule="auto"/>
        <w:rPr>
          <w:color w:val="auto"/>
          <w:highlight w:val="none"/>
        </w:rPr>
      </w:pPr>
      <w:r>
        <w:rPr>
          <w:color w:val="auto"/>
          <w:highlight w:val="none"/>
          <w:lang w:eastAsia="zh-CN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92075</wp:posOffset>
            </wp:positionH>
            <wp:positionV relativeFrom="paragraph">
              <wp:posOffset>206375</wp:posOffset>
            </wp:positionV>
            <wp:extent cx="749300" cy="584200"/>
            <wp:effectExtent l="0" t="0" r="0" b="0"/>
            <wp:wrapNone/>
            <wp:docPr id="2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2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49302" cy="5841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before="178" w:line="198" w:lineRule="auto"/>
        <w:ind w:left="1542"/>
        <w:outlineLvl w:val="0"/>
        <w:rPr>
          <w:rFonts w:ascii="黑体" w:hAnsi="黑体" w:eastAsia="黑体" w:cs="黑体"/>
          <w:color w:val="auto"/>
          <w:sz w:val="55"/>
          <w:szCs w:val="55"/>
          <w:highlight w:val="none"/>
        </w:rPr>
      </w:pPr>
      <w:r>
        <w:rPr>
          <w:rFonts w:ascii="黑体" w:hAnsi="黑体" w:eastAsia="黑体" w:cs="黑体"/>
          <w:b/>
          <w:bCs/>
          <w:color w:val="auto"/>
          <w:spacing w:val="15"/>
          <w:sz w:val="55"/>
          <w:szCs w:val="55"/>
          <w:highlight w:val="none"/>
        </w:rPr>
        <w:t>中国南方电网</w:t>
      </w:r>
    </w:p>
    <w:p>
      <w:pPr>
        <w:pStyle w:val="4"/>
        <w:spacing w:line="198" w:lineRule="auto"/>
        <w:ind w:left="1515"/>
        <w:rPr>
          <w:color w:val="auto"/>
          <w:sz w:val="20"/>
          <w:szCs w:val="20"/>
          <w:highlight w:val="none"/>
        </w:rPr>
      </w:pPr>
      <w:r>
        <w:rPr>
          <w:b/>
          <w:bCs/>
          <w:color w:val="auto"/>
          <w:spacing w:val="-2"/>
          <w:sz w:val="20"/>
          <w:szCs w:val="20"/>
          <w:highlight w:val="none"/>
        </w:rPr>
        <w:t>CHINA</w:t>
      </w:r>
      <w:r>
        <w:rPr>
          <w:b/>
          <w:bCs/>
          <w:color w:val="auto"/>
          <w:spacing w:val="21"/>
          <w:sz w:val="20"/>
          <w:szCs w:val="20"/>
          <w:highlight w:val="none"/>
        </w:rPr>
        <w:t xml:space="preserve">  </w:t>
      </w:r>
      <w:r>
        <w:rPr>
          <w:b/>
          <w:bCs/>
          <w:color w:val="auto"/>
          <w:spacing w:val="-2"/>
          <w:sz w:val="20"/>
          <w:szCs w:val="20"/>
          <w:highlight w:val="none"/>
        </w:rPr>
        <w:t>SOUTHERN</w:t>
      </w:r>
      <w:r>
        <w:rPr>
          <w:b/>
          <w:bCs/>
          <w:color w:val="auto"/>
          <w:spacing w:val="23"/>
          <w:w w:val="101"/>
          <w:sz w:val="20"/>
          <w:szCs w:val="20"/>
          <w:highlight w:val="none"/>
        </w:rPr>
        <w:t xml:space="preserve">  </w:t>
      </w:r>
      <w:r>
        <w:rPr>
          <w:b/>
          <w:bCs/>
          <w:color w:val="auto"/>
          <w:spacing w:val="-2"/>
          <w:sz w:val="20"/>
          <w:szCs w:val="20"/>
          <w:highlight w:val="none"/>
        </w:rPr>
        <w:t>POWER</w:t>
      </w:r>
      <w:r>
        <w:rPr>
          <w:b/>
          <w:bCs/>
          <w:color w:val="auto"/>
          <w:spacing w:val="21"/>
          <w:sz w:val="20"/>
          <w:szCs w:val="20"/>
          <w:highlight w:val="none"/>
        </w:rPr>
        <w:t xml:space="preserve">  </w:t>
      </w:r>
      <w:r>
        <w:rPr>
          <w:b/>
          <w:bCs/>
          <w:color w:val="auto"/>
          <w:spacing w:val="-2"/>
          <w:sz w:val="20"/>
          <w:szCs w:val="20"/>
          <w:highlight w:val="none"/>
        </w:rPr>
        <w:t>GRID</w:t>
      </w:r>
    </w:p>
    <w:p>
      <w:pPr>
        <w:pStyle w:val="4"/>
        <w:spacing w:line="241" w:lineRule="auto"/>
        <w:rPr>
          <w:color w:val="auto"/>
          <w:highlight w:val="none"/>
        </w:rPr>
      </w:pPr>
    </w:p>
    <w:p>
      <w:pPr>
        <w:pStyle w:val="4"/>
        <w:spacing w:line="241" w:lineRule="auto"/>
        <w:rPr>
          <w:color w:val="auto"/>
          <w:highlight w:val="none"/>
        </w:rPr>
      </w:pPr>
    </w:p>
    <w:p>
      <w:pPr>
        <w:pStyle w:val="4"/>
        <w:spacing w:line="241" w:lineRule="auto"/>
        <w:rPr>
          <w:color w:val="auto"/>
          <w:highlight w:val="none"/>
        </w:rPr>
      </w:pPr>
    </w:p>
    <w:p>
      <w:pPr>
        <w:pStyle w:val="4"/>
        <w:spacing w:line="241" w:lineRule="auto"/>
        <w:rPr>
          <w:color w:val="auto"/>
          <w:highlight w:val="none"/>
        </w:rPr>
      </w:pPr>
    </w:p>
    <w:p>
      <w:pPr>
        <w:pStyle w:val="4"/>
        <w:spacing w:line="241" w:lineRule="auto"/>
        <w:rPr>
          <w:color w:val="auto"/>
          <w:highlight w:val="none"/>
        </w:rPr>
      </w:pPr>
    </w:p>
    <w:p>
      <w:pPr>
        <w:pStyle w:val="4"/>
        <w:spacing w:line="241" w:lineRule="auto"/>
        <w:rPr>
          <w:color w:val="auto"/>
          <w:highlight w:val="none"/>
        </w:rPr>
      </w:pPr>
    </w:p>
    <w:p>
      <w:pPr>
        <w:pStyle w:val="4"/>
        <w:spacing w:line="241" w:lineRule="auto"/>
        <w:rPr>
          <w:color w:val="auto"/>
          <w:highlight w:val="none"/>
        </w:rPr>
      </w:pPr>
    </w:p>
    <w:p>
      <w:pPr>
        <w:pStyle w:val="4"/>
        <w:spacing w:line="242" w:lineRule="auto"/>
        <w:rPr>
          <w:color w:val="auto"/>
          <w:highlight w:val="none"/>
        </w:rPr>
      </w:pPr>
    </w:p>
    <w:p>
      <w:pPr>
        <w:pStyle w:val="4"/>
        <w:spacing w:line="242" w:lineRule="auto"/>
        <w:rPr>
          <w:color w:val="auto"/>
          <w:highlight w:val="none"/>
        </w:rPr>
      </w:pPr>
    </w:p>
    <w:p>
      <w:pPr>
        <w:spacing w:before="110" w:line="312" w:lineRule="auto"/>
        <w:ind w:left="2790" w:hanging="2790"/>
        <w:jc w:val="center"/>
        <w:rPr>
          <w:rFonts w:hint="default" w:ascii="黑体" w:hAnsi="黑体" w:eastAsia="黑体" w:cs="黑体"/>
          <w:b/>
          <w:bCs/>
          <w:color w:val="auto"/>
          <w:spacing w:val="17"/>
          <w:sz w:val="34"/>
          <w:szCs w:val="34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pacing w:val="17"/>
          <w:sz w:val="34"/>
          <w:szCs w:val="34"/>
          <w:highlight w:val="none"/>
          <w:lang w:val="en-US" w:eastAsia="zh-CN"/>
        </w:rPr>
        <w:t>普洱墨江供电局泗南江配电所</w:t>
      </w:r>
      <w:r>
        <w:rPr>
          <w:rFonts w:hint="eastAsia" w:ascii="黑体" w:hAnsi="黑体" w:eastAsia="黑体" w:cs="黑体"/>
          <w:b/>
          <w:bCs/>
          <w:color w:val="auto"/>
          <w:spacing w:val="17"/>
          <w:sz w:val="34"/>
          <w:szCs w:val="34"/>
          <w:highlight w:val="none"/>
          <w:lang w:eastAsia="zh-CN"/>
        </w:rPr>
        <w:t>项目</w:t>
      </w:r>
      <w:r>
        <w:rPr>
          <w:rFonts w:hint="eastAsia" w:ascii="黑体" w:hAnsi="黑体" w:eastAsia="黑体" w:cs="黑体"/>
          <w:b/>
          <w:bCs/>
          <w:color w:val="auto"/>
          <w:spacing w:val="17"/>
          <w:sz w:val="34"/>
          <w:szCs w:val="34"/>
          <w:highlight w:val="none"/>
          <w:lang w:val="en-US" w:eastAsia="zh-CN"/>
        </w:rPr>
        <w:t>配合市政消火栓开口服务</w:t>
      </w:r>
    </w:p>
    <w:p>
      <w:pPr>
        <w:spacing w:before="110" w:line="312" w:lineRule="auto"/>
        <w:ind w:left="2790" w:hanging="2790"/>
        <w:jc w:val="center"/>
        <w:rPr>
          <w:rFonts w:ascii="黑体" w:hAnsi="黑体" w:eastAsia="黑体" w:cs="黑体"/>
          <w:color w:val="auto"/>
          <w:sz w:val="34"/>
          <w:szCs w:val="34"/>
          <w:highlight w:val="none"/>
          <w:lang w:eastAsia="zh-CN"/>
        </w:rPr>
      </w:pPr>
      <w:r>
        <w:rPr>
          <w:rFonts w:hint="eastAsia" w:ascii="黑体" w:hAnsi="黑体" w:eastAsia="黑体" w:cs="黑体"/>
          <w:b/>
          <w:bCs/>
          <w:color w:val="auto"/>
          <w:spacing w:val="17"/>
          <w:sz w:val="34"/>
          <w:szCs w:val="34"/>
          <w:highlight w:val="none"/>
          <w:lang w:eastAsia="zh-CN"/>
        </w:rPr>
        <w:t>零星采购技术规范</w:t>
      </w:r>
      <w:r>
        <w:rPr>
          <w:rFonts w:ascii="黑体" w:hAnsi="黑体" w:eastAsia="黑体" w:cs="黑体"/>
          <w:b/>
          <w:bCs/>
          <w:color w:val="auto"/>
          <w:spacing w:val="17"/>
          <w:sz w:val="34"/>
          <w:szCs w:val="34"/>
          <w:highlight w:val="none"/>
          <w:lang w:eastAsia="zh-CN"/>
        </w:rPr>
        <w:t>书</w:t>
      </w:r>
    </w:p>
    <w:p>
      <w:pPr>
        <w:pStyle w:val="4"/>
        <w:spacing w:line="246" w:lineRule="auto"/>
        <w:rPr>
          <w:color w:val="auto"/>
          <w:highlight w:val="none"/>
          <w:lang w:eastAsia="zh-CN"/>
        </w:rPr>
      </w:pPr>
    </w:p>
    <w:p>
      <w:pPr>
        <w:pStyle w:val="4"/>
        <w:spacing w:line="247" w:lineRule="auto"/>
        <w:rPr>
          <w:color w:val="auto"/>
          <w:highlight w:val="none"/>
          <w:lang w:eastAsia="zh-CN"/>
        </w:rPr>
      </w:pPr>
    </w:p>
    <w:p>
      <w:pPr>
        <w:pStyle w:val="4"/>
        <w:spacing w:line="247" w:lineRule="auto"/>
        <w:rPr>
          <w:color w:val="auto"/>
          <w:highlight w:val="none"/>
          <w:lang w:eastAsia="zh-CN"/>
        </w:rPr>
      </w:pPr>
    </w:p>
    <w:p>
      <w:pPr>
        <w:pStyle w:val="4"/>
        <w:spacing w:line="247" w:lineRule="auto"/>
        <w:rPr>
          <w:color w:val="auto"/>
          <w:highlight w:val="none"/>
          <w:lang w:eastAsia="zh-CN"/>
        </w:rPr>
      </w:pPr>
    </w:p>
    <w:p>
      <w:pPr>
        <w:pStyle w:val="4"/>
        <w:spacing w:line="247" w:lineRule="auto"/>
        <w:rPr>
          <w:color w:val="auto"/>
          <w:highlight w:val="none"/>
          <w:lang w:eastAsia="zh-CN"/>
        </w:rPr>
      </w:pPr>
    </w:p>
    <w:p>
      <w:pPr>
        <w:pStyle w:val="4"/>
        <w:spacing w:line="247" w:lineRule="auto"/>
        <w:rPr>
          <w:color w:val="auto"/>
          <w:highlight w:val="none"/>
          <w:lang w:eastAsia="zh-CN"/>
        </w:rPr>
      </w:pPr>
    </w:p>
    <w:p>
      <w:pPr>
        <w:pStyle w:val="4"/>
        <w:spacing w:line="247" w:lineRule="auto"/>
        <w:rPr>
          <w:color w:val="auto"/>
          <w:highlight w:val="none"/>
          <w:lang w:eastAsia="zh-CN"/>
        </w:rPr>
      </w:pPr>
    </w:p>
    <w:p>
      <w:pPr>
        <w:pStyle w:val="4"/>
        <w:spacing w:line="247" w:lineRule="auto"/>
        <w:rPr>
          <w:color w:val="auto"/>
          <w:highlight w:val="none"/>
          <w:lang w:eastAsia="zh-CN"/>
        </w:rPr>
      </w:pPr>
    </w:p>
    <w:p>
      <w:pPr>
        <w:pStyle w:val="4"/>
        <w:spacing w:line="247" w:lineRule="auto"/>
        <w:rPr>
          <w:color w:val="auto"/>
          <w:highlight w:val="none"/>
          <w:lang w:eastAsia="zh-CN"/>
        </w:rPr>
      </w:pPr>
    </w:p>
    <w:p>
      <w:pPr>
        <w:pStyle w:val="4"/>
        <w:spacing w:line="247" w:lineRule="auto"/>
        <w:rPr>
          <w:color w:val="auto"/>
          <w:highlight w:val="none"/>
          <w:lang w:eastAsia="zh-CN"/>
        </w:rPr>
      </w:pPr>
    </w:p>
    <w:p>
      <w:pPr>
        <w:pStyle w:val="4"/>
        <w:spacing w:line="247" w:lineRule="auto"/>
        <w:rPr>
          <w:color w:val="auto"/>
          <w:highlight w:val="none"/>
          <w:lang w:eastAsia="zh-CN"/>
        </w:rPr>
      </w:pPr>
    </w:p>
    <w:p>
      <w:pPr>
        <w:pStyle w:val="4"/>
        <w:spacing w:line="247" w:lineRule="auto"/>
        <w:rPr>
          <w:color w:val="auto"/>
          <w:highlight w:val="none"/>
          <w:lang w:eastAsia="zh-CN"/>
        </w:rPr>
      </w:pPr>
    </w:p>
    <w:p>
      <w:pPr>
        <w:pStyle w:val="4"/>
        <w:spacing w:line="247" w:lineRule="auto"/>
        <w:rPr>
          <w:color w:val="auto"/>
          <w:highlight w:val="none"/>
          <w:lang w:eastAsia="zh-CN"/>
        </w:rPr>
      </w:pPr>
    </w:p>
    <w:p>
      <w:pPr>
        <w:pStyle w:val="4"/>
        <w:spacing w:line="247" w:lineRule="auto"/>
        <w:rPr>
          <w:color w:val="auto"/>
          <w:highlight w:val="none"/>
          <w:lang w:eastAsia="zh-CN"/>
        </w:rPr>
      </w:pPr>
    </w:p>
    <w:p>
      <w:pPr>
        <w:pStyle w:val="4"/>
        <w:spacing w:line="247" w:lineRule="auto"/>
        <w:rPr>
          <w:color w:val="auto"/>
          <w:highlight w:val="none"/>
          <w:lang w:eastAsia="zh-CN"/>
        </w:rPr>
      </w:pPr>
    </w:p>
    <w:p>
      <w:pPr>
        <w:pStyle w:val="4"/>
        <w:spacing w:line="247" w:lineRule="auto"/>
        <w:rPr>
          <w:color w:val="auto"/>
          <w:highlight w:val="none"/>
          <w:lang w:eastAsia="zh-CN"/>
        </w:rPr>
      </w:pPr>
    </w:p>
    <w:p>
      <w:pPr>
        <w:spacing w:before="111" w:line="221" w:lineRule="auto"/>
        <w:ind w:left="770"/>
        <w:rPr>
          <w:rFonts w:ascii="仿宋" w:hAnsi="仿宋" w:eastAsia="仿宋" w:cs="仿宋"/>
          <w:b/>
          <w:bCs/>
          <w:color w:val="auto"/>
          <w:spacing w:val="15"/>
          <w:sz w:val="34"/>
          <w:szCs w:val="34"/>
          <w:highlight w:val="none"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spacing w:val="15"/>
          <w:sz w:val="34"/>
          <w:szCs w:val="34"/>
          <w:highlight w:val="none"/>
          <w:lang w:eastAsia="zh-CN"/>
        </w:rPr>
        <w:t>建设</w:t>
      </w:r>
      <w:r>
        <w:rPr>
          <w:rFonts w:ascii="仿宋" w:hAnsi="仿宋" w:eastAsia="仿宋" w:cs="仿宋"/>
          <w:b/>
          <w:bCs/>
          <w:color w:val="auto"/>
          <w:spacing w:val="15"/>
          <w:sz w:val="34"/>
          <w:szCs w:val="34"/>
          <w:highlight w:val="none"/>
          <w:lang w:eastAsia="zh-CN"/>
        </w:rPr>
        <w:t>单位：云南电网有限责任公司</w:t>
      </w:r>
      <w:r>
        <w:rPr>
          <w:rFonts w:hint="eastAsia" w:ascii="仿宋" w:hAnsi="仿宋" w:eastAsia="仿宋" w:cs="仿宋"/>
          <w:b/>
          <w:bCs/>
          <w:color w:val="auto"/>
          <w:spacing w:val="15"/>
          <w:sz w:val="34"/>
          <w:szCs w:val="34"/>
          <w:highlight w:val="none"/>
          <w:lang w:eastAsia="zh-CN"/>
        </w:rPr>
        <w:t>普洱普洱供电局</w:t>
      </w:r>
    </w:p>
    <w:p>
      <w:pPr>
        <w:spacing w:before="111" w:line="221" w:lineRule="auto"/>
        <w:ind w:left="770"/>
        <w:rPr>
          <w:rFonts w:ascii="仿宋" w:hAnsi="仿宋" w:eastAsia="仿宋" w:cs="仿宋"/>
          <w:b/>
          <w:bCs/>
          <w:color w:val="auto"/>
          <w:spacing w:val="15"/>
          <w:sz w:val="34"/>
          <w:szCs w:val="34"/>
          <w:highlight w:val="none"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spacing w:val="15"/>
          <w:sz w:val="34"/>
          <w:szCs w:val="34"/>
          <w:highlight w:val="none"/>
          <w:lang w:eastAsia="zh-CN"/>
        </w:rPr>
        <w:t xml:space="preserve">         </w:t>
      </w:r>
    </w:p>
    <w:p>
      <w:pPr>
        <w:spacing w:before="226" w:line="222" w:lineRule="auto"/>
        <w:ind w:left="3860"/>
        <w:rPr>
          <w:rFonts w:ascii="仿宋" w:hAnsi="仿宋" w:eastAsia="仿宋" w:cs="仿宋"/>
          <w:color w:val="auto"/>
          <w:sz w:val="34"/>
          <w:szCs w:val="34"/>
          <w:highlight w:val="none"/>
          <w:lang w:eastAsia="zh-CN"/>
        </w:rPr>
      </w:pPr>
      <w:r>
        <w:rPr>
          <w:rFonts w:ascii="仿宋" w:hAnsi="仿宋" w:eastAsia="仿宋" w:cs="仿宋"/>
          <w:b/>
          <w:bCs/>
          <w:color w:val="auto"/>
          <w:spacing w:val="40"/>
          <w:w w:val="106"/>
          <w:sz w:val="34"/>
          <w:szCs w:val="34"/>
          <w:highlight w:val="none"/>
          <w:lang w:eastAsia="zh-CN"/>
        </w:rPr>
        <w:t>202</w:t>
      </w:r>
      <w:r>
        <w:rPr>
          <w:rFonts w:hint="eastAsia" w:ascii="仿宋" w:hAnsi="仿宋" w:eastAsia="仿宋" w:cs="仿宋"/>
          <w:b/>
          <w:bCs/>
          <w:color w:val="auto"/>
          <w:spacing w:val="40"/>
          <w:w w:val="106"/>
          <w:sz w:val="34"/>
          <w:szCs w:val="34"/>
          <w:highlight w:val="none"/>
          <w:lang w:eastAsia="zh-CN"/>
        </w:rPr>
        <w:t>6</w:t>
      </w:r>
      <w:r>
        <w:rPr>
          <w:rFonts w:ascii="仿宋" w:hAnsi="仿宋" w:eastAsia="仿宋" w:cs="仿宋"/>
          <w:b/>
          <w:bCs/>
          <w:color w:val="auto"/>
          <w:spacing w:val="40"/>
          <w:w w:val="106"/>
          <w:sz w:val="34"/>
          <w:szCs w:val="34"/>
          <w:highlight w:val="none"/>
          <w:lang w:eastAsia="zh-CN"/>
        </w:rPr>
        <w:t>年</w:t>
      </w:r>
      <w:r>
        <w:rPr>
          <w:rFonts w:hint="eastAsia" w:ascii="仿宋" w:hAnsi="仿宋" w:eastAsia="仿宋" w:cs="仿宋"/>
          <w:b/>
          <w:bCs/>
          <w:color w:val="auto"/>
          <w:spacing w:val="40"/>
          <w:w w:val="106"/>
          <w:sz w:val="34"/>
          <w:szCs w:val="34"/>
          <w:highlight w:val="none"/>
          <w:lang w:val="en-US" w:eastAsia="zh-CN"/>
        </w:rPr>
        <w:t>6</w:t>
      </w:r>
      <w:r>
        <w:rPr>
          <w:rFonts w:ascii="仿宋" w:hAnsi="仿宋" w:eastAsia="仿宋" w:cs="仿宋"/>
          <w:b/>
          <w:bCs/>
          <w:color w:val="auto"/>
          <w:spacing w:val="40"/>
          <w:w w:val="106"/>
          <w:sz w:val="34"/>
          <w:szCs w:val="34"/>
          <w:highlight w:val="none"/>
          <w:lang w:eastAsia="zh-CN"/>
        </w:rPr>
        <w:t>月</w:t>
      </w:r>
    </w:p>
    <w:p>
      <w:pPr>
        <w:spacing w:line="222" w:lineRule="auto"/>
        <w:rPr>
          <w:rFonts w:ascii="仿宋" w:hAnsi="仿宋" w:eastAsia="仿宋" w:cs="仿宋"/>
          <w:color w:val="auto"/>
          <w:sz w:val="34"/>
          <w:szCs w:val="34"/>
          <w:highlight w:val="none"/>
          <w:lang w:eastAsia="zh-CN"/>
        </w:rPr>
        <w:sectPr>
          <w:pgSz w:w="11900" w:h="16840"/>
          <w:pgMar w:top="1431" w:right="1500" w:bottom="0" w:left="1574" w:header="0" w:footer="0" w:gutter="0"/>
          <w:cols w:space="720" w:num="1"/>
        </w:sectPr>
      </w:pPr>
    </w:p>
    <w:p>
      <w:pPr>
        <w:spacing w:line="360" w:lineRule="auto"/>
        <w:ind w:firstLine="562" w:firstLineChars="200"/>
        <w:outlineLvl w:val="2"/>
        <w:rPr>
          <w:rFonts w:ascii="仿宋" w:hAnsi="仿宋" w:eastAsia="仿宋" w:cs="仿宋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lang w:eastAsia="zh-CN"/>
        </w:rPr>
        <w:t>一、项目基本信息</w:t>
      </w:r>
    </w:p>
    <w:p>
      <w:pPr>
        <w:spacing w:line="360" w:lineRule="auto"/>
        <w:ind w:left="14" w:right="130" w:firstLine="560" w:firstLineChars="200"/>
        <w:rPr>
          <w:rFonts w:ascii="仿宋" w:hAnsi="仿宋" w:eastAsia="仿宋" w:cs="仿宋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1.项目概况：</w:t>
      </w:r>
    </w:p>
    <w:p>
      <w:pPr>
        <w:spacing w:line="360" w:lineRule="auto"/>
        <w:ind w:left="14" w:right="130" w:firstLine="560" w:firstLineChars="200"/>
        <w:rPr>
          <w:rFonts w:ascii="仿宋" w:hAnsi="仿宋" w:eastAsia="仿宋" w:cs="仿宋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普洱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墨江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供电局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泗南江供电所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项目拟建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在墨江县泗南江镇东南侧，现配管所对面，距墨江县城约70km。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项目总建筑面积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615.3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㎡，建筑占地面积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197.7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㎡，为地上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3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层，建筑高度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11.1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米。结构形式为框架结构，抗震设防烈度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7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度，建筑结构设计使用年限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5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0年，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建筑耐火等级为二级，屋面防水等级一级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。</w:t>
      </w:r>
    </w:p>
    <w:p>
      <w:pPr>
        <w:spacing w:line="360" w:lineRule="auto"/>
        <w:ind w:left="14" w:right="130" w:firstLine="560" w:firstLineChars="200"/>
        <w:rPr>
          <w:rFonts w:ascii="仿宋" w:hAnsi="仿宋" w:eastAsia="仿宋" w:cs="仿宋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2.采购适用范围：普洱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墨江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供电局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配电所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项目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市政消火栓开口施工服务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。</w:t>
      </w:r>
    </w:p>
    <w:p>
      <w:pPr>
        <w:spacing w:line="360" w:lineRule="auto"/>
        <w:ind w:left="14" w:right="130" w:firstLine="560" w:firstLineChars="200"/>
        <w:rPr>
          <w:rFonts w:ascii="仿宋" w:hAnsi="仿宋" w:eastAsia="仿宋" w:cs="仿宋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3.批复文件：《关于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普洱墨江供电局泗南江配电所项目可行性研究报告的批复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》(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普电规划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〔202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4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〕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77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号)</w:t>
      </w:r>
    </w:p>
    <w:p>
      <w:pPr>
        <w:spacing w:line="360" w:lineRule="auto"/>
        <w:ind w:right="135" w:firstLine="560" w:firstLineChars="200"/>
        <w:rPr>
          <w:rFonts w:hint="default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4.资金来源：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自筹</w:t>
      </w:r>
    </w:p>
    <w:p>
      <w:pPr>
        <w:spacing w:line="360" w:lineRule="auto"/>
        <w:ind w:firstLine="560" w:firstLineChars="200"/>
        <w:rPr>
          <w:rFonts w:ascii="仿宋" w:hAnsi="仿宋" w:eastAsia="仿宋" w:cs="仿宋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5.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计划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采购金额：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30000.00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元。</w:t>
      </w:r>
    </w:p>
    <w:p>
      <w:pPr>
        <w:spacing w:line="360" w:lineRule="auto"/>
        <w:ind w:firstLine="560" w:firstLineChars="200"/>
        <w:rPr>
          <w:rFonts w:ascii="仿宋" w:hAnsi="仿宋" w:eastAsia="仿宋" w:cs="仿宋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6.成交后是否允许分包：不允许。</w:t>
      </w:r>
    </w:p>
    <w:p>
      <w:pPr>
        <w:spacing w:line="360" w:lineRule="auto"/>
        <w:ind w:firstLine="560" w:firstLineChars="200"/>
        <w:rPr>
          <w:rFonts w:ascii="仿宋" w:hAnsi="仿宋" w:eastAsia="仿宋" w:cs="仿宋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7.采购方案决定层级：云南电网有限责任公司普洱供电局。</w:t>
      </w:r>
    </w:p>
    <w:p>
      <w:pPr>
        <w:spacing w:line="360" w:lineRule="auto"/>
        <w:ind w:firstLine="562" w:firstLineChars="200"/>
        <w:outlineLvl w:val="2"/>
        <w:rPr>
          <w:rFonts w:ascii="仿宋" w:hAnsi="仿宋" w:eastAsia="仿宋" w:cs="仿宋"/>
          <w:b/>
          <w:bCs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lang w:eastAsia="zh-CN"/>
        </w:rPr>
        <w:t>二、采购范围及标的物清单</w:t>
      </w:r>
    </w:p>
    <w:p>
      <w:pPr>
        <w:spacing w:line="360" w:lineRule="auto"/>
        <w:ind w:firstLine="560" w:firstLineChars="200"/>
        <w:rPr>
          <w:rFonts w:hint="default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1.采购范围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及报价要求</w:t>
      </w:r>
    </w:p>
    <w:tbl>
      <w:tblPr>
        <w:tblStyle w:val="8"/>
        <w:tblW w:w="8467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53"/>
        <w:gridCol w:w="2412"/>
        <w:gridCol w:w="1205"/>
        <w:gridCol w:w="1004"/>
        <w:gridCol w:w="1096"/>
        <w:gridCol w:w="1133"/>
        <w:gridCol w:w="116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62" w:hRule="atLeast"/>
          <w:jc w:val="center"/>
        </w:trPr>
        <w:tc>
          <w:tcPr>
            <w:tcW w:w="453" w:type="dxa"/>
            <w:textDirection w:val="tbRlV"/>
            <w:vAlign w:val="center"/>
          </w:tcPr>
          <w:p>
            <w:pPr>
              <w:pStyle w:val="9"/>
              <w:ind w:left="312"/>
              <w:jc w:val="both"/>
              <w:rPr>
                <w:rFonts w:ascii="仿宋" w:hAnsi="仿宋" w:eastAsia="仿宋" w:cs="仿宋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2412" w:type="dxa"/>
            <w:vAlign w:val="center"/>
          </w:tcPr>
          <w:p>
            <w:pPr>
              <w:pStyle w:val="9"/>
              <w:jc w:val="center"/>
              <w:rPr>
                <w:rFonts w:ascii="仿宋" w:hAnsi="仿宋" w:eastAsia="仿宋" w:cs="仿宋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pacing w:val="3"/>
                <w:sz w:val="21"/>
                <w:szCs w:val="21"/>
                <w:highlight w:val="none"/>
                <w:lang w:val="en-US" w:eastAsia="zh-CN"/>
              </w:rPr>
              <w:t>项目</w:t>
            </w:r>
            <w:r>
              <w:rPr>
                <w:rFonts w:hint="eastAsia" w:ascii="仿宋" w:hAnsi="仿宋" w:eastAsia="仿宋" w:cs="仿宋"/>
                <w:color w:val="auto"/>
                <w:spacing w:val="3"/>
                <w:sz w:val="21"/>
                <w:szCs w:val="21"/>
                <w:highlight w:val="none"/>
              </w:rPr>
              <w:t>名称</w:t>
            </w:r>
          </w:p>
        </w:tc>
        <w:tc>
          <w:tcPr>
            <w:tcW w:w="1205" w:type="dxa"/>
            <w:vAlign w:val="center"/>
          </w:tcPr>
          <w:p>
            <w:pPr>
              <w:pStyle w:val="9"/>
              <w:ind w:left="0"/>
              <w:jc w:val="center"/>
              <w:rPr>
                <w:rFonts w:hint="default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3"/>
                <w:sz w:val="21"/>
                <w:szCs w:val="21"/>
                <w:highlight w:val="none"/>
                <w:lang w:val="en-US" w:eastAsia="zh-CN"/>
              </w:rPr>
              <w:t>建筑面积（㎡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）</w:t>
            </w:r>
          </w:p>
        </w:tc>
        <w:tc>
          <w:tcPr>
            <w:tcW w:w="1004" w:type="dxa"/>
            <w:vAlign w:val="center"/>
          </w:tcPr>
          <w:p>
            <w:pPr>
              <w:pStyle w:val="9"/>
              <w:ind w:left="0"/>
              <w:jc w:val="center"/>
              <w:rPr>
                <w:rFonts w:hint="eastAsia" w:ascii="仿宋" w:hAnsi="仿宋" w:eastAsia="仿宋" w:cs="仿宋"/>
                <w:color w:val="auto"/>
                <w:spacing w:val="3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3"/>
                <w:sz w:val="21"/>
                <w:szCs w:val="21"/>
                <w:highlight w:val="none"/>
                <w:lang w:val="en-US" w:eastAsia="zh-CN"/>
              </w:rPr>
              <w:t>固定单价采购金额</w:t>
            </w:r>
          </w:p>
          <w:p>
            <w:pPr>
              <w:pStyle w:val="9"/>
              <w:ind w:left="0"/>
              <w:jc w:val="center"/>
              <w:rPr>
                <w:rFonts w:hint="eastAsia" w:ascii="仿宋" w:hAnsi="仿宋" w:eastAsia="仿宋" w:cs="仿宋"/>
                <w:color w:val="auto"/>
                <w:spacing w:val="3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3"/>
                <w:sz w:val="21"/>
                <w:szCs w:val="21"/>
                <w:highlight w:val="none"/>
                <w:lang w:val="en-US" w:eastAsia="zh-CN"/>
              </w:rPr>
              <w:t>(元)</w:t>
            </w:r>
          </w:p>
        </w:tc>
        <w:tc>
          <w:tcPr>
            <w:tcW w:w="1096" w:type="dxa"/>
            <w:vAlign w:val="center"/>
          </w:tcPr>
          <w:p>
            <w:pPr>
              <w:pStyle w:val="9"/>
              <w:ind w:left="94"/>
              <w:jc w:val="center"/>
              <w:rPr>
                <w:rFonts w:hint="default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  <w:highlight w:val="none"/>
                <w:lang w:val="en-US" w:eastAsia="zh-CN"/>
              </w:rPr>
              <w:t>合计金额（元）</w:t>
            </w:r>
          </w:p>
        </w:tc>
        <w:tc>
          <w:tcPr>
            <w:tcW w:w="1133" w:type="dxa"/>
            <w:vAlign w:val="center"/>
          </w:tcPr>
          <w:p>
            <w:pPr>
              <w:pStyle w:val="9"/>
              <w:jc w:val="center"/>
              <w:rPr>
                <w:rFonts w:ascii="仿宋" w:hAnsi="仿宋" w:eastAsia="仿宋" w:cs="仿宋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pacing w:val="5"/>
                <w:sz w:val="21"/>
                <w:szCs w:val="21"/>
                <w:highlight w:val="none"/>
              </w:rPr>
              <w:t>服务</w:t>
            </w:r>
          </w:p>
          <w:p>
            <w:pPr>
              <w:pStyle w:val="9"/>
              <w:jc w:val="center"/>
              <w:rPr>
                <w:rFonts w:ascii="仿宋" w:hAnsi="仿宋" w:eastAsia="仿宋" w:cs="仿宋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pacing w:val="6"/>
                <w:sz w:val="21"/>
                <w:szCs w:val="21"/>
                <w:highlight w:val="none"/>
              </w:rPr>
              <w:t>地点</w:t>
            </w:r>
          </w:p>
        </w:tc>
        <w:tc>
          <w:tcPr>
            <w:tcW w:w="1164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color w:val="auto"/>
                <w:sz w:val="21"/>
                <w:szCs w:val="21"/>
                <w:highlight w:val="none"/>
              </w:rPr>
            </w:pPr>
          </w:p>
          <w:p>
            <w:pPr>
              <w:pStyle w:val="9"/>
              <w:ind w:left="138"/>
              <w:jc w:val="center"/>
              <w:rPr>
                <w:rFonts w:ascii="仿宋" w:hAnsi="仿宋" w:eastAsia="仿宋" w:cs="仿宋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pacing w:val="2"/>
                <w:sz w:val="21"/>
                <w:szCs w:val="21"/>
                <w:highlight w:val="none"/>
              </w:rPr>
              <w:t>采购有效期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453" w:type="dxa"/>
            <w:vAlign w:val="center"/>
          </w:tcPr>
          <w:p>
            <w:pPr>
              <w:pStyle w:val="9"/>
              <w:ind w:left="105"/>
              <w:jc w:val="center"/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2412" w:type="dxa"/>
            <w:vAlign w:val="center"/>
          </w:tcPr>
          <w:p>
            <w:pPr>
              <w:pStyle w:val="9"/>
              <w:jc w:val="center"/>
              <w:rPr>
                <w:rFonts w:hint="default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普洱墨江供电局泗南江供电所</w:t>
            </w:r>
          </w:p>
        </w:tc>
        <w:tc>
          <w:tcPr>
            <w:tcW w:w="1205" w:type="dxa"/>
            <w:vAlign w:val="center"/>
          </w:tcPr>
          <w:p>
            <w:pPr>
              <w:pStyle w:val="9"/>
              <w:jc w:val="center"/>
              <w:rPr>
                <w:rFonts w:hint="default" w:ascii="仿宋" w:hAnsi="仿宋" w:eastAsia="仿宋" w:cs="仿宋"/>
                <w:color w:val="auto"/>
                <w:spacing w:val="19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19"/>
                <w:sz w:val="21"/>
                <w:szCs w:val="21"/>
                <w:highlight w:val="none"/>
                <w:lang w:val="en-US" w:eastAsia="zh-CN"/>
              </w:rPr>
              <w:t>627.48</w:t>
            </w:r>
          </w:p>
        </w:tc>
        <w:tc>
          <w:tcPr>
            <w:tcW w:w="1004" w:type="dxa"/>
            <w:vAlign w:val="center"/>
          </w:tcPr>
          <w:p>
            <w:pPr>
              <w:pStyle w:val="9"/>
              <w:jc w:val="center"/>
              <w:rPr>
                <w:rFonts w:hint="default" w:ascii="仿宋" w:hAnsi="仿宋" w:eastAsia="仿宋" w:cs="仿宋"/>
                <w:color w:val="auto"/>
                <w:spacing w:val="19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19"/>
                <w:sz w:val="21"/>
                <w:szCs w:val="21"/>
                <w:highlight w:val="none"/>
                <w:lang w:val="en-US" w:eastAsia="zh-CN"/>
              </w:rPr>
              <w:t>3</w:t>
            </w:r>
          </w:p>
        </w:tc>
        <w:tc>
          <w:tcPr>
            <w:tcW w:w="1096" w:type="dxa"/>
            <w:vAlign w:val="center"/>
          </w:tcPr>
          <w:p>
            <w:pPr>
              <w:pStyle w:val="9"/>
              <w:ind w:left="285"/>
              <w:jc w:val="center"/>
              <w:rPr>
                <w:rFonts w:ascii="仿宋" w:hAnsi="仿宋" w:eastAsia="仿宋" w:cs="仿宋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133" w:type="dxa"/>
            <w:vAlign w:val="center"/>
          </w:tcPr>
          <w:p>
            <w:pPr>
              <w:pStyle w:val="9"/>
              <w:ind w:left="132"/>
              <w:jc w:val="center"/>
              <w:rPr>
                <w:rFonts w:hint="default" w:ascii="仿宋" w:hAnsi="仿宋" w:eastAsia="仿宋" w:cs="仿宋"/>
                <w:color w:val="auto"/>
                <w:sz w:val="21"/>
                <w:szCs w:val="21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color w:val="auto"/>
                <w:spacing w:val="19"/>
                <w:sz w:val="21"/>
                <w:szCs w:val="21"/>
                <w:highlight w:val="none"/>
                <w:lang w:eastAsia="zh-CN"/>
              </w:rPr>
              <w:t>普洱市</w:t>
            </w:r>
            <w:r>
              <w:rPr>
                <w:rFonts w:hint="eastAsia" w:ascii="仿宋" w:hAnsi="仿宋" w:eastAsia="仿宋" w:cs="仿宋"/>
                <w:color w:val="auto"/>
                <w:spacing w:val="19"/>
                <w:sz w:val="21"/>
                <w:szCs w:val="21"/>
                <w:highlight w:val="none"/>
                <w:lang w:val="en-US" w:eastAsia="zh-CN"/>
              </w:rPr>
              <w:t>墨江县泗南江镇</w:t>
            </w:r>
          </w:p>
        </w:tc>
        <w:tc>
          <w:tcPr>
            <w:tcW w:w="1164" w:type="dxa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2026年7月</w:t>
            </w:r>
          </w:p>
          <w:p>
            <w:pPr>
              <w:pStyle w:val="9"/>
              <w:jc w:val="center"/>
              <w:rPr>
                <w:rFonts w:ascii="仿宋" w:hAnsi="仿宋" w:eastAsia="仿宋" w:cs="仿宋"/>
                <w:color w:val="auto"/>
                <w:sz w:val="21"/>
                <w:szCs w:val="21"/>
                <w:highlight w:val="none"/>
                <w:lang w:eastAsia="zh-CN"/>
              </w:rPr>
            </w:pPr>
          </w:p>
        </w:tc>
      </w:tr>
    </w:tbl>
    <w:p>
      <w:pPr>
        <w:spacing w:line="360" w:lineRule="auto"/>
        <w:ind w:left="14" w:right="130" w:firstLine="560" w:firstLineChars="200"/>
        <w:rPr>
          <w:rFonts w:ascii="仿宋" w:hAnsi="仿宋" w:eastAsia="仿宋" w:cs="仿宋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备注：</w:t>
      </w:r>
    </w:p>
    <w:p>
      <w:pPr>
        <w:spacing w:line="360" w:lineRule="auto"/>
        <w:ind w:firstLine="562" w:firstLineChars="200"/>
        <w:outlineLvl w:val="2"/>
        <w:rPr>
          <w:rFonts w:ascii="仿宋" w:hAnsi="仿宋" w:eastAsia="仿宋" w:cs="仿宋"/>
          <w:b/>
          <w:bCs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lang w:eastAsia="zh-CN"/>
        </w:rPr>
        <w:t>三、采购技术要求</w:t>
      </w:r>
    </w:p>
    <w:p>
      <w:pPr>
        <w:spacing w:line="360" w:lineRule="auto"/>
        <w:ind w:left="14" w:right="130" w:firstLine="560" w:firstLineChars="200"/>
        <w:jc w:val="both"/>
        <w:rPr>
          <w:rFonts w:ascii="仿宋" w:hAnsi="仿宋" w:eastAsia="仿宋" w:cs="仿宋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1.通用资格要求：</w:t>
      </w:r>
    </w:p>
    <w:p>
      <w:pPr>
        <w:spacing w:line="360" w:lineRule="auto"/>
        <w:ind w:left="14" w:right="130" w:firstLine="560" w:firstLineChars="200"/>
        <w:jc w:val="both"/>
        <w:rPr>
          <w:rFonts w:ascii="仿宋" w:hAnsi="仿宋" w:eastAsia="仿宋" w:cs="仿宋"/>
          <w:color w:val="auto"/>
          <w:sz w:val="28"/>
          <w:szCs w:val="28"/>
          <w:highlight w:val="none"/>
          <w:lang w:eastAsia="zh-CN"/>
        </w:rPr>
      </w:pPr>
      <w:r>
        <w:rPr>
          <w:rFonts w:ascii="仿宋" w:hAnsi="仿宋" w:eastAsia="仿宋" w:cs="仿宋"/>
          <w:color w:val="auto"/>
          <w:sz w:val="28"/>
          <w:szCs w:val="28"/>
          <w:highlight w:val="none"/>
          <w:lang w:eastAsia="zh-CN"/>
        </w:rPr>
        <w:t>1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.1 适用范围</w:t>
      </w:r>
    </w:p>
    <w:p>
      <w:pPr>
        <w:spacing w:line="360" w:lineRule="auto"/>
        <w:ind w:left="14" w:right="130" w:firstLine="560" w:firstLineChars="200"/>
        <w:jc w:val="both"/>
        <w:rPr>
          <w:rFonts w:ascii="仿宋" w:hAnsi="仿宋" w:eastAsia="仿宋" w:cs="仿宋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适用于本项目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配合市政工程消火栓开口</w:t>
      </w:r>
      <w:bookmarkStart w:id="2" w:name="_GoBack"/>
      <w:bookmarkEnd w:id="2"/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服务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。</w:t>
      </w:r>
    </w:p>
    <w:p>
      <w:pPr>
        <w:spacing w:line="360" w:lineRule="auto"/>
        <w:ind w:left="14" w:right="130" w:firstLine="560" w:firstLineChars="200"/>
        <w:jc w:val="both"/>
        <w:rPr>
          <w:rFonts w:ascii="仿宋" w:hAnsi="仿宋" w:eastAsia="仿宋" w:cs="仿宋"/>
          <w:color w:val="auto"/>
          <w:sz w:val="28"/>
          <w:szCs w:val="28"/>
          <w:highlight w:val="none"/>
          <w:lang w:eastAsia="zh-CN"/>
        </w:rPr>
      </w:pPr>
      <w:r>
        <w:rPr>
          <w:rFonts w:ascii="仿宋" w:hAnsi="仿宋" w:eastAsia="仿宋" w:cs="仿宋"/>
          <w:color w:val="auto"/>
          <w:sz w:val="28"/>
          <w:szCs w:val="28"/>
          <w:highlight w:val="none"/>
          <w:lang w:eastAsia="zh-CN"/>
        </w:rPr>
        <w:t>1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.2 总体技术要求</w:t>
      </w:r>
    </w:p>
    <w:p>
      <w:pPr>
        <w:spacing w:line="360" w:lineRule="auto"/>
        <w:ind w:firstLine="560" w:firstLineChars="200"/>
        <w:outlineLvl w:val="2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bookmarkStart w:id="0" w:name="OLE_LINK1"/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  <w:t>根据</w:t>
      </w:r>
      <w:bookmarkStart w:id="1" w:name="OLE_LINK2"/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  <w:t>《消防给水及消火栓系统技术规范》GB50974-2014</w:t>
      </w:r>
      <w:bookmarkEnd w:id="0"/>
      <w:bookmarkEnd w:id="1"/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  <w:t>第6.1.5条，距本项目建筑外缘5m~150m范围内有一个市政消火栓，可计入建筑室外消火栓的数量，以及《消防设施通用规范》GB55036-2022第3.0.3条，市政消火栓平时运行工作压力应大于或等于0.14MPa，出水流量大于或等于15L/s。</w:t>
      </w:r>
    </w:p>
    <w:p>
      <w:pPr>
        <w:spacing w:line="360" w:lineRule="auto"/>
        <w:ind w:firstLine="562" w:firstLineChars="200"/>
        <w:outlineLvl w:val="2"/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四、项目实施保证</w:t>
      </w:r>
    </w:p>
    <w:p>
      <w:pPr>
        <w:spacing w:line="360" w:lineRule="auto"/>
        <w:ind w:firstLine="560" w:firstLineChars="200"/>
        <w:outlineLvl w:val="2"/>
        <w:rPr>
          <w:rFonts w:hint="default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  <w:t>按照《消防给水及消火栓系统技术规范》GB50974-2014组织实施。</w:t>
      </w:r>
    </w:p>
    <w:p>
      <w:pPr>
        <w:spacing w:line="360" w:lineRule="auto"/>
        <w:ind w:firstLine="562" w:firstLineChars="200"/>
        <w:outlineLvl w:val="2"/>
        <w:rPr>
          <w:rFonts w:ascii="仿宋" w:hAnsi="仿宋" w:eastAsia="仿宋" w:cs="仿宋"/>
          <w:b/>
          <w:bCs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lang w:val="en-US" w:eastAsia="zh-CN"/>
        </w:rPr>
        <w:t>五、</w:t>
      </w: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lang w:eastAsia="zh-CN"/>
        </w:rPr>
        <w:t>服务要求</w:t>
      </w:r>
    </w:p>
    <w:p>
      <w:pPr>
        <w:spacing w:line="360" w:lineRule="auto"/>
        <w:ind w:left="14" w:right="130" w:firstLine="636" w:firstLineChars="200"/>
        <w:rPr>
          <w:rFonts w:ascii="仿宋" w:hAnsi="仿宋" w:eastAsia="仿宋" w:cs="仿宋"/>
          <w:color w:val="auto"/>
          <w:spacing w:val="19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pacing w:val="19"/>
          <w:sz w:val="28"/>
          <w:szCs w:val="28"/>
          <w:highlight w:val="none"/>
          <w:lang w:eastAsia="zh-CN"/>
        </w:rPr>
        <w:t>为实施普洱</w:t>
      </w:r>
      <w:r>
        <w:rPr>
          <w:rFonts w:hint="eastAsia" w:ascii="仿宋" w:hAnsi="仿宋" w:eastAsia="仿宋" w:cs="仿宋"/>
          <w:color w:val="auto"/>
          <w:spacing w:val="19"/>
          <w:sz w:val="28"/>
          <w:szCs w:val="28"/>
          <w:highlight w:val="none"/>
          <w:lang w:val="en-US" w:eastAsia="zh-CN"/>
        </w:rPr>
        <w:t>墨江</w:t>
      </w:r>
      <w:r>
        <w:rPr>
          <w:rFonts w:hint="eastAsia" w:ascii="仿宋" w:hAnsi="仿宋" w:eastAsia="仿宋" w:cs="仿宋"/>
          <w:color w:val="auto"/>
          <w:spacing w:val="19"/>
          <w:sz w:val="28"/>
          <w:szCs w:val="28"/>
          <w:highlight w:val="none"/>
          <w:lang w:eastAsia="zh-CN"/>
        </w:rPr>
        <w:t>供电局</w:t>
      </w:r>
      <w:r>
        <w:rPr>
          <w:rFonts w:hint="eastAsia" w:ascii="仿宋" w:hAnsi="仿宋" w:eastAsia="仿宋" w:cs="仿宋"/>
          <w:color w:val="auto"/>
          <w:spacing w:val="19"/>
          <w:sz w:val="28"/>
          <w:szCs w:val="28"/>
          <w:highlight w:val="none"/>
          <w:lang w:val="en-US" w:eastAsia="zh-CN"/>
        </w:rPr>
        <w:t>泗南江配电所</w:t>
      </w:r>
      <w:r>
        <w:rPr>
          <w:rFonts w:hint="eastAsia" w:ascii="仿宋" w:hAnsi="仿宋" w:eastAsia="仿宋" w:cs="仿宋"/>
          <w:color w:val="auto"/>
          <w:spacing w:val="19"/>
          <w:sz w:val="28"/>
          <w:szCs w:val="28"/>
          <w:highlight w:val="none"/>
          <w:lang w:eastAsia="zh-CN"/>
        </w:rPr>
        <w:t>项目</w:t>
      </w:r>
      <w:r>
        <w:rPr>
          <w:rFonts w:hint="eastAsia" w:ascii="仿宋" w:hAnsi="仿宋" w:eastAsia="仿宋" w:cs="仿宋"/>
          <w:color w:val="auto"/>
          <w:spacing w:val="19"/>
          <w:sz w:val="28"/>
          <w:szCs w:val="28"/>
          <w:highlight w:val="none"/>
          <w:lang w:val="en-US" w:eastAsia="zh-CN"/>
        </w:rPr>
        <w:t>市政消火栓开口施工</w:t>
      </w:r>
      <w:r>
        <w:rPr>
          <w:rFonts w:hint="eastAsia" w:ascii="仿宋" w:hAnsi="仿宋" w:eastAsia="仿宋" w:cs="仿宋"/>
          <w:color w:val="auto"/>
          <w:spacing w:val="19"/>
          <w:sz w:val="28"/>
          <w:szCs w:val="28"/>
          <w:highlight w:val="none"/>
          <w:lang w:eastAsia="zh-CN"/>
        </w:rPr>
        <w:t>工作，对中标人提出技术要求如下：</w:t>
      </w:r>
    </w:p>
    <w:p>
      <w:pPr>
        <w:spacing w:line="360" w:lineRule="auto"/>
        <w:ind w:firstLine="560" w:firstLineChars="200"/>
        <w:outlineLvl w:val="2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  <w:t>本项目室外消火栓设计流量为15L/s，市政消火栓出流量15L/s可满足本项目室外消防设计流量。若核实距本项目建筑外缘5m~150m范围内已建有市政消火栓（或早于本项目竣工验收前建成），可取消设置有效容积108m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vertAlign w:val="superscript"/>
          <w:lang w:val="en-US" w:eastAsia="zh-CN"/>
        </w:rPr>
        <w:t>3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  <w:t>室外消防水池。</w:t>
      </w:r>
    </w:p>
    <w:p>
      <w:pPr>
        <w:spacing w:line="360" w:lineRule="auto"/>
        <w:ind w:left="14" w:right="130" w:firstLine="662" w:firstLineChars="200"/>
        <w:rPr>
          <w:rFonts w:ascii="仿宋" w:hAnsi="仿宋" w:eastAsia="仿宋" w:cs="仿宋"/>
          <w:b/>
          <w:bCs/>
          <w:color w:val="auto"/>
          <w:spacing w:val="10"/>
          <w:sz w:val="31"/>
          <w:szCs w:val="31"/>
          <w:highlight w:val="none"/>
          <w:lang w:eastAsia="zh-CN"/>
        </w:rPr>
      </w:pPr>
    </w:p>
    <w:sectPr>
      <w:headerReference r:id="rId3" w:type="default"/>
      <w:pgSz w:w="11900" w:h="16840"/>
      <w:pgMar w:top="1440" w:right="1800" w:bottom="1440" w:left="1800" w:header="0" w:footer="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DisplayPageBoundaries w:val="1"/>
  <w:displayBackgroundShape w:val="1"/>
  <w:documentProtection w:enforcement="0"/>
  <w:defaultTabStop w:val="420"/>
  <w:noPunctuationKerning w:val="1"/>
  <w:characterSpacingControl w:val="doNotCompress"/>
  <w:compat>
    <w:spaceForUL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F50"/>
    <w:rsid w:val="000F656C"/>
    <w:rsid w:val="002E4A92"/>
    <w:rsid w:val="00387F50"/>
    <w:rsid w:val="003D0DD1"/>
    <w:rsid w:val="005C4B32"/>
    <w:rsid w:val="006B62CF"/>
    <w:rsid w:val="0071275D"/>
    <w:rsid w:val="00A91E5A"/>
    <w:rsid w:val="00C4259E"/>
    <w:rsid w:val="00F81A14"/>
    <w:rsid w:val="051931EE"/>
    <w:rsid w:val="09F4350A"/>
    <w:rsid w:val="13B71980"/>
    <w:rsid w:val="1DC75A96"/>
    <w:rsid w:val="2599753F"/>
    <w:rsid w:val="28F31625"/>
    <w:rsid w:val="2B8C6C23"/>
    <w:rsid w:val="33B31662"/>
    <w:rsid w:val="3EA45A51"/>
    <w:rsid w:val="441427F7"/>
    <w:rsid w:val="49724248"/>
    <w:rsid w:val="4A38089F"/>
    <w:rsid w:val="4B4E0E88"/>
    <w:rsid w:val="4FA77D90"/>
    <w:rsid w:val="501F4BE8"/>
    <w:rsid w:val="5316005E"/>
    <w:rsid w:val="5A7F67C4"/>
    <w:rsid w:val="5B7F1317"/>
    <w:rsid w:val="5F000F81"/>
    <w:rsid w:val="60BB5FCF"/>
    <w:rsid w:val="6C225EDD"/>
    <w:rsid w:val="715B3EF0"/>
    <w:rsid w:val="72ED2D20"/>
    <w:rsid w:val="79D43FC4"/>
    <w:rsid w:val="7FBB1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en-US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Autospacing="1" w:afterAutospacing="1"/>
      <w:outlineLvl w:val="1"/>
    </w:pPr>
    <w:rPr>
      <w:rFonts w:hint="eastAsia" w:ascii="宋体" w:hAnsi="宋体" w:eastAsia="宋体" w:cs="Times New Roman"/>
      <w:b/>
      <w:bCs/>
      <w:sz w:val="36"/>
      <w:szCs w:val="36"/>
      <w:lang w:eastAsia="zh-CN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Autospacing="1" w:afterAutospacing="1"/>
      <w:outlineLvl w:val="2"/>
    </w:pPr>
    <w:rPr>
      <w:rFonts w:hint="eastAsia" w:ascii="宋体" w:hAnsi="宋体" w:eastAsia="宋体" w:cs="Times New Roman"/>
      <w:b/>
      <w:bCs/>
      <w:sz w:val="27"/>
      <w:szCs w:val="27"/>
      <w:lang w:eastAsia="zh-CN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semiHidden/>
    <w:qFormat/>
    <w:uiPriority w:val="0"/>
  </w:style>
  <w:style w:type="character" w:styleId="7">
    <w:name w:val="Strong"/>
    <w:basedOn w:val="6"/>
    <w:qFormat/>
    <w:uiPriority w:val="0"/>
    <w:rPr>
      <w:b/>
    </w:rPr>
  </w:style>
  <w:style w:type="table" w:customStyle="1" w:styleId="8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9">
    <w:name w:val="Table Text"/>
    <w:basedOn w:val="1"/>
    <w:semiHidden/>
    <w:qFormat/>
    <w:uiPriority w:val="0"/>
    <w:rPr>
      <w:rFonts w:ascii="宋体" w:hAnsi="宋体" w:eastAsia="宋体" w:cs="宋体"/>
      <w:sz w:val="25"/>
      <w:szCs w:val="25"/>
    </w:rPr>
  </w:style>
  <w:style w:type="paragraph" w:customStyle="1" w:styleId="10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54DC3C-BA94-42C3-85A6-98F29C18F1E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396</Words>
  <Characters>2263</Characters>
  <Lines>18</Lines>
  <Paragraphs>5</Paragraphs>
  <TotalTime>2</TotalTime>
  <ScaleCrop>false</ScaleCrop>
  <LinksUpToDate>false</LinksUpToDate>
  <CharactersWithSpaces>2654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2026-04-08T07:47:00Z</dcterms:created>
  <dc:creator>Administrator</dc:creator>
  <cp:lastModifiedBy>User</cp:lastModifiedBy>
  <dcterms:modified xsi:type="dcterms:W3CDTF">2026-07-07T06:20:48Z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2026-04-03T16:26:07Z</vt:filetime>
  </property>
  <property fmtid="{D5CDD505-2E9C-101B-9397-08002B2CF9AE}" pid="4" name="UsrData">
    <vt:lpwstr>69cf799c9aafeb002068b691wl</vt:lpwstr>
  </property>
  <property fmtid="{D5CDD505-2E9C-101B-9397-08002B2CF9AE}" pid="5" name="KSOTemplateDocerSaveRecord">
    <vt:lpwstr>eyJoZGlkIjoiOWYxZmI2Mjc4ZmE1OTY1OTJiN2QxOWRjZGQxNWRjNjIiLCJ1c2VySWQiOiI1MDYxNTQ4MjMifQ==</vt:lpwstr>
  </property>
  <property fmtid="{D5CDD505-2E9C-101B-9397-08002B2CF9AE}" pid="6" name="KSOProductBuildVer">
    <vt:lpwstr>2052-11.8.2.12309</vt:lpwstr>
  </property>
  <property fmtid="{D5CDD505-2E9C-101B-9397-08002B2CF9AE}" pid="7" name="ICV">
    <vt:lpwstr>AB12D79AFC864251857F6D262AF86AF7_12</vt:lpwstr>
  </property>
</Properties>
</file>