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0270C5">
      <w:pPr>
        <w:jc w:val="center"/>
        <w:rPr>
          <w:b/>
          <w:color w:val="auto"/>
          <w:sz w:val="44"/>
          <w:szCs w:val="44"/>
          <w:highlight w:val="none"/>
        </w:rPr>
      </w:pPr>
      <w:bookmarkStart w:id="0" w:name="_Toc371343937"/>
      <w:bookmarkStart w:id="1" w:name="_Toc339216643"/>
      <w:bookmarkStart w:id="2" w:name="_Toc274903054"/>
      <w:bookmarkStart w:id="3" w:name="_Toc371453819"/>
      <w:bookmarkStart w:id="4" w:name="_Toc323572795"/>
      <w:bookmarkStart w:id="5" w:name="_Toc371453820"/>
      <w:bookmarkStart w:id="6" w:name="_Toc371343936"/>
      <w:bookmarkStart w:id="7" w:name="_Toc339216642"/>
      <w:bookmarkStart w:id="8" w:name="_Toc274902993"/>
      <w:bookmarkStart w:id="9" w:name="_Toc244916004"/>
      <w:r>
        <w:rPr>
          <w:rFonts w:hint="eastAsia" w:ascii="黑体" w:hAnsi="黑体" w:eastAsia="黑体" w:cs="黑体"/>
          <w:b w:val="0"/>
          <w:bCs w:val="0"/>
          <w:color w:val="auto"/>
          <w:sz w:val="32"/>
          <w:szCs w:val="32"/>
          <w:lang w:val="en-US" w:eastAsia="zh-CN"/>
        </w:rPr>
        <w:drawing>
          <wp:anchor distT="0" distB="0" distL="114300" distR="114300" simplePos="0" relativeHeight="251660288" behindDoc="1" locked="0" layoutInCell="1" allowOverlap="1">
            <wp:simplePos x="0" y="0"/>
            <wp:positionH relativeFrom="column">
              <wp:posOffset>-939165</wp:posOffset>
            </wp:positionH>
            <wp:positionV relativeFrom="paragraph">
              <wp:posOffset>-986155</wp:posOffset>
            </wp:positionV>
            <wp:extent cx="7765415" cy="10979150"/>
            <wp:effectExtent l="0" t="0" r="6985" b="0"/>
            <wp:wrapNone/>
            <wp:docPr id="1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0"/>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35AE37B7">
      <w:pPr>
        <w:jc w:val="center"/>
        <w:rPr>
          <w:rFonts w:hint="eastAsia" w:eastAsia="黑体"/>
          <w:b/>
          <w:color w:val="auto"/>
          <w:sz w:val="48"/>
          <w:szCs w:val="48"/>
          <w:highlight w:val="none"/>
        </w:rPr>
      </w:pPr>
    </w:p>
    <w:p w14:paraId="517F82DA">
      <w:pPr>
        <w:jc w:val="center"/>
        <w:rPr>
          <w:rFonts w:hint="eastAsia" w:eastAsia="黑体"/>
          <w:b/>
          <w:color w:val="auto"/>
          <w:sz w:val="48"/>
          <w:szCs w:val="48"/>
          <w:highlight w:val="none"/>
        </w:rPr>
      </w:pPr>
    </w:p>
    <w:p w14:paraId="1DDE7969">
      <w:pPr>
        <w:jc w:val="center"/>
        <w:rPr>
          <w:rFonts w:hint="eastAsia" w:eastAsia="黑体"/>
          <w:b/>
          <w:color w:val="auto"/>
          <w:sz w:val="48"/>
          <w:szCs w:val="48"/>
          <w:highlight w:val="none"/>
        </w:rPr>
      </w:pPr>
    </w:p>
    <w:p w14:paraId="51ACDE8B">
      <w:pPr>
        <w:jc w:val="center"/>
        <w:rPr>
          <w:rFonts w:hint="eastAsia" w:eastAsia="黑体"/>
          <w:b/>
          <w:color w:val="auto"/>
          <w:sz w:val="48"/>
          <w:szCs w:val="48"/>
          <w:highlight w:val="none"/>
        </w:rPr>
      </w:pPr>
    </w:p>
    <w:p w14:paraId="02508A4B">
      <w:pPr>
        <w:jc w:val="center"/>
        <w:rPr>
          <w:rFonts w:hint="eastAsia" w:eastAsia="黑体"/>
          <w:b/>
          <w:color w:val="auto"/>
          <w:sz w:val="48"/>
          <w:szCs w:val="48"/>
          <w:highlight w:val="none"/>
        </w:rPr>
      </w:pPr>
    </w:p>
    <w:p w14:paraId="5B09CCB2">
      <w:pPr>
        <w:jc w:val="center"/>
        <w:rPr>
          <w:rFonts w:hint="eastAsia" w:eastAsia="黑体"/>
          <w:b/>
          <w:color w:val="auto"/>
          <w:sz w:val="48"/>
          <w:szCs w:val="48"/>
          <w:highlight w:val="none"/>
        </w:rPr>
      </w:pPr>
    </w:p>
    <w:p w14:paraId="5BEA0E1F">
      <w:pPr>
        <w:jc w:val="center"/>
        <w:rPr>
          <w:rFonts w:hint="eastAsia" w:eastAsia="黑体"/>
          <w:b/>
          <w:color w:val="auto"/>
          <w:sz w:val="48"/>
          <w:szCs w:val="48"/>
          <w:highlight w:val="none"/>
        </w:rPr>
      </w:pPr>
    </w:p>
    <w:p w14:paraId="65E06988">
      <w:pPr>
        <w:jc w:val="center"/>
        <w:rPr>
          <w:rFonts w:eastAsia="黑体"/>
          <w:b/>
          <w:color w:val="auto"/>
          <w:sz w:val="48"/>
          <w:szCs w:val="48"/>
          <w:highlight w:val="none"/>
        </w:rPr>
      </w:pPr>
      <w:r>
        <w:rPr>
          <w:rFonts w:hint="eastAsia" w:ascii="黑体" w:hAnsi="黑体" w:eastAsia="黑体"/>
          <w:b/>
          <w:color w:val="auto"/>
          <w:sz w:val="52"/>
          <w:szCs w:val="52"/>
          <w:highlight w:val="none"/>
          <w:lang w:eastAsia="zh-CN"/>
        </w:rPr>
        <w:t>超高压大理局2026年一种免解扣输电杆塔接地电阻测量装置研制零星采购项目询价材</w:t>
      </w:r>
      <w:r>
        <w:rPr>
          <w:rFonts w:hint="eastAsia" w:eastAsia="黑体"/>
          <w:b/>
          <w:color w:val="auto"/>
          <w:sz w:val="48"/>
          <w:szCs w:val="48"/>
          <w:highlight w:val="none"/>
        </w:rPr>
        <w:t>料</w:t>
      </w:r>
    </w:p>
    <w:p w14:paraId="460F7127">
      <w:pPr>
        <w:rPr>
          <w:rFonts w:ascii="黑体" w:hAnsi="黑体" w:eastAsia="黑体"/>
          <w:b/>
          <w:color w:val="auto"/>
          <w:sz w:val="32"/>
          <w:szCs w:val="32"/>
          <w:highlight w:val="none"/>
        </w:rPr>
      </w:pPr>
    </w:p>
    <w:p w14:paraId="64E807DC">
      <w:pPr>
        <w:jc w:val="center"/>
        <w:rPr>
          <w:rFonts w:ascii="黑体" w:hAnsi="黑体" w:eastAsia="黑体"/>
          <w:b/>
          <w:color w:val="auto"/>
          <w:sz w:val="32"/>
          <w:szCs w:val="32"/>
          <w:highlight w:val="none"/>
        </w:rPr>
      </w:pPr>
    </w:p>
    <w:p w14:paraId="0C3788AF">
      <w:pPr>
        <w:spacing w:line="280" w:lineRule="exact"/>
        <w:jc w:val="center"/>
        <w:rPr>
          <w:rFonts w:ascii="黑体" w:hAnsi="黑体" w:eastAsia="黑体"/>
          <w:b/>
          <w:color w:val="auto"/>
          <w:sz w:val="30"/>
          <w:szCs w:val="30"/>
          <w:highlight w:val="none"/>
        </w:rPr>
      </w:pPr>
    </w:p>
    <w:p w14:paraId="720F8535">
      <w:pPr>
        <w:spacing w:line="280" w:lineRule="exact"/>
        <w:jc w:val="center"/>
        <w:rPr>
          <w:rFonts w:ascii="黑体" w:hAnsi="黑体" w:eastAsia="黑体"/>
          <w:b/>
          <w:color w:val="auto"/>
          <w:sz w:val="30"/>
          <w:szCs w:val="30"/>
          <w:highlight w:val="none"/>
        </w:rPr>
      </w:pPr>
    </w:p>
    <w:p w14:paraId="5626BE55">
      <w:pPr>
        <w:spacing w:line="280" w:lineRule="exact"/>
        <w:rPr>
          <w:rFonts w:ascii="黑体" w:hAnsi="黑体" w:eastAsia="黑体"/>
          <w:b/>
          <w:color w:val="auto"/>
          <w:sz w:val="30"/>
          <w:szCs w:val="30"/>
          <w:highlight w:val="none"/>
        </w:rPr>
      </w:pPr>
    </w:p>
    <w:p w14:paraId="4290C93A">
      <w:pPr>
        <w:spacing w:line="280" w:lineRule="exact"/>
        <w:rPr>
          <w:rFonts w:ascii="黑体" w:hAnsi="黑体" w:eastAsia="黑体"/>
          <w:b/>
          <w:color w:val="auto"/>
          <w:sz w:val="30"/>
          <w:szCs w:val="30"/>
          <w:highlight w:val="none"/>
        </w:rPr>
      </w:pPr>
    </w:p>
    <w:p w14:paraId="72A9CCD8">
      <w:pPr>
        <w:spacing w:line="280" w:lineRule="exact"/>
        <w:rPr>
          <w:rFonts w:ascii="黑体" w:hAnsi="黑体" w:eastAsia="黑体"/>
          <w:b/>
          <w:color w:val="auto"/>
          <w:sz w:val="30"/>
          <w:szCs w:val="30"/>
          <w:highlight w:val="none"/>
        </w:rPr>
      </w:pPr>
    </w:p>
    <w:p w14:paraId="50B5B6EC">
      <w:pPr>
        <w:spacing w:line="280" w:lineRule="exact"/>
        <w:rPr>
          <w:rFonts w:ascii="黑体" w:hAnsi="黑体" w:eastAsia="黑体"/>
          <w:b/>
          <w:color w:val="auto"/>
          <w:sz w:val="30"/>
          <w:szCs w:val="30"/>
          <w:highlight w:val="none"/>
        </w:rPr>
      </w:pPr>
    </w:p>
    <w:p w14:paraId="36CE89C4">
      <w:pPr>
        <w:spacing w:line="280" w:lineRule="exact"/>
        <w:rPr>
          <w:rFonts w:ascii="黑体" w:hAnsi="黑体" w:eastAsia="黑体"/>
          <w:b/>
          <w:color w:val="auto"/>
          <w:sz w:val="30"/>
          <w:szCs w:val="30"/>
          <w:highlight w:val="none"/>
        </w:rPr>
      </w:pPr>
    </w:p>
    <w:p w14:paraId="4376E3EF">
      <w:pPr>
        <w:spacing w:line="280" w:lineRule="exact"/>
        <w:rPr>
          <w:rFonts w:ascii="黑体" w:hAnsi="黑体" w:eastAsia="黑体"/>
          <w:b/>
          <w:color w:val="auto"/>
          <w:sz w:val="30"/>
          <w:szCs w:val="30"/>
          <w:highlight w:val="none"/>
        </w:rPr>
      </w:pPr>
    </w:p>
    <w:p w14:paraId="22C1D373">
      <w:pPr>
        <w:spacing w:line="280" w:lineRule="exact"/>
        <w:rPr>
          <w:rFonts w:ascii="黑体" w:hAnsi="黑体" w:eastAsia="黑体"/>
          <w:b/>
          <w:color w:val="auto"/>
          <w:sz w:val="30"/>
          <w:szCs w:val="30"/>
          <w:highlight w:val="none"/>
        </w:rPr>
      </w:pPr>
    </w:p>
    <w:p w14:paraId="19F993AF">
      <w:pPr>
        <w:spacing w:line="280" w:lineRule="exact"/>
        <w:rPr>
          <w:rFonts w:ascii="黑体" w:hAnsi="黑体" w:eastAsia="黑体"/>
          <w:b/>
          <w:color w:val="auto"/>
          <w:sz w:val="30"/>
          <w:szCs w:val="30"/>
          <w:highlight w:val="none"/>
        </w:rPr>
      </w:pPr>
    </w:p>
    <w:p w14:paraId="079B3F70">
      <w:pPr>
        <w:spacing w:line="280" w:lineRule="exact"/>
        <w:rPr>
          <w:rFonts w:ascii="黑体" w:hAnsi="黑体" w:eastAsia="黑体"/>
          <w:b/>
          <w:color w:val="auto"/>
          <w:sz w:val="30"/>
          <w:szCs w:val="30"/>
          <w:highlight w:val="none"/>
        </w:rPr>
      </w:pPr>
    </w:p>
    <w:p w14:paraId="5646BAA9">
      <w:pPr>
        <w:spacing w:line="280" w:lineRule="exact"/>
        <w:rPr>
          <w:rFonts w:ascii="黑体" w:hAnsi="黑体" w:eastAsia="黑体"/>
          <w:b/>
          <w:color w:val="auto"/>
          <w:sz w:val="30"/>
          <w:szCs w:val="30"/>
          <w:highlight w:val="none"/>
        </w:rPr>
      </w:pPr>
    </w:p>
    <w:p w14:paraId="20B504C6">
      <w:pPr>
        <w:spacing w:line="280" w:lineRule="exact"/>
        <w:rPr>
          <w:rFonts w:ascii="黑体" w:hAnsi="黑体" w:eastAsia="黑体"/>
          <w:b/>
          <w:color w:val="auto"/>
          <w:sz w:val="30"/>
          <w:szCs w:val="30"/>
          <w:highlight w:val="none"/>
        </w:rPr>
      </w:pPr>
    </w:p>
    <w:p w14:paraId="1292459C">
      <w:pPr>
        <w:spacing w:line="280" w:lineRule="exact"/>
        <w:rPr>
          <w:rFonts w:ascii="黑体" w:hAnsi="黑体" w:eastAsia="黑体"/>
          <w:b/>
          <w:color w:val="auto"/>
          <w:sz w:val="30"/>
          <w:szCs w:val="30"/>
          <w:highlight w:val="none"/>
        </w:rPr>
      </w:pPr>
    </w:p>
    <w:p w14:paraId="29FC3566">
      <w:pPr>
        <w:spacing w:before="480" w:beforeLines="200" w:line="320" w:lineRule="exact"/>
        <w:jc w:val="both"/>
        <w:rPr>
          <w:rFonts w:hint="eastAsia" w:ascii="宋体" w:hAnsi="宋体" w:cs="宋体"/>
          <w:color w:val="auto"/>
          <w:sz w:val="30"/>
          <w:szCs w:val="30"/>
          <w:highlight w:val="none"/>
        </w:rPr>
      </w:pPr>
    </w:p>
    <w:p w14:paraId="5C517558">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p w14:paraId="1C068562">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07</w:t>
      </w:r>
      <w:r>
        <w:rPr>
          <w:rFonts w:hint="eastAsia" w:ascii="宋体" w:hAnsi="宋体" w:cs="宋体"/>
          <w:color w:val="auto"/>
          <w:sz w:val="30"/>
          <w:szCs w:val="30"/>
          <w:highlight w:val="none"/>
        </w:rPr>
        <w:t>月</w:t>
      </w:r>
    </w:p>
    <w:p w14:paraId="01A89AD9">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14:paraId="614A4FBB">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69269815"/>
      <w:bookmarkStart w:id="11" w:name="_Toc371344042"/>
      <w:bookmarkStart w:id="12" w:name="_Toc372699294"/>
      <w:bookmarkStart w:id="13" w:name="_Toc371153697"/>
      <w:bookmarkStart w:id="14" w:name="_Toc399839020"/>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14:paraId="662AB8D5">
      <w:pPr>
        <w:numPr>
          <w:ilvl w:val="0"/>
          <w:numId w:val="0"/>
        </w:numPr>
        <w:adjustRightInd w:val="0"/>
        <w:snapToGrid w:val="0"/>
        <w:spacing w:line="360" w:lineRule="auto"/>
        <w:ind w:firstLine="480" w:firstLineChars="200"/>
        <w:rPr>
          <w:rFonts w:hint="eastAsia" w:ascii="宋体" w:hAnsi="宋体"/>
          <w:color w:val="auto"/>
          <w:sz w:val="24"/>
          <w:highlight w:val="none"/>
          <w:lang w:eastAsia="zh-CN"/>
        </w:rPr>
      </w:pPr>
      <w:r>
        <w:rPr>
          <w:rFonts w:hint="eastAsia" w:ascii="宋体" w:hAnsi="宋体"/>
          <w:color w:val="auto"/>
          <w:sz w:val="24"/>
          <w:highlight w:val="none"/>
          <w:lang w:eastAsia="zh-CN"/>
        </w:rPr>
        <w:t>超高压大理局2026年一种免解扣输电杆塔接地电阻测量装置研制零星采购项目</w:t>
      </w:r>
    </w:p>
    <w:p w14:paraId="173880ED">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14:paraId="4F86350F">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本项目拟解决输电线路杆塔接地电阻测量中“效率低、安全风险高、精度不足”的关键问题。现有测量方法需解开引下线与接地极连接，操作繁琐、依赖多人协同，测量周期长，难以满足大规模、常态化巡检需求；同时解扣、复扣过程存在触电风险，并易造成连接部位磨损，影响接地系统长期稳定性与可靠性。在复杂电磁环境及多变地形条件下，传统方法抗干扰能力弱，测量数据一致性与准确性不足，难以支撑接地系统状态的精细化评估。</w:t>
      </w:r>
    </w:p>
    <w:p w14:paraId="3F12E002">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总体来看，当前问题集中体现在三方面：一是作业流程复杂、效率偏低，制约运维规模化开展；二是安全隐患突出，频繁操作易损伤接地系统；三是测量精度与环境适应性不足，数据可靠性难以保障。此外，现有设备功能单一、集成度不高，难以适配复杂户外作业场景。</w:t>
      </w:r>
    </w:p>
    <w:p w14:paraId="4609A4BD">
      <w:pPr>
        <w:widowControl w:val="0"/>
        <w:numPr>
          <w:ilvl w:val="0"/>
          <w:numId w:val="0"/>
        </w:numPr>
        <w:adjustRightInd w:val="0"/>
        <w:snapToGrid w:val="0"/>
        <w:spacing w:line="360" w:lineRule="auto"/>
        <w:ind w:left="0" w:leftChars="0" w:firstLine="480" w:firstLineChars="200"/>
        <w:jc w:val="both"/>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s="Times New Roman"/>
          <w:color w:val="auto"/>
          <w:kern w:val="2"/>
          <w:sz w:val="24"/>
          <w:szCs w:val="24"/>
          <w:highlight w:val="none"/>
          <w:lang w:val="en-US" w:eastAsia="zh-CN" w:bidi="ar-SA"/>
        </w:rPr>
        <w:t>因此，亟需研发免解扣一体化测量装置，实现无需解开引下线即可完成高精度测量，提升作业效率与安全水平，增强复杂环境适应能力，保障数据准确可靠，为输电线路运维向数字化、智能化转型提供关键技术支撑。</w:t>
      </w:r>
    </w:p>
    <w:p w14:paraId="36156B42">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14:paraId="1EB346C7">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协助开展一种免解扣输电杆塔接地电阻测量装置，具体包括：</w:t>
      </w:r>
    </w:p>
    <w:p w14:paraId="05A3EDAE">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3.1配合完成免解扣测量核心技术研究。配合开展基于四钳法原理的工程化应用研究，创新实现输电杆塔接地电阻非接触、免解扣快速测量，突破传统需拆解引下线的作业方式，适配多引下线复杂工况；优化电流钳与主机无线通信技术，提升复杂户外环境下的数据传输稳定性与作业安全性。</w:t>
      </w:r>
    </w:p>
    <w:p w14:paraId="2F28897D">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3.2配合完成多模式测量功能研发与优化。协助集成四钳法、2/3/4线法等多种测量模式，实现接地电阻、土壤电阻率及电压、电流等多参数一体化检测；通过测量电路与信号处理算法优化，提高抗电磁干扰能力与测量一致性，满足不同输电杆塔接地检测场景需求。</w:t>
      </w:r>
    </w:p>
    <w:p w14:paraId="1E7D04B0">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3.3配合完成硬件系统设计与集成。协助完成主机、电流钳及配套组件的一体化集成设计，配置可视化操作界面、高防护结构及蓝牙通信模块，支持移动端交互、数据自动存储与报表输出，构建接地检测数字化闭环管理能力，适配电力运维智能化发展需求。</w:t>
      </w:r>
    </w:p>
    <w:p w14:paraId="4389C0FF">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3.4配合完成性能测试与应用验证。开展装置性能测试，系统验证测量精度、通信稳定性及环境适应性，在典型输电线路场景开展现场应用与验证，持续优化装置功能及工程适用性。</w:t>
      </w:r>
    </w:p>
    <w:p w14:paraId="0E1D3B15">
      <w:pPr>
        <w:adjustRightInd w:val="0"/>
        <w:snapToGrid w:val="0"/>
        <w:spacing w:line="360" w:lineRule="auto"/>
        <w:ind w:left="239" w:leftChars="114" w:firstLine="480" w:firstLineChars="200"/>
        <w:rPr>
          <w:rFonts w:hint="default" w:ascii="宋体" w:hAnsi="宋体"/>
          <w:b w:val="0"/>
          <w:bCs w:val="0"/>
          <w:color w:val="auto"/>
          <w:sz w:val="24"/>
          <w:highlight w:val="none"/>
          <w:lang w:val="en-US" w:eastAsia="zh-CN"/>
        </w:rPr>
      </w:pPr>
      <w:r>
        <w:rPr>
          <w:rFonts w:hint="default" w:ascii="宋体" w:hAnsi="宋体"/>
          <w:b w:val="0"/>
          <w:bCs w:val="0"/>
          <w:color w:val="auto"/>
          <w:sz w:val="24"/>
          <w:highlight w:val="none"/>
          <w:lang w:val="en-US" w:eastAsia="zh-CN"/>
        </w:rPr>
        <w:t>3.5交付成果：研制一套一种免解扣杆塔接地电阻测量装置并提供第三方检测报告，配合开展技术创新总结提炼及保护、论文编写相关工作。</w:t>
      </w:r>
    </w:p>
    <w:p w14:paraId="60A78B1D">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14:paraId="27973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14:paraId="5A059A42">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14:paraId="7D0A520D">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54" w:type="dxa"/>
            <w:tcBorders>
              <w:tl2br w:val="nil"/>
              <w:tr2bl w:val="nil"/>
            </w:tcBorders>
            <w:shd w:val="clear" w:color="auto" w:fill="auto"/>
            <w:vAlign w:val="center"/>
          </w:tcPr>
          <w:p w14:paraId="265187CB">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14:paraId="74387B4A">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14:paraId="65FB384A">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14:paraId="063A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14:paraId="6D573BC0">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14:paraId="28CED920">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协助开展一种免解扣输电杆塔接地电阻测量装置研制</w:t>
            </w:r>
          </w:p>
        </w:tc>
        <w:tc>
          <w:tcPr>
            <w:tcW w:w="954" w:type="dxa"/>
            <w:tcBorders>
              <w:tl2br w:val="nil"/>
              <w:tr2bl w:val="nil"/>
            </w:tcBorders>
            <w:shd w:val="clear" w:color="auto" w:fill="auto"/>
            <w:vAlign w:val="center"/>
          </w:tcPr>
          <w:p w14:paraId="0782C5A9">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Theme="minorEastAsia" w:hAnsiTheme="minorEastAsia" w:eastAsiaTheme="minorEastAsia" w:cstheme="minorEastAsia"/>
                <w:color w:val="auto"/>
                <w:sz w:val="24"/>
                <w:highlight w:val="none"/>
                <w:lang w:val="en-US" w:eastAsia="zh-CN"/>
              </w:rPr>
              <w:t>项</w:t>
            </w:r>
          </w:p>
        </w:tc>
        <w:tc>
          <w:tcPr>
            <w:tcW w:w="973" w:type="dxa"/>
            <w:tcBorders>
              <w:tl2br w:val="nil"/>
              <w:tr2bl w:val="nil"/>
            </w:tcBorders>
            <w:shd w:val="clear" w:color="auto" w:fill="auto"/>
            <w:vAlign w:val="center"/>
          </w:tcPr>
          <w:p w14:paraId="5717088B">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14:paraId="50A6512F">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10"/>
      <w:bookmarkEnd w:id="11"/>
      <w:bookmarkEnd w:id="12"/>
      <w:bookmarkEnd w:id="13"/>
      <w:bookmarkEnd w:id="14"/>
    </w:tbl>
    <w:p w14:paraId="6A6C7A10">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14:paraId="4C17FF2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14:paraId="2FACD61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质保期及售后服务响应要求：质保期不少于1年，质保期内有任何质量问题将免费进行修理、更换；售后服务的响应时间在4小时内；提供技术支持。</w:t>
      </w:r>
    </w:p>
    <w:p w14:paraId="0255B98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交付时间及地点要求：交货时间为202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w:t>
      </w:r>
      <w:r>
        <w:rPr>
          <w:rFonts w:hint="eastAsia" w:ascii="宋体" w:hAnsi="宋体" w:cs="宋体"/>
          <w:color w:val="auto"/>
          <w:sz w:val="24"/>
          <w:highlight w:val="none"/>
          <w:lang w:val="en-US" w:eastAsia="zh-CN"/>
        </w:rPr>
        <w:t>交付</w:t>
      </w:r>
      <w:r>
        <w:rPr>
          <w:rFonts w:hint="eastAsia" w:ascii="宋体" w:hAnsi="宋体" w:cs="宋体"/>
          <w:color w:val="auto"/>
          <w:sz w:val="24"/>
          <w:highlight w:val="none"/>
        </w:rPr>
        <w:t>地点为中国南方电网有限责任公司超高压输电公司大理局。</w:t>
      </w:r>
    </w:p>
    <w:p w14:paraId="59CEB362">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14:paraId="27F234B8">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6.1 </w:t>
      </w: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14:paraId="15BEF19A">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合同条款说明</w:t>
      </w:r>
    </w:p>
    <w:p w14:paraId="3C171EA0">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7.1采购人和成交供应商应当在零星采购成交通知书发出之日起30日内，根据询价材料和成交供应商的报价文件订立书面合同。</w:t>
      </w:r>
    </w:p>
    <w:p w14:paraId="17F13F7F">
      <w:pPr>
        <w:spacing w:line="360" w:lineRule="auto"/>
        <w:ind w:firstLine="480" w:firstLineChars="200"/>
        <w:rPr>
          <w:rFonts w:hint="eastAsia" w:ascii="宋体" w:hAnsi="宋体" w:cs="宋体"/>
          <w:b/>
          <w:bCs/>
          <w:color w:val="auto"/>
          <w:sz w:val="24"/>
          <w:highlight w:val="none"/>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b w:val="0"/>
          <w:bCs w:val="0"/>
          <w:color w:val="auto"/>
          <w:sz w:val="24"/>
          <w:highlight w:val="none"/>
          <w:lang w:val="en-US" w:eastAsia="zh-CN"/>
        </w:rPr>
        <w:t>7.2合同签署完成后，</w:t>
      </w:r>
      <w:r>
        <w:rPr>
          <w:rFonts w:hint="eastAsia" w:ascii="宋体" w:hAnsi="宋体" w:cs="宋体"/>
          <w:color w:val="auto"/>
          <w:sz w:val="24"/>
          <w:highlight w:val="none"/>
          <w:lang w:val="en-US" w:eastAsia="zh-CN"/>
        </w:rPr>
        <w:t>成交供应商应当在3个月内完成技术合同认定登记。</w:t>
      </w:r>
    </w:p>
    <w:p w14:paraId="6867A5BF">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eastAsia="zh-CN"/>
        </w:rPr>
        <w:t>附件</w:t>
      </w:r>
      <w:r>
        <w:rPr>
          <w:rFonts w:hint="eastAsia"/>
          <w:b/>
          <w:bCs/>
          <w:color w:val="auto"/>
          <w:spacing w:val="10"/>
          <w:kern w:val="0"/>
          <w:sz w:val="28"/>
          <w:szCs w:val="28"/>
          <w:highlight w:val="none"/>
          <w:lang w:val="en-US" w:eastAsia="zh-CN"/>
        </w:rPr>
        <w:t>1：</w:t>
      </w:r>
      <w:r>
        <w:rPr>
          <w:rFonts w:hint="eastAsia"/>
          <w:b/>
          <w:bCs/>
          <w:color w:val="auto"/>
          <w:spacing w:val="10"/>
          <w:kern w:val="0"/>
          <w:sz w:val="28"/>
          <w:szCs w:val="28"/>
          <w:highlight w:val="none"/>
        </w:rPr>
        <w:t>《报价文件格式》:</w:t>
      </w:r>
    </w:p>
    <w:p w14:paraId="221B4219">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14:paraId="6C25BCA2">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14:paraId="440AA3F5">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14:paraId="26669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14:paraId="4227A2AB">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14:paraId="1724CA4E">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14:paraId="7553D075">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14:paraId="61DD2E51">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14:paraId="7FC41967">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14:paraId="245585AF">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14:paraId="68F42698">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14:paraId="3E7E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14:paraId="28EAD225">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14:paraId="7528B009">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eastAsia="宋体" w:cs="宋体"/>
                <w:b w:val="0"/>
                <w:bCs w:val="0"/>
                <w:color w:val="auto"/>
                <w:kern w:val="0"/>
                <w:sz w:val="20"/>
                <w:szCs w:val="21"/>
                <w:lang w:val="en-US" w:eastAsia="zh-CN"/>
              </w:rPr>
              <w:t>超高压大理局2026年一种免解扣输电杆塔接地电阻测量装置研制零星采购项目</w:t>
            </w:r>
          </w:p>
        </w:tc>
        <w:tc>
          <w:tcPr>
            <w:tcW w:w="531" w:type="dxa"/>
            <w:vAlign w:val="center"/>
          </w:tcPr>
          <w:p w14:paraId="25DB4804">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4D6B66E8">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14:paraId="1261EA2D">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14:paraId="42E69B1D">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14:paraId="47EFF9B6">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14:paraId="7BC50AA7">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14:paraId="4402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14:paraId="6A61081C">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14:paraId="135F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14:paraId="7A83E15F">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14:paraId="13719BC7">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14:paraId="5DABE919">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14:paraId="54BDC442">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14:paraId="19687F81">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14:paraId="0EC90044">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14:paraId="62074DF4">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14:paraId="52FC6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4555222D">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14:paraId="449DCBB2">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配合完成免解扣测量核心技术研究</w:t>
            </w:r>
          </w:p>
        </w:tc>
        <w:tc>
          <w:tcPr>
            <w:tcW w:w="531" w:type="dxa"/>
            <w:vAlign w:val="center"/>
          </w:tcPr>
          <w:p w14:paraId="09C904D6">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78C65324">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56AF1E4D">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68CE00EB">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1B7E0A00">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751F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119C61D5">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2</w:t>
            </w:r>
          </w:p>
        </w:tc>
        <w:tc>
          <w:tcPr>
            <w:tcW w:w="2409" w:type="dxa"/>
            <w:vAlign w:val="center"/>
          </w:tcPr>
          <w:p w14:paraId="2719DB2C">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配合完成多模式测量功能研发与优化</w:t>
            </w:r>
          </w:p>
        </w:tc>
        <w:tc>
          <w:tcPr>
            <w:tcW w:w="531" w:type="dxa"/>
            <w:vAlign w:val="center"/>
          </w:tcPr>
          <w:p w14:paraId="41C7421D">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62816F9B">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117C2340">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702D989E">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63408A35">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1886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2E84A9BB">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14:paraId="39DB2118">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配合完成硬件系统设计与集成</w:t>
            </w:r>
          </w:p>
        </w:tc>
        <w:tc>
          <w:tcPr>
            <w:tcW w:w="531" w:type="dxa"/>
            <w:vAlign w:val="center"/>
          </w:tcPr>
          <w:p w14:paraId="29ED3451">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324A32B8">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6AF3C1B4">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0A839E75">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56E67194">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60F6E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6F721C4C">
            <w:pPr>
              <w:adjustRightInd w:val="0"/>
              <w:snapToGrid w:val="0"/>
              <w:spacing w:line="360" w:lineRule="auto"/>
              <w:jc w:val="center"/>
              <w:rPr>
                <w:rFonts w:hint="default"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4</w:t>
            </w:r>
          </w:p>
        </w:tc>
        <w:tc>
          <w:tcPr>
            <w:tcW w:w="2409" w:type="dxa"/>
            <w:vAlign w:val="center"/>
          </w:tcPr>
          <w:p w14:paraId="5DAACEB1">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配合完成性能测试与应用验证</w:t>
            </w:r>
          </w:p>
        </w:tc>
        <w:tc>
          <w:tcPr>
            <w:tcW w:w="531" w:type="dxa"/>
            <w:vAlign w:val="center"/>
          </w:tcPr>
          <w:p w14:paraId="6C9D9A53">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08603C07">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04BA05BE">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4FCDB86C">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2554AEA7">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5A728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14:paraId="49CD2AC3">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14:paraId="6A3AD246">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14:paraId="792155AF">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14:paraId="66E7F1CA">
      <w:pPr>
        <w:spacing w:line="360" w:lineRule="auto"/>
        <w:rPr>
          <w:rFonts w:ascii="宋体" w:hAnsi="宋体" w:cs="宋体"/>
          <w:color w:val="auto"/>
          <w:szCs w:val="21"/>
        </w:rPr>
      </w:pPr>
      <w:r>
        <w:rPr>
          <w:rFonts w:hint="eastAsia" w:ascii="宋体" w:hAnsi="宋体" w:cs="宋体"/>
          <w:color w:val="auto"/>
          <w:szCs w:val="21"/>
        </w:rPr>
        <w:t>注：</w:t>
      </w:r>
    </w:p>
    <w:p w14:paraId="3566A551">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14:paraId="0709EEF4">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14:paraId="613B80ED">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14:paraId="422E4F47">
      <w:pPr>
        <w:spacing w:line="360" w:lineRule="auto"/>
        <w:jc w:val="right"/>
        <w:rPr>
          <w:rFonts w:hint="eastAsia" w:ascii="宋体" w:hAnsi="宋体" w:cs="宋体"/>
          <w:color w:val="auto"/>
          <w:spacing w:val="-1"/>
          <w:szCs w:val="21"/>
        </w:rPr>
      </w:pPr>
    </w:p>
    <w:p w14:paraId="230184EF">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14:paraId="6FA2F28B">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14:paraId="6D9F1F65">
      <w:pPr>
        <w:spacing w:line="360" w:lineRule="auto"/>
        <w:jc w:val="center"/>
        <w:rPr>
          <w:color w:val="auto"/>
          <w:spacing w:val="-1"/>
          <w:sz w:val="24"/>
          <w:highlight w:val="none"/>
        </w:rPr>
        <w:sectPr>
          <w:footerReference r:id="rId7" w:type="default"/>
          <w:pgSz w:w="11906" w:h="16838"/>
          <w:pgMar w:top="1440" w:right="1800" w:bottom="1440" w:left="1800" w:header="851" w:footer="992" w:gutter="0"/>
          <w:pgNumType w:fmt="decimal"/>
          <w:cols w:space="720" w:num="1"/>
          <w:docGrid w:type="lines" w:linePitch="312" w:charSpace="0"/>
        </w:sectPr>
      </w:pPr>
    </w:p>
    <w:p w14:paraId="655534B9">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6532B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73AD1919">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4C58A35E">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14:paraId="2F95F0EE">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3F8B8F08">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14:paraId="6E816E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jc w:val="center"/>
        </w:trPr>
        <w:tc>
          <w:tcPr>
            <w:tcW w:w="8554" w:type="dxa"/>
            <w:gridSpan w:val="3"/>
            <w:tcBorders>
              <w:tl2br w:val="nil"/>
              <w:tr2bl w:val="nil"/>
            </w:tcBorders>
            <w:shd w:val="clear" w:color="auto" w:fill="auto"/>
            <w:vAlign w:val="center"/>
          </w:tcPr>
          <w:p w14:paraId="1F79D868">
            <w:pPr>
              <w:jc w:val="center"/>
              <w:rPr>
                <w:rFonts w:asciiTheme="minorEastAsia" w:hAnsiTheme="minorEastAsia" w:eastAsiaTheme="minorEastAsia" w:cstheme="minorEastAsia"/>
                <w:color w:val="auto"/>
                <w:sz w:val="24"/>
                <w:highlight w:val="yellow"/>
              </w:rPr>
            </w:pPr>
            <w:r>
              <w:rPr>
                <w:rFonts w:hint="eastAsia" w:asciiTheme="minorEastAsia" w:hAnsiTheme="minorEastAsia" w:eastAsiaTheme="minorEastAsia" w:cstheme="minorEastAsia"/>
                <w:color w:val="auto"/>
                <w:sz w:val="24"/>
                <w:szCs w:val="24"/>
                <w:highlight w:val="none"/>
              </w:rPr>
              <w:t>超高压大理局2026年一种免解扣输电杆塔接地电阻测量装置研制零星采购项目</w:t>
            </w:r>
          </w:p>
        </w:tc>
      </w:tr>
      <w:tr w14:paraId="1C1432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81" w:hRule="exact"/>
          <w:jc w:val="center"/>
        </w:trPr>
        <w:tc>
          <w:tcPr>
            <w:tcW w:w="588" w:type="dxa"/>
            <w:tcBorders>
              <w:tl2br w:val="nil"/>
              <w:tr2bl w:val="nil"/>
            </w:tcBorders>
            <w:shd w:val="clear" w:color="auto" w:fill="auto"/>
            <w:vAlign w:val="center"/>
          </w:tcPr>
          <w:p w14:paraId="5A7F3116">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1</w:t>
            </w:r>
          </w:p>
        </w:tc>
        <w:tc>
          <w:tcPr>
            <w:tcW w:w="5920" w:type="dxa"/>
            <w:tcBorders>
              <w:tl2br w:val="nil"/>
              <w:tr2bl w:val="nil"/>
            </w:tcBorders>
            <w:shd w:val="clear" w:color="auto" w:fill="auto"/>
            <w:vAlign w:val="center"/>
          </w:tcPr>
          <w:p w14:paraId="0BBEF7A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完成免解扣测量核心技术研究。配合开展基于四钳法原理的工程化应用研究，创新实现输电杆塔接地电阻非接触、免解扣快速测量，突破传统需拆解引下线的作业方式，适配多引下线复杂工况；优化电流钳与主机无线通信技术，提升复杂户外环境下的数据传输稳定性与作业安全性。</w:t>
            </w:r>
          </w:p>
        </w:tc>
        <w:tc>
          <w:tcPr>
            <w:tcW w:w="2046" w:type="dxa"/>
            <w:tcBorders>
              <w:tl2br w:val="nil"/>
              <w:tr2bl w:val="nil"/>
            </w:tcBorders>
            <w:shd w:val="clear" w:color="auto" w:fill="auto"/>
            <w:vAlign w:val="center"/>
          </w:tcPr>
          <w:p w14:paraId="3A955E04">
            <w:pPr>
              <w:rPr>
                <w:rFonts w:hint="eastAsia" w:ascii="宋体" w:hAnsi="宋体" w:eastAsia="宋体" w:cs="宋体"/>
                <w:color w:val="auto"/>
                <w:sz w:val="21"/>
                <w:szCs w:val="21"/>
                <w:highlight w:val="none"/>
                <w:lang w:val="en-US" w:eastAsia="zh-CN"/>
              </w:rPr>
            </w:pPr>
          </w:p>
        </w:tc>
      </w:tr>
      <w:tr w14:paraId="142D4B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669" w:hRule="exact"/>
          <w:jc w:val="center"/>
        </w:trPr>
        <w:tc>
          <w:tcPr>
            <w:tcW w:w="588" w:type="dxa"/>
            <w:tcBorders>
              <w:tl2br w:val="nil"/>
              <w:tr2bl w:val="nil"/>
            </w:tcBorders>
            <w:shd w:val="clear" w:color="auto" w:fill="auto"/>
            <w:vAlign w:val="center"/>
          </w:tcPr>
          <w:p w14:paraId="2ED84836">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2</w:t>
            </w:r>
          </w:p>
        </w:tc>
        <w:tc>
          <w:tcPr>
            <w:tcW w:w="5920" w:type="dxa"/>
            <w:tcBorders>
              <w:tl2br w:val="nil"/>
              <w:tr2bl w:val="nil"/>
            </w:tcBorders>
            <w:shd w:val="clear" w:color="auto" w:fill="auto"/>
            <w:vAlign w:val="center"/>
          </w:tcPr>
          <w:p w14:paraId="265EC22A">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完成多模式测量功能研发与优化。协助集成四钳法、2/3/4线法等多种测量模式，实现接地电阻、土壤电阻率及电压、电流等多参数一体化检测；通过测量电路与信号处理算法优化，提高抗电磁干扰能力与测量一致性，满足不同输电杆塔接地检测场景需求。</w:t>
            </w:r>
          </w:p>
        </w:tc>
        <w:tc>
          <w:tcPr>
            <w:tcW w:w="2046" w:type="dxa"/>
            <w:tcBorders>
              <w:tl2br w:val="nil"/>
              <w:tr2bl w:val="nil"/>
            </w:tcBorders>
            <w:shd w:val="clear" w:color="auto" w:fill="auto"/>
            <w:vAlign w:val="center"/>
          </w:tcPr>
          <w:p w14:paraId="46D67A90">
            <w:pPr>
              <w:rPr>
                <w:rFonts w:hint="eastAsia" w:ascii="宋体" w:hAnsi="宋体" w:eastAsia="宋体" w:cs="宋体"/>
                <w:color w:val="auto"/>
                <w:sz w:val="21"/>
                <w:szCs w:val="21"/>
                <w:highlight w:val="none"/>
                <w:lang w:val="en-US" w:eastAsia="zh-CN"/>
              </w:rPr>
            </w:pPr>
          </w:p>
        </w:tc>
      </w:tr>
      <w:tr w14:paraId="3BE9C5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1" w:hRule="exact"/>
          <w:jc w:val="center"/>
        </w:trPr>
        <w:tc>
          <w:tcPr>
            <w:tcW w:w="588" w:type="dxa"/>
            <w:tcBorders>
              <w:tl2br w:val="nil"/>
              <w:tr2bl w:val="nil"/>
            </w:tcBorders>
            <w:shd w:val="clear" w:color="auto" w:fill="auto"/>
            <w:vAlign w:val="center"/>
          </w:tcPr>
          <w:p w14:paraId="3D94AD18">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3</w:t>
            </w:r>
          </w:p>
        </w:tc>
        <w:tc>
          <w:tcPr>
            <w:tcW w:w="5920" w:type="dxa"/>
            <w:tcBorders>
              <w:tl2br w:val="nil"/>
              <w:tr2bl w:val="nil"/>
            </w:tcBorders>
            <w:shd w:val="clear" w:color="auto" w:fill="auto"/>
            <w:vAlign w:val="center"/>
          </w:tcPr>
          <w:p w14:paraId="7424C1C4">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完成硬件系统设计与集成。协助完成主机、电流钳及配套组件的一体化集成设计，配置可视化操作界面、高防护结构及蓝牙通信模块，支持移动端交互、数据自动存储与报表输出，构建接地检测数字化闭环管理能力，适配电力运维智能化发展需求。</w:t>
            </w:r>
          </w:p>
        </w:tc>
        <w:tc>
          <w:tcPr>
            <w:tcW w:w="2046" w:type="dxa"/>
            <w:tcBorders>
              <w:tl2br w:val="nil"/>
              <w:tr2bl w:val="nil"/>
            </w:tcBorders>
            <w:shd w:val="clear" w:color="auto" w:fill="auto"/>
            <w:vAlign w:val="center"/>
          </w:tcPr>
          <w:p w14:paraId="69C2179A">
            <w:pPr>
              <w:jc w:val="center"/>
              <w:rPr>
                <w:rFonts w:hint="eastAsia" w:ascii="宋体" w:hAnsi="宋体" w:eastAsia="宋体" w:cs="宋体"/>
                <w:color w:val="auto"/>
                <w:sz w:val="21"/>
                <w:szCs w:val="21"/>
                <w:highlight w:val="none"/>
              </w:rPr>
            </w:pPr>
          </w:p>
        </w:tc>
      </w:tr>
      <w:tr w14:paraId="4E3818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45" w:hRule="exact"/>
          <w:jc w:val="center"/>
        </w:trPr>
        <w:tc>
          <w:tcPr>
            <w:tcW w:w="588" w:type="dxa"/>
            <w:tcBorders>
              <w:tl2br w:val="nil"/>
              <w:tr2bl w:val="nil"/>
            </w:tcBorders>
            <w:shd w:val="clear" w:color="auto" w:fill="auto"/>
            <w:vAlign w:val="center"/>
          </w:tcPr>
          <w:p w14:paraId="49CE0C99">
            <w:pPr>
              <w:widowControl/>
              <w:jc w:val="center"/>
              <w:textAlignment w:val="center"/>
              <w:rPr>
                <w:rFonts w:hint="eastAsia" w:ascii="宋体" w:hAnsi="宋体" w:eastAsia="宋体" w:cs="宋体"/>
                <w:b w:val="0"/>
                <w:bCs/>
                <w:color w:val="auto"/>
                <w:kern w:val="0"/>
                <w:sz w:val="21"/>
                <w:szCs w:val="21"/>
                <w:highlight w:val="none"/>
                <w:lang w:bidi="ar"/>
              </w:rPr>
            </w:pPr>
            <w:r>
              <w:rPr>
                <w:rFonts w:hint="eastAsia" w:ascii="宋体" w:hAnsi="宋体" w:eastAsia="宋体" w:cs="宋体"/>
                <w:b w:val="0"/>
                <w:bCs/>
                <w:color w:val="auto"/>
                <w:kern w:val="0"/>
                <w:sz w:val="21"/>
                <w:szCs w:val="21"/>
                <w:highlight w:val="none"/>
                <w:lang w:bidi="ar"/>
              </w:rPr>
              <w:t>4</w:t>
            </w:r>
          </w:p>
        </w:tc>
        <w:tc>
          <w:tcPr>
            <w:tcW w:w="5920" w:type="dxa"/>
            <w:tcBorders>
              <w:tl2br w:val="nil"/>
              <w:tr2bl w:val="nil"/>
            </w:tcBorders>
            <w:shd w:val="clear" w:color="auto" w:fill="auto"/>
            <w:vAlign w:val="center"/>
          </w:tcPr>
          <w:p w14:paraId="713FC3C3">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配合完成性能测试与应用验证。开展装置性能测试，系统验证测量精度、通信稳定性及环境适应性，在典型输电线路场景开展现场应用与验证，持续优化装置功能及工程适用性。</w:t>
            </w:r>
          </w:p>
        </w:tc>
        <w:tc>
          <w:tcPr>
            <w:tcW w:w="2046" w:type="dxa"/>
            <w:tcBorders>
              <w:tl2br w:val="nil"/>
              <w:tr2bl w:val="nil"/>
            </w:tcBorders>
            <w:shd w:val="clear" w:color="auto" w:fill="auto"/>
            <w:vAlign w:val="center"/>
          </w:tcPr>
          <w:p w14:paraId="60C6F48E">
            <w:pPr>
              <w:jc w:val="center"/>
              <w:rPr>
                <w:rFonts w:hint="eastAsia" w:ascii="宋体" w:hAnsi="宋体" w:eastAsia="宋体" w:cs="宋体"/>
                <w:color w:val="auto"/>
                <w:sz w:val="21"/>
                <w:szCs w:val="21"/>
                <w:highlight w:val="none"/>
              </w:rPr>
            </w:pPr>
          </w:p>
        </w:tc>
      </w:tr>
      <w:tr w14:paraId="0EE6C4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43" w:hRule="exact"/>
          <w:jc w:val="center"/>
        </w:trPr>
        <w:tc>
          <w:tcPr>
            <w:tcW w:w="588" w:type="dxa"/>
            <w:tcBorders>
              <w:tl2br w:val="nil"/>
              <w:tr2bl w:val="nil"/>
            </w:tcBorders>
            <w:shd w:val="clear" w:color="auto" w:fill="auto"/>
            <w:vAlign w:val="center"/>
          </w:tcPr>
          <w:p w14:paraId="33C91AAF">
            <w:pPr>
              <w:widowControl/>
              <w:jc w:val="center"/>
              <w:textAlignment w:val="center"/>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5</w:t>
            </w:r>
          </w:p>
        </w:tc>
        <w:tc>
          <w:tcPr>
            <w:tcW w:w="5920" w:type="dxa"/>
            <w:tcBorders>
              <w:tl2br w:val="nil"/>
              <w:tr2bl w:val="nil"/>
            </w:tcBorders>
            <w:shd w:val="clear" w:color="auto" w:fill="auto"/>
            <w:vAlign w:val="center"/>
          </w:tcPr>
          <w:p w14:paraId="6BBAF3A0">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交付成果：研制一套一种免解扣杆塔接地电阻测量装置并提供第三方检测报告，配合开展技术创新总结提炼及保护、论文编写相关工作。</w:t>
            </w:r>
            <w:bookmarkStart w:id="15" w:name="_GoBack"/>
            <w:bookmarkEnd w:id="15"/>
          </w:p>
        </w:tc>
        <w:tc>
          <w:tcPr>
            <w:tcW w:w="2046" w:type="dxa"/>
            <w:tcBorders>
              <w:tl2br w:val="nil"/>
              <w:tr2bl w:val="nil"/>
            </w:tcBorders>
            <w:shd w:val="clear" w:color="auto" w:fill="auto"/>
            <w:vAlign w:val="center"/>
          </w:tcPr>
          <w:p w14:paraId="45E6803E">
            <w:pPr>
              <w:jc w:val="center"/>
              <w:rPr>
                <w:rFonts w:hint="eastAsia" w:ascii="宋体" w:hAnsi="宋体" w:eastAsia="宋体" w:cs="宋体"/>
                <w:color w:val="auto"/>
                <w:sz w:val="21"/>
                <w:szCs w:val="21"/>
                <w:highlight w:val="none"/>
              </w:rPr>
            </w:pPr>
          </w:p>
        </w:tc>
      </w:tr>
    </w:tbl>
    <w:p w14:paraId="1CCD509C">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14:paraId="7A9245CA">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14:paraId="7FDFCEB3">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14:paraId="05E9399E">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14:paraId="5D370747">
      <w:pPr>
        <w:tabs>
          <w:tab w:val="left" w:pos="722"/>
          <w:tab w:val="left" w:pos="1323"/>
        </w:tabs>
        <w:spacing w:line="360" w:lineRule="auto"/>
        <w:ind w:firstLine="6000" w:firstLineChars="2500"/>
        <w:jc w:val="both"/>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14:paraId="6D3E37AD">
      <w:pPr>
        <w:rPr>
          <w:b/>
          <w:bCs/>
          <w:color w:val="auto"/>
          <w:spacing w:val="14"/>
          <w:kern w:val="0"/>
          <w:sz w:val="28"/>
          <w:szCs w:val="28"/>
          <w:highlight w:val="none"/>
        </w:rPr>
      </w:pPr>
      <w:r>
        <w:rPr>
          <w:b/>
          <w:bCs/>
          <w:color w:val="auto"/>
          <w:spacing w:val="14"/>
          <w:kern w:val="0"/>
          <w:sz w:val="28"/>
          <w:szCs w:val="28"/>
          <w:highlight w:val="none"/>
        </w:rPr>
        <w:br w:type="page"/>
      </w:r>
    </w:p>
    <w:p w14:paraId="154B335D">
      <w:pPr>
        <w:spacing w:line="360" w:lineRule="auto"/>
        <w:outlineLvl w:val="5"/>
        <w:rPr>
          <w:b/>
          <w:bCs/>
          <w:color w:val="auto"/>
          <w:spacing w:val="14"/>
          <w:kern w:val="0"/>
          <w:sz w:val="28"/>
          <w:szCs w:val="28"/>
          <w:highlight w:val="none"/>
        </w:rPr>
      </w:pPr>
    </w:p>
    <w:p w14:paraId="1F74FEEA">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26195C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2A0AD626">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09B04669">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14:paraId="192444F5">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7138AF54">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14:paraId="5D1249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14:paraId="18A11A9F">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14:paraId="0E862764">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14:paraId="568C27B8">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4900C66E">
            <w:pPr>
              <w:jc w:val="center"/>
              <w:rPr>
                <w:rFonts w:asciiTheme="minorEastAsia" w:hAnsiTheme="minorEastAsia" w:eastAsiaTheme="minorEastAsia" w:cstheme="minorEastAsia"/>
                <w:color w:val="auto"/>
                <w:sz w:val="24"/>
                <w:highlight w:val="none"/>
              </w:rPr>
            </w:pPr>
          </w:p>
        </w:tc>
      </w:tr>
      <w:tr w14:paraId="20F363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14:paraId="684C9A3B">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14:paraId="58C18549">
            <w:pPr>
              <w:spacing w:line="360" w:lineRule="auto"/>
              <w:rPr>
                <w:rFonts w:ascii="宋体" w:hAnsi="宋体"/>
                <w:color w:val="auto"/>
                <w:sz w:val="24"/>
                <w:highlight w:val="none"/>
              </w:rPr>
            </w:pP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14:paraId="039AAA88">
            <w:pPr>
              <w:jc w:val="center"/>
              <w:rPr>
                <w:rFonts w:asciiTheme="minorEastAsia" w:hAnsiTheme="minorEastAsia" w:eastAsiaTheme="minorEastAsia" w:cstheme="minorEastAsia"/>
                <w:color w:val="auto"/>
                <w:sz w:val="24"/>
                <w:highlight w:val="none"/>
              </w:rPr>
            </w:pPr>
          </w:p>
        </w:tc>
      </w:tr>
      <w:tr w14:paraId="0F041A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14:paraId="2AC9C899">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14:paraId="40AAA068">
            <w:pPr>
              <w:spacing w:line="360" w:lineRule="auto"/>
              <w:rPr>
                <w:rFonts w:ascii="宋体" w:hAnsi="宋体" w:cs="宋体"/>
                <w:color w:val="auto"/>
                <w:sz w:val="24"/>
                <w:highlight w:val="none"/>
              </w:rPr>
            </w:pPr>
            <w:r>
              <w:rPr>
                <w:rFonts w:hint="eastAsia" w:ascii="宋体" w:hAnsi="宋体" w:cs="宋体"/>
                <w:b/>
                <w:bCs/>
                <w:color w:val="auto"/>
                <w:sz w:val="24"/>
                <w:highlight w:val="none"/>
              </w:rPr>
              <w:t>交付时间及地点要求：</w:t>
            </w:r>
            <w:r>
              <w:rPr>
                <w:rFonts w:hint="eastAsia" w:ascii="宋体" w:hAnsi="宋体" w:cs="宋体"/>
                <w:color w:val="auto"/>
                <w:sz w:val="24"/>
                <w:highlight w:val="none"/>
              </w:rPr>
              <w:t>交货时间为202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日前，交货地点为中国南方电网有限责任公司超高压输电公司大理局。</w:t>
            </w:r>
          </w:p>
          <w:p w14:paraId="2DA95CBA">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05078085">
            <w:pPr>
              <w:jc w:val="center"/>
              <w:rPr>
                <w:rFonts w:asciiTheme="minorEastAsia" w:hAnsiTheme="minorEastAsia" w:eastAsiaTheme="minorEastAsia" w:cstheme="minorEastAsia"/>
                <w:color w:val="auto"/>
                <w:sz w:val="24"/>
                <w:highlight w:val="none"/>
              </w:rPr>
            </w:pPr>
          </w:p>
        </w:tc>
      </w:tr>
    </w:tbl>
    <w:p w14:paraId="65C9EC5C">
      <w:pPr>
        <w:spacing w:line="360" w:lineRule="auto"/>
        <w:jc w:val="left"/>
        <w:outlineLvl w:val="5"/>
        <w:rPr>
          <w:color w:val="auto"/>
          <w:kern w:val="0"/>
          <w:sz w:val="24"/>
          <w:highlight w:val="none"/>
        </w:rPr>
      </w:pPr>
    </w:p>
    <w:p w14:paraId="5A37537A">
      <w:pPr>
        <w:tabs>
          <w:tab w:val="left" w:pos="7180"/>
          <w:tab w:val="left" w:pos="7601"/>
        </w:tabs>
        <w:spacing w:line="360" w:lineRule="auto"/>
        <w:jc w:val="right"/>
        <w:rPr>
          <w:color w:val="auto"/>
          <w:spacing w:val="-1"/>
          <w:kern w:val="0"/>
          <w:sz w:val="24"/>
          <w:highlight w:val="none"/>
          <w:lang w:val="zh-CN"/>
        </w:rPr>
      </w:pPr>
    </w:p>
    <w:p w14:paraId="11417EFB">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14:paraId="64557197">
      <w:pPr>
        <w:tabs>
          <w:tab w:val="left" w:pos="7180"/>
          <w:tab w:val="left" w:pos="7601"/>
        </w:tabs>
        <w:spacing w:line="360" w:lineRule="auto"/>
        <w:jc w:val="left"/>
        <w:rPr>
          <w:color w:val="auto"/>
          <w:spacing w:val="-1"/>
          <w:kern w:val="0"/>
          <w:sz w:val="24"/>
          <w:highlight w:val="none"/>
          <w:lang w:val="zh-CN"/>
        </w:rPr>
      </w:pPr>
    </w:p>
    <w:p w14:paraId="62D6DD6C">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14:paraId="64D20303">
      <w:pPr>
        <w:tabs>
          <w:tab w:val="left" w:pos="525"/>
          <w:tab w:val="left" w:pos="1051"/>
        </w:tabs>
        <w:wordWrap w:val="0"/>
        <w:spacing w:line="360" w:lineRule="auto"/>
        <w:jc w:val="right"/>
        <w:rPr>
          <w:color w:val="auto"/>
          <w:kern w:val="0"/>
          <w:sz w:val="24"/>
          <w:highlight w:val="none"/>
          <w:lang w:val="zh-CN"/>
        </w:rPr>
      </w:pPr>
    </w:p>
    <w:p w14:paraId="1DAC429E">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14:paraId="3AF2B8A8">
      <w:pPr>
        <w:ind w:firstLine="2150" w:firstLineChars="700"/>
        <w:rPr>
          <w:rFonts w:hint="eastAsia"/>
          <w:b/>
          <w:bCs/>
          <w:color w:val="auto"/>
          <w:spacing w:val="13"/>
          <w:kern w:val="0"/>
          <w:sz w:val="28"/>
          <w:szCs w:val="28"/>
          <w:highlight w:val="none"/>
        </w:rPr>
      </w:pPr>
    </w:p>
    <w:p w14:paraId="162BFDE0">
      <w:pPr>
        <w:ind w:firstLine="2150" w:firstLineChars="700"/>
        <w:rPr>
          <w:rFonts w:hint="eastAsia"/>
          <w:b/>
          <w:bCs/>
          <w:color w:val="auto"/>
          <w:spacing w:val="13"/>
          <w:kern w:val="0"/>
          <w:sz w:val="28"/>
          <w:szCs w:val="28"/>
          <w:highlight w:val="none"/>
        </w:rPr>
      </w:pPr>
    </w:p>
    <w:p w14:paraId="0C0DDDC6">
      <w:pPr>
        <w:ind w:firstLine="2150" w:firstLineChars="700"/>
        <w:rPr>
          <w:rFonts w:hint="eastAsia"/>
          <w:b/>
          <w:bCs/>
          <w:color w:val="auto"/>
          <w:spacing w:val="13"/>
          <w:kern w:val="0"/>
          <w:sz w:val="28"/>
          <w:szCs w:val="28"/>
          <w:highlight w:val="none"/>
        </w:rPr>
      </w:pPr>
    </w:p>
    <w:p w14:paraId="171AA8E6">
      <w:pPr>
        <w:ind w:firstLine="2150" w:firstLineChars="700"/>
        <w:rPr>
          <w:rFonts w:hint="eastAsia"/>
          <w:b/>
          <w:bCs/>
          <w:color w:val="auto"/>
          <w:spacing w:val="13"/>
          <w:kern w:val="0"/>
          <w:sz w:val="28"/>
          <w:szCs w:val="28"/>
          <w:highlight w:val="none"/>
        </w:rPr>
      </w:pPr>
    </w:p>
    <w:p w14:paraId="024874EA">
      <w:pPr>
        <w:ind w:firstLine="2150" w:firstLineChars="700"/>
        <w:rPr>
          <w:rFonts w:hint="eastAsia"/>
          <w:b/>
          <w:bCs/>
          <w:color w:val="auto"/>
          <w:spacing w:val="13"/>
          <w:kern w:val="0"/>
          <w:sz w:val="28"/>
          <w:szCs w:val="28"/>
          <w:highlight w:val="none"/>
        </w:rPr>
      </w:pPr>
    </w:p>
    <w:p w14:paraId="01AC6713">
      <w:pPr>
        <w:ind w:firstLine="2150" w:firstLineChars="700"/>
        <w:rPr>
          <w:rFonts w:hint="eastAsia"/>
          <w:b/>
          <w:bCs/>
          <w:color w:val="auto"/>
          <w:spacing w:val="13"/>
          <w:kern w:val="0"/>
          <w:sz w:val="28"/>
          <w:szCs w:val="28"/>
          <w:highlight w:val="none"/>
        </w:rPr>
      </w:pPr>
    </w:p>
    <w:p w14:paraId="52DDAE14">
      <w:pPr>
        <w:ind w:firstLine="2150" w:firstLineChars="700"/>
        <w:rPr>
          <w:rFonts w:hint="eastAsia"/>
          <w:b/>
          <w:bCs/>
          <w:color w:val="auto"/>
          <w:spacing w:val="13"/>
          <w:kern w:val="0"/>
          <w:sz w:val="28"/>
          <w:szCs w:val="28"/>
          <w:highlight w:val="none"/>
        </w:rPr>
      </w:pPr>
    </w:p>
    <w:p w14:paraId="3C5EE2AB">
      <w:pPr>
        <w:ind w:firstLine="2150" w:firstLineChars="700"/>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14:paraId="24605FB7">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F9FF0">
    <w:pPr>
      <w:pStyle w:val="1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4BCBC">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0384DC">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20384DC">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7B849">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FD7B849">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D1FE7">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762F8">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E762F8">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1544DE">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F1544DE">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6A266328">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14:paraId="6A266328">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D62BC">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EB4F7">
                          <w:pPr>
                            <w:pStyle w:val="1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0EB4F7">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F26A9">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5D51D">
    <w:pPr>
      <w:pStyle w:val="15"/>
      <w:pBdr>
        <w:bottom w:val="none" w:color="auto" w:sz="0" w:space="0"/>
      </w:pBdr>
    </w:pPr>
  </w:p>
  <w:p w14:paraId="6E80D60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4E6E8D"/>
    <w:rsid w:val="004F1100"/>
    <w:rsid w:val="005A0156"/>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171CC"/>
    <w:rsid w:val="00C61456"/>
    <w:rsid w:val="00DB2F76"/>
    <w:rsid w:val="00DE3D98"/>
    <w:rsid w:val="00EC56DD"/>
    <w:rsid w:val="00F04019"/>
    <w:rsid w:val="00FE4E68"/>
    <w:rsid w:val="019C23B2"/>
    <w:rsid w:val="01A40F8A"/>
    <w:rsid w:val="026A3D04"/>
    <w:rsid w:val="02E84E1B"/>
    <w:rsid w:val="02EB5557"/>
    <w:rsid w:val="02F8486D"/>
    <w:rsid w:val="03032BFE"/>
    <w:rsid w:val="03947769"/>
    <w:rsid w:val="039A1E76"/>
    <w:rsid w:val="03D34E4B"/>
    <w:rsid w:val="041B14CC"/>
    <w:rsid w:val="043851F9"/>
    <w:rsid w:val="04392C7B"/>
    <w:rsid w:val="04501704"/>
    <w:rsid w:val="046B4A83"/>
    <w:rsid w:val="04CA6BD2"/>
    <w:rsid w:val="059852A9"/>
    <w:rsid w:val="05AB50DB"/>
    <w:rsid w:val="05B67AF4"/>
    <w:rsid w:val="05CD2719"/>
    <w:rsid w:val="05F41940"/>
    <w:rsid w:val="060F4BD6"/>
    <w:rsid w:val="06910EC7"/>
    <w:rsid w:val="06AB0929"/>
    <w:rsid w:val="06C70D2A"/>
    <w:rsid w:val="070A0B6B"/>
    <w:rsid w:val="07961E4E"/>
    <w:rsid w:val="0891161B"/>
    <w:rsid w:val="08986A27"/>
    <w:rsid w:val="08B379B6"/>
    <w:rsid w:val="08D01A69"/>
    <w:rsid w:val="092E4D8E"/>
    <w:rsid w:val="09352129"/>
    <w:rsid w:val="095B0EE9"/>
    <w:rsid w:val="09884131"/>
    <w:rsid w:val="09942142"/>
    <w:rsid w:val="09B052F6"/>
    <w:rsid w:val="09B91536"/>
    <w:rsid w:val="09F04A5A"/>
    <w:rsid w:val="0A5C68BB"/>
    <w:rsid w:val="0A726C5D"/>
    <w:rsid w:val="0A9C5575"/>
    <w:rsid w:val="0AB60694"/>
    <w:rsid w:val="0ACF1ECA"/>
    <w:rsid w:val="0B3145BB"/>
    <w:rsid w:val="0B4C4D17"/>
    <w:rsid w:val="0B5308D4"/>
    <w:rsid w:val="0B62608C"/>
    <w:rsid w:val="0BF7203B"/>
    <w:rsid w:val="0BF7440E"/>
    <w:rsid w:val="0C183058"/>
    <w:rsid w:val="0C476233"/>
    <w:rsid w:val="0C5C70D2"/>
    <w:rsid w:val="0C8849AD"/>
    <w:rsid w:val="0C95712B"/>
    <w:rsid w:val="0CBD44D5"/>
    <w:rsid w:val="0CC4072B"/>
    <w:rsid w:val="0CF24637"/>
    <w:rsid w:val="0CFD0263"/>
    <w:rsid w:val="0E2B54C7"/>
    <w:rsid w:val="0E8F38EB"/>
    <w:rsid w:val="0ECD3EA6"/>
    <w:rsid w:val="0EFD7A26"/>
    <w:rsid w:val="0F7B2D38"/>
    <w:rsid w:val="10090346"/>
    <w:rsid w:val="100E20E9"/>
    <w:rsid w:val="108F47AF"/>
    <w:rsid w:val="109C7D56"/>
    <w:rsid w:val="10CD441E"/>
    <w:rsid w:val="10D053A3"/>
    <w:rsid w:val="11325498"/>
    <w:rsid w:val="114917E9"/>
    <w:rsid w:val="11727245"/>
    <w:rsid w:val="11BA645E"/>
    <w:rsid w:val="11C13F63"/>
    <w:rsid w:val="11C4398B"/>
    <w:rsid w:val="11DD40A3"/>
    <w:rsid w:val="121037B1"/>
    <w:rsid w:val="124B085A"/>
    <w:rsid w:val="127C43FA"/>
    <w:rsid w:val="12E542C2"/>
    <w:rsid w:val="132867FC"/>
    <w:rsid w:val="1376193B"/>
    <w:rsid w:val="13AF2A62"/>
    <w:rsid w:val="13F6014E"/>
    <w:rsid w:val="140E14EE"/>
    <w:rsid w:val="145D0DF7"/>
    <w:rsid w:val="15031A58"/>
    <w:rsid w:val="15127864"/>
    <w:rsid w:val="152A4CC8"/>
    <w:rsid w:val="15380D5E"/>
    <w:rsid w:val="153E2707"/>
    <w:rsid w:val="15CE0DB9"/>
    <w:rsid w:val="163D0A11"/>
    <w:rsid w:val="16A076A8"/>
    <w:rsid w:val="16E17FD7"/>
    <w:rsid w:val="17087877"/>
    <w:rsid w:val="170F3531"/>
    <w:rsid w:val="17192215"/>
    <w:rsid w:val="175F1A0E"/>
    <w:rsid w:val="17F90724"/>
    <w:rsid w:val="1825592A"/>
    <w:rsid w:val="18377B1D"/>
    <w:rsid w:val="188E7C69"/>
    <w:rsid w:val="1890085C"/>
    <w:rsid w:val="18B9039C"/>
    <w:rsid w:val="18DC7149"/>
    <w:rsid w:val="18E65311"/>
    <w:rsid w:val="19775419"/>
    <w:rsid w:val="1A0C35CC"/>
    <w:rsid w:val="1A710D72"/>
    <w:rsid w:val="1AD66518"/>
    <w:rsid w:val="1B7A6B81"/>
    <w:rsid w:val="1B7B3422"/>
    <w:rsid w:val="1C27355C"/>
    <w:rsid w:val="1C4E11FC"/>
    <w:rsid w:val="1C601D9D"/>
    <w:rsid w:val="1C9B0B55"/>
    <w:rsid w:val="1CB369A2"/>
    <w:rsid w:val="1D1C0950"/>
    <w:rsid w:val="1D4D49A3"/>
    <w:rsid w:val="1D7651D8"/>
    <w:rsid w:val="1E256847"/>
    <w:rsid w:val="1E425E07"/>
    <w:rsid w:val="1EA91661"/>
    <w:rsid w:val="1EAC6AFA"/>
    <w:rsid w:val="1EAD7DE2"/>
    <w:rsid w:val="1EF814B6"/>
    <w:rsid w:val="1F686DF4"/>
    <w:rsid w:val="1FB61E73"/>
    <w:rsid w:val="1FC90C3E"/>
    <w:rsid w:val="1FEA2DF0"/>
    <w:rsid w:val="20201EC2"/>
    <w:rsid w:val="2046687E"/>
    <w:rsid w:val="207A4B27"/>
    <w:rsid w:val="20B7108F"/>
    <w:rsid w:val="20C2474B"/>
    <w:rsid w:val="20DE7F97"/>
    <w:rsid w:val="21086AC5"/>
    <w:rsid w:val="21164180"/>
    <w:rsid w:val="211C55DD"/>
    <w:rsid w:val="21D11228"/>
    <w:rsid w:val="21D65FA3"/>
    <w:rsid w:val="21EA76D2"/>
    <w:rsid w:val="21F046BC"/>
    <w:rsid w:val="22410CA3"/>
    <w:rsid w:val="230D5F83"/>
    <w:rsid w:val="231435E3"/>
    <w:rsid w:val="231D1CA3"/>
    <w:rsid w:val="246E7F53"/>
    <w:rsid w:val="251A5E6D"/>
    <w:rsid w:val="2561471F"/>
    <w:rsid w:val="25E95241"/>
    <w:rsid w:val="26136085"/>
    <w:rsid w:val="2682413A"/>
    <w:rsid w:val="26B143E9"/>
    <w:rsid w:val="26B76B93"/>
    <w:rsid w:val="26CF68D5"/>
    <w:rsid w:val="26D06059"/>
    <w:rsid w:val="26EA2865"/>
    <w:rsid w:val="27D63767"/>
    <w:rsid w:val="291256ED"/>
    <w:rsid w:val="291D3964"/>
    <w:rsid w:val="298B6166"/>
    <w:rsid w:val="29B97180"/>
    <w:rsid w:val="29D439C5"/>
    <w:rsid w:val="29F71DCE"/>
    <w:rsid w:val="2A5D4013"/>
    <w:rsid w:val="2A73216B"/>
    <w:rsid w:val="2B971F94"/>
    <w:rsid w:val="2C4634F8"/>
    <w:rsid w:val="2C482CB1"/>
    <w:rsid w:val="2C8A7F2A"/>
    <w:rsid w:val="2CA351F8"/>
    <w:rsid w:val="2CB35BE4"/>
    <w:rsid w:val="2D4B705C"/>
    <w:rsid w:val="2DDB37E6"/>
    <w:rsid w:val="2E0A0EFD"/>
    <w:rsid w:val="2EA73A95"/>
    <w:rsid w:val="2ED325DC"/>
    <w:rsid w:val="2F1C4D59"/>
    <w:rsid w:val="2F3C75DF"/>
    <w:rsid w:val="2F4D7950"/>
    <w:rsid w:val="2F5C0B8A"/>
    <w:rsid w:val="2F956FA1"/>
    <w:rsid w:val="2FFC0CA6"/>
    <w:rsid w:val="300924A8"/>
    <w:rsid w:val="30152D72"/>
    <w:rsid w:val="30786DD9"/>
    <w:rsid w:val="30B351BB"/>
    <w:rsid w:val="30C42C66"/>
    <w:rsid w:val="30D83BD1"/>
    <w:rsid w:val="30DD6F38"/>
    <w:rsid w:val="3116556A"/>
    <w:rsid w:val="313A6116"/>
    <w:rsid w:val="31403EEE"/>
    <w:rsid w:val="314C4B41"/>
    <w:rsid w:val="3161392D"/>
    <w:rsid w:val="31AB088A"/>
    <w:rsid w:val="31F1799F"/>
    <w:rsid w:val="328336DF"/>
    <w:rsid w:val="3283636F"/>
    <w:rsid w:val="32AC098F"/>
    <w:rsid w:val="32D91ECA"/>
    <w:rsid w:val="32E70612"/>
    <w:rsid w:val="32FC2794"/>
    <w:rsid w:val="33483B2E"/>
    <w:rsid w:val="33591408"/>
    <w:rsid w:val="338E2CB9"/>
    <w:rsid w:val="33AE5DBB"/>
    <w:rsid w:val="342F7A89"/>
    <w:rsid w:val="343F4552"/>
    <w:rsid w:val="34485725"/>
    <w:rsid w:val="344C3454"/>
    <w:rsid w:val="347D12EB"/>
    <w:rsid w:val="34D13C4A"/>
    <w:rsid w:val="34D6203C"/>
    <w:rsid w:val="34FB1B75"/>
    <w:rsid w:val="350967C7"/>
    <w:rsid w:val="351A052F"/>
    <w:rsid w:val="35670EDC"/>
    <w:rsid w:val="357850C8"/>
    <w:rsid w:val="35A54830"/>
    <w:rsid w:val="35E26F61"/>
    <w:rsid w:val="36A93D34"/>
    <w:rsid w:val="36C4459F"/>
    <w:rsid w:val="36CA7098"/>
    <w:rsid w:val="36CE7125"/>
    <w:rsid w:val="36DD06B5"/>
    <w:rsid w:val="380E0584"/>
    <w:rsid w:val="38107BBE"/>
    <w:rsid w:val="38592D41"/>
    <w:rsid w:val="38723B01"/>
    <w:rsid w:val="389771E3"/>
    <w:rsid w:val="38B17DB0"/>
    <w:rsid w:val="39284554"/>
    <w:rsid w:val="393307F8"/>
    <w:rsid w:val="39345BEF"/>
    <w:rsid w:val="39432B7F"/>
    <w:rsid w:val="399E5A8D"/>
    <w:rsid w:val="3A7115CF"/>
    <w:rsid w:val="3A762EA6"/>
    <w:rsid w:val="3A9F79E3"/>
    <w:rsid w:val="3AC26874"/>
    <w:rsid w:val="3AE871ED"/>
    <w:rsid w:val="3B166795"/>
    <w:rsid w:val="3B3A4A72"/>
    <w:rsid w:val="3B426DFA"/>
    <w:rsid w:val="3B6B3809"/>
    <w:rsid w:val="3B875E3D"/>
    <w:rsid w:val="3BB95095"/>
    <w:rsid w:val="3C0C0FD1"/>
    <w:rsid w:val="3C0D22F1"/>
    <w:rsid w:val="3C266C56"/>
    <w:rsid w:val="3C5C2C55"/>
    <w:rsid w:val="3CFD0D4E"/>
    <w:rsid w:val="3D7015BC"/>
    <w:rsid w:val="3D932ECE"/>
    <w:rsid w:val="3DF6298B"/>
    <w:rsid w:val="3E032F55"/>
    <w:rsid w:val="3E314D55"/>
    <w:rsid w:val="3E5A5D0F"/>
    <w:rsid w:val="3ED75761"/>
    <w:rsid w:val="3EE60069"/>
    <w:rsid w:val="3F037F80"/>
    <w:rsid w:val="3F5D7C25"/>
    <w:rsid w:val="3F6E7356"/>
    <w:rsid w:val="3FCF3A3E"/>
    <w:rsid w:val="4032245D"/>
    <w:rsid w:val="40595BA0"/>
    <w:rsid w:val="40CE4481"/>
    <w:rsid w:val="40D02223"/>
    <w:rsid w:val="41044933"/>
    <w:rsid w:val="41B64242"/>
    <w:rsid w:val="41D930E9"/>
    <w:rsid w:val="41F149BD"/>
    <w:rsid w:val="420172F8"/>
    <w:rsid w:val="4214444F"/>
    <w:rsid w:val="42325426"/>
    <w:rsid w:val="42515CDB"/>
    <w:rsid w:val="428178ED"/>
    <w:rsid w:val="437F3C55"/>
    <w:rsid w:val="43854DD3"/>
    <w:rsid w:val="443E1922"/>
    <w:rsid w:val="445544D0"/>
    <w:rsid w:val="44883556"/>
    <w:rsid w:val="450A0452"/>
    <w:rsid w:val="4566672F"/>
    <w:rsid w:val="4597553F"/>
    <w:rsid w:val="45B96669"/>
    <w:rsid w:val="46762E88"/>
    <w:rsid w:val="46B251D5"/>
    <w:rsid w:val="46D75F15"/>
    <w:rsid w:val="46F337F6"/>
    <w:rsid w:val="4701711C"/>
    <w:rsid w:val="47357AE2"/>
    <w:rsid w:val="47873FED"/>
    <w:rsid w:val="478A5985"/>
    <w:rsid w:val="47ED3A0E"/>
    <w:rsid w:val="482360E6"/>
    <w:rsid w:val="485A7764"/>
    <w:rsid w:val="48697707"/>
    <w:rsid w:val="487D34CE"/>
    <w:rsid w:val="48812C6D"/>
    <w:rsid w:val="48FA0CCE"/>
    <w:rsid w:val="49063EED"/>
    <w:rsid w:val="49670CFC"/>
    <w:rsid w:val="497E67FC"/>
    <w:rsid w:val="4A340908"/>
    <w:rsid w:val="4A654689"/>
    <w:rsid w:val="4A9D32F7"/>
    <w:rsid w:val="4AFB712A"/>
    <w:rsid w:val="4B03697D"/>
    <w:rsid w:val="4B1F6D56"/>
    <w:rsid w:val="4B3F2937"/>
    <w:rsid w:val="4B545024"/>
    <w:rsid w:val="4B722F98"/>
    <w:rsid w:val="4BDA732C"/>
    <w:rsid w:val="4C2C4D07"/>
    <w:rsid w:val="4C747C00"/>
    <w:rsid w:val="4CAE23D4"/>
    <w:rsid w:val="4CDE6D29"/>
    <w:rsid w:val="4CF16EBB"/>
    <w:rsid w:val="4CF27A3F"/>
    <w:rsid w:val="4D764FBA"/>
    <w:rsid w:val="4D952847"/>
    <w:rsid w:val="4DFA077B"/>
    <w:rsid w:val="4E111E7F"/>
    <w:rsid w:val="4E1F0A8F"/>
    <w:rsid w:val="4E622728"/>
    <w:rsid w:val="4E9B72CC"/>
    <w:rsid w:val="4EFE4BD1"/>
    <w:rsid w:val="4F2502DD"/>
    <w:rsid w:val="4FC43269"/>
    <w:rsid w:val="4FCF137E"/>
    <w:rsid w:val="4FF36AD1"/>
    <w:rsid w:val="50236B06"/>
    <w:rsid w:val="503B1FAE"/>
    <w:rsid w:val="503B6ED8"/>
    <w:rsid w:val="506E60D9"/>
    <w:rsid w:val="50F4209B"/>
    <w:rsid w:val="5103544F"/>
    <w:rsid w:val="51461658"/>
    <w:rsid w:val="51B306F8"/>
    <w:rsid w:val="51C130AF"/>
    <w:rsid w:val="51DB3484"/>
    <w:rsid w:val="522A39D8"/>
    <w:rsid w:val="53646DCD"/>
    <w:rsid w:val="53932D81"/>
    <w:rsid w:val="5396225C"/>
    <w:rsid w:val="53975234"/>
    <w:rsid w:val="539D4641"/>
    <w:rsid w:val="53AB1337"/>
    <w:rsid w:val="53C131CC"/>
    <w:rsid w:val="53EF0B3B"/>
    <w:rsid w:val="54507861"/>
    <w:rsid w:val="547919F2"/>
    <w:rsid w:val="547B03D3"/>
    <w:rsid w:val="54FC1BBE"/>
    <w:rsid w:val="552B1DC7"/>
    <w:rsid w:val="553F47A0"/>
    <w:rsid w:val="554561C6"/>
    <w:rsid w:val="555108DF"/>
    <w:rsid w:val="55AE0DFF"/>
    <w:rsid w:val="55F857FB"/>
    <w:rsid w:val="560C77A6"/>
    <w:rsid w:val="56120DBD"/>
    <w:rsid w:val="5615612F"/>
    <w:rsid w:val="56367CCB"/>
    <w:rsid w:val="5696489C"/>
    <w:rsid w:val="569D378C"/>
    <w:rsid w:val="56AB6EAC"/>
    <w:rsid w:val="56F56768"/>
    <w:rsid w:val="571C15EB"/>
    <w:rsid w:val="57C81676"/>
    <w:rsid w:val="585D55F4"/>
    <w:rsid w:val="58734628"/>
    <w:rsid w:val="588B3A52"/>
    <w:rsid w:val="58F723E5"/>
    <w:rsid w:val="598F0310"/>
    <w:rsid w:val="59FD2825"/>
    <w:rsid w:val="5A0B5058"/>
    <w:rsid w:val="5AF624AB"/>
    <w:rsid w:val="5B1F26BA"/>
    <w:rsid w:val="5B4162F2"/>
    <w:rsid w:val="5B6B1990"/>
    <w:rsid w:val="5B6E2B3B"/>
    <w:rsid w:val="5C270F1D"/>
    <w:rsid w:val="5C8F3336"/>
    <w:rsid w:val="5C927AE0"/>
    <w:rsid w:val="5CBA122E"/>
    <w:rsid w:val="5CD22158"/>
    <w:rsid w:val="5CDE243B"/>
    <w:rsid w:val="5D4D621E"/>
    <w:rsid w:val="5D587E33"/>
    <w:rsid w:val="5D754213"/>
    <w:rsid w:val="5D837E1D"/>
    <w:rsid w:val="5D98197C"/>
    <w:rsid w:val="5DAF4A90"/>
    <w:rsid w:val="5E102188"/>
    <w:rsid w:val="5E282B86"/>
    <w:rsid w:val="5EA6472F"/>
    <w:rsid w:val="5EC22C27"/>
    <w:rsid w:val="5ED35121"/>
    <w:rsid w:val="5F041F5F"/>
    <w:rsid w:val="5F1337E9"/>
    <w:rsid w:val="5F3F6973"/>
    <w:rsid w:val="5F511A4D"/>
    <w:rsid w:val="5FA75912"/>
    <w:rsid w:val="5FE45DE0"/>
    <w:rsid w:val="5FE5141B"/>
    <w:rsid w:val="60D85E8A"/>
    <w:rsid w:val="60E13F9A"/>
    <w:rsid w:val="612E6E2A"/>
    <w:rsid w:val="61604458"/>
    <w:rsid w:val="628A19B9"/>
    <w:rsid w:val="62EB4356"/>
    <w:rsid w:val="62FE7930"/>
    <w:rsid w:val="6315604E"/>
    <w:rsid w:val="63A802C2"/>
    <w:rsid w:val="63D506D7"/>
    <w:rsid w:val="63EA067C"/>
    <w:rsid w:val="64DB5A06"/>
    <w:rsid w:val="64F54A79"/>
    <w:rsid w:val="65037CE8"/>
    <w:rsid w:val="652D0705"/>
    <w:rsid w:val="65676159"/>
    <w:rsid w:val="65E26DFB"/>
    <w:rsid w:val="65EF3B0C"/>
    <w:rsid w:val="66740FA8"/>
    <w:rsid w:val="66E2035A"/>
    <w:rsid w:val="670B0B64"/>
    <w:rsid w:val="67C65F33"/>
    <w:rsid w:val="67EA5309"/>
    <w:rsid w:val="681151C8"/>
    <w:rsid w:val="68186A2D"/>
    <w:rsid w:val="68752646"/>
    <w:rsid w:val="690B57BB"/>
    <w:rsid w:val="693718D7"/>
    <w:rsid w:val="69801D62"/>
    <w:rsid w:val="69AB7271"/>
    <w:rsid w:val="69B27FF1"/>
    <w:rsid w:val="69CB581E"/>
    <w:rsid w:val="69E563C8"/>
    <w:rsid w:val="6A5B058F"/>
    <w:rsid w:val="6AFB15BD"/>
    <w:rsid w:val="6B0C7C6D"/>
    <w:rsid w:val="6B4A6F94"/>
    <w:rsid w:val="6BA04A3E"/>
    <w:rsid w:val="6BAB24B1"/>
    <w:rsid w:val="6C042199"/>
    <w:rsid w:val="6C2F1675"/>
    <w:rsid w:val="6C4A1BC7"/>
    <w:rsid w:val="6C4A6B37"/>
    <w:rsid w:val="6CE15D0F"/>
    <w:rsid w:val="6CFC63A0"/>
    <w:rsid w:val="6D4D5460"/>
    <w:rsid w:val="6D645085"/>
    <w:rsid w:val="6D9165AA"/>
    <w:rsid w:val="6DAC5479"/>
    <w:rsid w:val="6DC01176"/>
    <w:rsid w:val="6DDB10B7"/>
    <w:rsid w:val="6DE71DDB"/>
    <w:rsid w:val="6E6C7DCD"/>
    <w:rsid w:val="6E6F41E6"/>
    <w:rsid w:val="6E865A0B"/>
    <w:rsid w:val="6ECB5AFA"/>
    <w:rsid w:val="6F2A116E"/>
    <w:rsid w:val="6F2A656C"/>
    <w:rsid w:val="6F637933"/>
    <w:rsid w:val="6F9159A1"/>
    <w:rsid w:val="6FE96964"/>
    <w:rsid w:val="70966945"/>
    <w:rsid w:val="70D46D82"/>
    <w:rsid w:val="71462673"/>
    <w:rsid w:val="724E3782"/>
    <w:rsid w:val="72902DA7"/>
    <w:rsid w:val="72916007"/>
    <w:rsid w:val="72A57890"/>
    <w:rsid w:val="72AD55AD"/>
    <w:rsid w:val="73123FD7"/>
    <w:rsid w:val="731352DC"/>
    <w:rsid w:val="73673268"/>
    <w:rsid w:val="73815910"/>
    <w:rsid w:val="73B54DDE"/>
    <w:rsid w:val="74150381"/>
    <w:rsid w:val="743F2AD2"/>
    <w:rsid w:val="744E6D6A"/>
    <w:rsid w:val="7470173A"/>
    <w:rsid w:val="74CB497C"/>
    <w:rsid w:val="75F82604"/>
    <w:rsid w:val="76277FE4"/>
    <w:rsid w:val="76301283"/>
    <w:rsid w:val="76380C6F"/>
    <w:rsid w:val="764F12F9"/>
    <w:rsid w:val="767874E3"/>
    <w:rsid w:val="768024F8"/>
    <w:rsid w:val="76CC75F6"/>
    <w:rsid w:val="77187B21"/>
    <w:rsid w:val="774B1B00"/>
    <w:rsid w:val="775725A0"/>
    <w:rsid w:val="777A2A82"/>
    <w:rsid w:val="7801028A"/>
    <w:rsid w:val="785E688C"/>
    <w:rsid w:val="78675AD3"/>
    <w:rsid w:val="786F69A2"/>
    <w:rsid w:val="78711EA5"/>
    <w:rsid w:val="78D70170"/>
    <w:rsid w:val="78FE2CC9"/>
    <w:rsid w:val="79123E17"/>
    <w:rsid w:val="792B04A4"/>
    <w:rsid w:val="79387F53"/>
    <w:rsid w:val="794761A6"/>
    <w:rsid w:val="79725A1A"/>
    <w:rsid w:val="79880773"/>
    <w:rsid w:val="79FE2930"/>
    <w:rsid w:val="7A31432B"/>
    <w:rsid w:val="7A4430A5"/>
    <w:rsid w:val="7A607960"/>
    <w:rsid w:val="7A7D2F58"/>
    <w:rsid w:val="7AA30EC0"/>
    <w:rsid w:val="7AE925C7"/>
    <w:rsid w:val="7C2D6B7E"/>
    <w:rsid w:val="7C94167F"/>
    <w:rsid w:val="7CA613CD"/>
    <w:rsid w:val="7D104923"/>
    <w:rsid w:val="7DBB2757"/>
    <w:rsid w:val="7EA448D3"/>
    <w:rsid w:val="7F642A46"/>
    <w:rsid w:val="7F64616D"/>
    <w:rsid w:val="7F736225"/>
    <w:rsid w:val="7F861A6C"/>
    <w:rsid w:val="7FA731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3"/>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3"/>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9"/>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2542</Words>
  <Characters>2602</Characters>
  <Lines>18</Lines>
  <Paragraphs>5</Paragraphs>
  <TotalTime>27</TotalTime>
  <ScaleCrop>false</ScaleCrop>
  <LinksUpToDate>false</LinksUpToDate>
  <CharactersWithSpaces>2721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HETONGBO</cp:lastModifiedBy>
  <cp:lastPrinted>2026-07-08T08:39:00Z</cp:lastPrinted>
  <dcterms:modified xsi:type="dcterms:W3CDTF">2026-07-16T15:03:20Z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FECE4064834E41E9A9BE124D62188751</vt:lpwstr>
  </property>
  <property fmtid="{D5CDD505-2E9C-101B-9397-08002B2CF9AE}" pid="4" name="KSOTemplateDocerSaveRecord">
    <vt:lpwstr>eyJoZGlkIjoiZDgzZTg1OGRiZDJkYjAzODc2MzQ5NTZlYmVhMWYxNWUiLCJ1c2VySWQiOiIyNTA0ODkzMTUifQ==</vt:lpwstr>
  </property>
</Properties>
</file>