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b w:val="0"/>
          <w:bCs w:val="0"/>
          <w:color w:val="auto"/>
          <w:sz w:val="32"/>
          <w:szCs w:val="32"/>
          <w:lang w:val="en-US" w:eastAsia="zh-CN"/>
        </w:rPr>
        <w:sectPr>
          <w:pgSz w:w="11906" w:h="16838"/>
          <w:pgMar w:top="1440" w:right="1587" w:bottom="1440" w:left="1587" w:header="851" w:footer="992" w:gutter="0"/>
          <w:pgNumType w:fmt="decimal" w:start="1"/>
          <w:cols w:space="425" w:num="1"/>
          <w:docGrid w:type="lines" w:linePitch="312" w:charSpace="0"/>
        </w:sectPr>
      </w:pPr>
      <w:bookmarkStart w:id="5" w:name="_GoBack"/>
      <w:bookmarkEnd w:id="5"/>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1312" behindDoc="1" locked="0" layoutInCell="1" allowOverlap="1">
                <wp:simplePos x="0" y="0"/>
                <wp:positionH relativeFrom="column">
                  <wp:posOffset>1167765</wp:posOffset>
                </wp:positionH>
                <wp:positionV relativeFrom="paragraph">
                  <wp:posOffset>7319645</wp:posOffset>
                </wp:positionV>
                <wp:extent cx="3259455" cy="1525270"/>
                <wp:effectExtent l="0" t="0" r="0" b="0"/>
                <wp:wrapTight wrapText="bothSides">
                  <wp:wrapPolygon>
                    <wp:start x="606" y="647"/>
                    <wp:lineTo x="20994" y="647"/>
                    <wp:lineTo x="20994" y="20953"/>
                    <wp:lineTo x="606" y="20953"/>
                    <wp:lineTo x="606" y="647"/>
                  </wp:wrapPolygon>
                </wp:wrapTight>
                <wp:docPr id="14" name="文本框 14"/>
                <wp:cNvGraphicFramePr/>
                <a:graphic xmlns:a="http://schemas.openxmlformats.org/drawingml/2006/main">
                  <a:graphicData uri="http://schemas.microsoft.com/office/word/2010/wordprocessingShape">
                    <wps:wsp>
                      <wps:cNvSpPr txBox="1"/>
                      <wps:spPr>
                        <a:xfrm>
                          <a:off x="0" y="0"/>
                          <a:ext cx="3259455" cy="1525270"/>
                        </a:xfrm>
                        <a:prstGeom prst="rect">
                          <a:avLst/>
                        </a:prstGeom>
                        <a:noFill/>
                        <a:ln>
                          <a:noFill/>
                        </a:ln>
                      </wps:spPr>
                      <wps:txb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二〇二六年七月</w:t>
                            </w:r>
                          </w:p>
                        </w:txbxContent>
                      </wps:txbx>
                      <wps:bodyPr upright="1"/>
                    </wps:wsp>
                  </a:graphicData>
                </a:graphic>
              </wp:anchor>
            </w:drawing>
          </mc:Choice>
          <mc:Fallback>
            <w:pict>
              <v:shape id="_x0000_s1026" o:spid="_x0000_s1026" o:spt="202" type="#_x0000_t202" style="position:absolute;left:0pt;margin-left:91.95pt;margin-top:576.35pt;height:120.1pt;width:256.65pt;mso-wrap-distance-left:9pt;mso-wrap-distance-right:9pt;z-index:-251655168;mso-width-relative:page;mso-height-relative:page;" filled="f" stroked="f" coordsize="21600,21600" wrapcoords="606 647 20994 647 20994 20953 606 20953 606 647" o:gfxdata="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DU+&#10;/p3ZAAAADQEAAA8AAAAAAAAAAQAgAAAAIgAAAGRycy9kb3ducmV2LnhtbFBLAQIUABQAAAAIAIdO&#10;4kA03ATksAEAAFEDAAAOAAAAAAAAAAEAIAAAACgBAABkcnMvZTJvRG9jLnhtbFBLBQYAAAAABgAG&#10;AFkBAABKBQAAAAA=&#10;">
                <v:fill on="f" focussize="0,0"/>
                <v:stroke on="f"/>
                <v:imagedata o:title=""/>
                <o:lock v:ext="edit" aspectratio="f"/>
                <v:textbo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二〇二六年七月</w:t>
                      </w:r>
                    </w:p>
                  </w:txbxContent>
                </v:textbox>
                <w10:wrap type="tight"/>
              </v:shape>
            </w:pict>
          </mc:Fallback>
        </mc:AlternateContent>
      </w: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0288" behindDoc="0" locked="0" layoutInCell="1" allowOverlap="1">
                <wp:simplePos x="0" y="0"/>
                <wp:positionH relativeFrom="margin">
                  <wp:posOffset>86995</wp:posOffset>
                </wp:positionH>
                <wp:positionV relativeFrom="paragraph">
                  <wp:posOffset>2568575</wp:posOffset>
                </wp:positionV>
                <wp:extent cx="5068570" cy="1243330"/>
                <wp:effectExtent l="0" t="0" r="0" b="0"/>
                <wp:wrapNone/>
                <wp:docPr id="6" name="文本框 2"/>
                <wp:cNvGraphicFramePr/>
                <a:graphic xmlns:a="http://schemas.openxmlformats.org/drawingml/2006/main">
                  <a:graphicData uri="http://schemas.microsoft.com/office/word/2010/wordprocessingShape">
                    <wps:wsp>
                      <wps:cNvSpPr txBox="1"/>
                      <wps:spPr>
                        <a:xfrm>
                          <a:off x="0" y="0"/>
                          <a:ext cx="5068570" cy="1243330"/>
                        </a:xfrm>
                        <a:prstGeom prst="rect">
                          <a:avLst/>
                        </a:prstGeom>
                        <a:noFill/>
                        <a:ln w="6350">
                          <a:noFill/>
                        </a:ln>
                      </wps:spPr>
                      <wps:txb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val="0"/>
                                <w:bCs w:val="0"/>
                                <w:sz w:val="52"/>
                                <w:szCs w:val="52"/>
                                <w:lang w:eastAsia="zh-CN"/>
                              </w:rPr>
                            </w:pPr>
                            <w:r>
                              <w:rPr>
                                <w:rFonts w:hint="eastAsia" w:ascii="方正小标宋_GBK" w:hAnsi="微软雅黑" w:eastAsia="方正小标宋_GBK" w:cs="方正小标宋_GBK"/>
                                <w:b w:val="0"/>
                                <w:bCs w:val="0"/>
                                <w:sz w:val="52"/>
                                <w:szCs w:val="52"/>
                                <w:lang w:val="en-US" w:eastAsia="zh-CN"/>
                              </w:rPr>
                              <w:t>超高压大理局2026年换流站SER信号智能分析工具研究开发零星采购项目询价材料</w:t>
                            </w:r>
                          </w:p>
                          <w:p>
                            <w:pPr>
                              <w:spacing w:line="960" w:lineRule="auto"/>
                              <w:ind w:firstLine="0" w:firstLineChars="0"/>
                              <w:jc w:val="right"/>
                              <w:rPr>
                                <w:rFonts w:ascii="微软雅黑" w:hAnsi="微软雅黑" w:eastAsia="微软雅黑"/>
                                <w:b w:val="0"/>
                                <w:bCs w:val="0"/>
                                <w:sz w:val="52"/>
                                <w:szCs w:val="5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6.85pt;margin-top:202.25pt;height:97.9pt;width:399.1pt;mso-position-horizontal-relative:margin;z-index:251660288;mso-width-relative:page;mso-height-relative:page;" filled="f" stroked="f" coordsize="21600,21600" o:gfxdata="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g1Q/2gAAAAoBAAAPAAAAAAAAAAEAIAAAACIAAABk&#10;cnMvZG93bnJldi54bWxQSwECFAAUAAAACACHTuJAjc0yaj0CAABnBAAADgAAAAAAAAABACAAAAAp&#10;AQAAZHJzL2Uyb0RvYy54bWxQSwUGAAAAAAYABgBZAQAA2AU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val="0"/>
                          <w:bCs w:val="0"/>
                          <w:sz w:val="52"/>
                          <w:szCs w:val="52"/>
                          <w:lang w:eastAsia="zh-CN"/>
                        </w:rPr>
                      </w:pPr>
                      <w:r>
                        <w:rPr>
                          <w:rFonts w:hint="eastAsia" w:ascii="方正小标宋_GBK" w:hAnsi="微软雅黑" w:eastAsia="方正小标宋_GBK" w:cs="方正小标宋_GBK"/>
                          <w:b w:val="0"/>
                          <w:bCs w:val="0"/>
                          <w:sz w:val="52"/>
                          <w:szCs w:val="52"/>
                          <w:lang w:val="en-US" w:eastAsia="zh-CN"/>
                        </w:rPr>
                        <w:t>超高压大理局2026年换流站SER信号智能分析工具研究开发零星采购项目询价材料</w:t>
                      </w:r>
                    </w:p>
                    <w:p>
                      <w:pPr>
                        <w:spacing w:line="960" w:lineRule="auto"/>
                        <w:ind w:firstLine="0" w:firstLineChars="0"/>
                        <w:jc w:val="right"/>
                        <w:rPr>
                          <w:rFonts w:ascii="微软雅黑" w:hAnsi="微软雅黑" w:eastAsia="微软雅黑"/>
                          <w:b w:val="0"/>
                          <w:bCs w:val="0"/>
                          <w:sz w:val="52"/>
                          <w:szCs w:val="52"/>
                        </w:rPr>
                      </w:pPr>
                    </w:p>
                  </w:txbxContent>
                </v:textbox>
              </v:shape>
            </w:pict>
          </mc:Fallback>
        </mc:AlternateContent>
      </w: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-1056640</wp:posOffset>
            </wp:positionH>
            <wp:positionV relativeFrom="paragraph">
              <wp:posOffset>-1026160</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1"/>
                    <a:srcRect/>
                    <a:stretch>
                      <a:fillRect/>
                    </a:stretch>
                  </pic:blipFill>
                  <pic:spPr>
                    <a:xfrm>
                      <a:off x="0" y="0"/>
                      <a:ext cx="7765415" cy="10979150"/>
                    </a:xfrm>
                    <a:prstGeom prst="rect">
                      <a:avLst/>
                    </a:prstGeom>
                    <a:noFill/>
                    <a:ln w="9525">
                      <a:noFill/>
                      <a:miter lim="800000"/>
                      <a:headEnd/>
                      <a:tailEnd/>
                    </a:ln>
                  </pic:spPr>
                </pic:pic>
              </a:graphicData>
            </a:graphic>
          </wp:anchor>
        </w:drawing>
      </w:r>
    </w:p>
    <w:p>
      <w:pPr>
        <w:numPr>
          <w:ilvl w:val="0"/>
          <w:numId w:val="0"/>
        </w:numPr>
        <w:adjustRightInd w:val="0"/>
        <w:snapToGrid w:val="0"/>
        <w:spacing w:line="360" w:lineRule="auto"/>
        <w:ind w:firstLine="420" w:firstLineChars="200"/>
        <w:rPr>
          <w:rFonts w:ascii="宋体" w:hAnsi="宋体"/>
          <w:b/>
          <w:bCs/>
          <w:color w:val="auto"/>
          <w:sz w:val="24"/>
          <w:highlight w:val="none"/>
        </w:rPr>
      </w:pPr>
      <w:sdt>
        <w:sdtPr>
          <w:rPr>
            <w:rFonts w:ascii="宋体" w:hAnsi="宋体" w:eastAsia="宋体" w:cstheme="minorBidi"/>
            <w:kern w:val="2"/>
            <w:sz w:val="21"/>
            <w:szCs w:val="24"/>
            <w:lang w:val="en-US" w:eastAsia="zh-CN" w:bidi="ar-SA"/>
          </w:rPr>
          <w:id w:val="147483153"/>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sdt>
      <w:bookmarkStart w:id="0" w:name="_Toc399839020"/>
      <w:bookmarkStart w:id="1" w:name="_Toc369269815"/>
      <w:bookmarkStart w:id="2" w:name="_Toc371153697"/>
      <w:bookmarkStart w:id="3" w:name="_Toc372699294"/>
      <w:bookmarkStart w:id="4" w:name="_Toc371344042"/>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超高压大理局2026年换流站SER信号智能分析工具研究开发零星采购项目。</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本项目围绕</w:t>
      </w:r>
      <w:r>
        <w:rPr>
          <w:rFonts w:hint="eastAsia" w:ascii="宋体" w:hAnsi="宋体"/>
          <w:b w:val="0"/>
          <w:bCs w:val="0"/>
          <w:color w:val="auto"/>
          <w:sz w:val="24"/>
          <w:highlight w:val="none"/>
          <w:lang w:val="en-US" w:eastAsia="zh-CN"/>
        </w:rPr>
        <w:t>换流站SER</w:t>
      </w:r>
      <w:r>
        <w:rPr>
          <w:rFonts w:hint="eastAsia" w:ascii="宋体" w:hAnsi="宋体"/>
          <w:color w:val="auto"/>
          <w:sz w:val="24"/>
          <w:highlight w:val="none"/>
        </w:rPr>
        <w:t>检索功能局限</w:t>
      </w:r>
      <w:r>
        <w:rPr>
          <w:rFonts w:hint="eastAsia" w:ascii="宋体" w:hAnsi="宋体"/>
          <w:color w:val="auto"/>
          <w:sz w:val="24"/>
          <w:highlight w:val="none"/>
          <w:lang w:eastAsia="zh-CN"/>
        </w:rPr>
        <w:t>、</w:t>
      </w:r>
      <w:r>
        <w:rPr>
          <w:rFonts w:hint="eastAsia" w:ascii="宋体" w:hAnsi="宋体"/>
          <w:color w:val="auto"/>
          <w:sz w:val="24"/>
          <w:highlight w:val="none"/>
        </w:rPr>
        <w:t>关键信号</w:t>
      </w:r>
      <w:r>
        <w:rPr>
          <w:rFonts w:hint="eastAsia" w:ascii="宋体" w:hAnsi="宋体"/>
          <w:color w:val="auto"/>
          <w:sz w:val="24"/>
          <w:highlight w:val="none"/>
          <w:lang w:val="en-US" w:eastAsia="zh-CN"/>
        </w:rPr>
        <w:t>受</w:t>
      </w:r>
      <w:r>
        <w:rPr>
          <w:rFonts w:hint="eastAsia" w:ascii="宋体" w:hAnsi="宋体"/>
          <w:color w:val="auto"/>
          <w:sz w:val="24"/>
          <w:highlight w:val="none"/>
        </w:rPr>
        <w:t>干扰</w:t>
      </w:r>
      <w:r>
        <w:rPr>
          <w:rFonts w:hint="eastAsia" w:ascii="宋体" w:hAnsi="宋体"/>
          <w:color w:val="auto"/>
          <w:sz w:val="24"/>
          <w:highlight w:val="none"/>
          <w:lang w:eastAsia="zh-CN"/>
        </w:rPr>
        <w:t>、</w:t>
      </w:r>
      <w:r>
        <w:rPr>
          <w:rFonts w:hint="eastAsia" w:ascii="宋体" w:hAnsi="宋体"/>
          <w:color w:val="auto"/>
          <w:sz w:val="24"/>
          <w:highlight w:val="none"/>
        </w:rPr>
        <w:t>人工判断繁琐</w:t>
      </w:r>
      <w:r>
        <w:rPr>
          <w:rFonts w:hint="eastAsia" w:ascii="宋体" w:hAnsi="宋体"/>
          <w:color w:val="auto"/>
          <w:sz w:val="24"/>
          <w:highlight w:val="none"/>
          <w:lang w:val="en-US" w:eastAsia="zh-CN"/>
        </w:rPr>
        <w:t>等技术</w:t>
      </w:r>
      <w:r>
        <w:rPr>
          <w:rFonts w:hint="eastAsia" w:ascii="宋体" w:hAnsi="宋体"/>
          <w:b w:val="0"/>
          <w:bCs w:val="0"/>
          <w:color w:val="auto"/>
          <w:sz w:val="24"/>
          <w:highlight w:val="none"/>
        </w:rPr>
        <w:t>难题，</w:t>
      </w:r>
      <w:r>
        <w:rPr>
          <w:rFonts w:hint="eastAsia" w:ascii="宋体" w:hAnsi="宋体"/>
          <w:b w:val="0"/>
          <w:bCs w:val="0"/>
          <w:color w:val="auto"/>
          <w:sz w:val="24"/>
          <w:highlight w:val="none"/>
          <w:lang w:val="en-US" w:eastAsia="zh-CN"/>
        </w:rPr>
        <w:t>开发换流站SER信号智能分析工具</w:t>
      </w:r>
      <w:r>
        <w:rPr>
          <w:rFonts w:hint="eastAsia" w:ascii="宋体" w:hAnsi="宋体"/>
          <w:b w:val="0"/>
          <w:bCs w:val="0"/>
          <w:color w:val="auto"/>
          <w:sz w:val="24"/>
          <w:highlight w:val="none"/>
        </w:rPr>
        <w:t>，主要开展以下研究：</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一</w:t>
      </w:r>
      <w:r>
        <w:rPr>
          <w:rFonts w:hint="eastAsia" w:ascii="宋体" w:hAnsi="宋体"/>
          <w:b w:val="0"/>
          <w:bCs w:val="0"/>
          <w:color w:val="auto"/>
          <w:sz w:val="24"/>
          <w:highlight w:val="none"/>
          <w:lang w:val="en-US" w:eastAsia="zh-CN"/>
        </w:rPr>
        <w:t>是</w:t>
      </w:r>
      <w:r>
        <w:rPr>
          <w:rFonts w:hint="eastAsia" w:ascii="宋体" w:hAnsi="宋体"/>
          <w:b w:val="0"/>
          <w:bCs w:val="0"/>
          <w:color w:val="auto"/>
          <w:sz w:val="24"/>
          <w:highlight w:val="none"/>
        </w:rPr>
        <w:t>开发SER智能识别分析算法</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针对“设备跳闸分析”应用场景，该算法配置与该场景高度相关的SER精简、合并与关联规则，通过预设推理机制，对跳闸相关的SER信息进行智能化处理，精准识别保护动作序列、开关变位等关键信号，实现冗余信号的智能屏蔽与合并。</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二是开发</w:t>
      </w:r>
      <w:r>
        <w:rPr>
          <w:rFonts w:hint="eastAsia" w:ascii="宋体" w:hAnsi="宋体"/>
          <w:b w:val="0"/>
          <w:bCs w:val="0"/>
          <w:color w:val="auto"/>
          <w:sz w:val="24"/>
          <w:highlight w:val="none"/>
        </w:rPr>
        <w:t>SER智能分析处理工具</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核心功能专注于“设备跳闸分析”，实现：</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（1）场景化智能检索：工具能自动筛选并高亮展示与该次跳闸相关的关键SER信号，过滤大量无关的刷屏信号。</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（2）智能化处理：在跳闸分析场景下，实现信号智能合并与智能屏蔽。</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（3）统计分析：对跳闸事件相关的开关动作次数、保护动作时间进行自动提取与统计，并可对冗余系统的信号进行初步对比，辅助判断信号完整性。</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三是开发</w:t>
      </w:r>
      <w:r>
        <w:rPr>
          <w:rFonts w:hint="eastAsia" w:ascii="宋体" w:hAnsi="宋体"/>
          <w:b w:val="0"/>
          <w:bCs w:val="0"/>
          <w:color w:val="auto"/>
          <w:sz w:val="24"/>
          <w:highlight w:val="none"/>
        </w:rPr>
        <w:t>SER分析智能体</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内嵌领域知识（如保护逻辑、设备关联），具备自然语言交互与自动推理能力，实现：</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（1）交互式分析：允用户以自然语言提问，智能体自动解析意图并调用算法，呈现分析结果。</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（2）自动诊断建议：基于对SER信号的深度关联分析，智能体可自动生成初步的事件诊断摘要或关键信号缺失提示，为运维人员提供决策支持。</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协助换流站SER信号智能分析工具研究开发，具体包括：</w:t>
      </w:r>
    </w:p>
    <w:p>
      <w:pPr>
        <w:adjustRightInd w:val="0"/>
        <w:snapToGrid w:val="0"/>
        <w:spacing w:line="360" w:lineRule="auto"/>
        <w:ind w:left="239" w:leftChars="114" w:firstLine="240" w:firstLineChars="1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1.协助</w:t>
      </w:r>
      <w:r>
        <w:rPr>
          <w:rFonts w:hint="eastAsia" w:ascii="宋体" w:hAnsi="宋体"/>
          <w:b w:val="0"/>
          <w:bCs w:val="0"/>
          <w:color w:val="auto"/>
          <w:sz w:val="24"/>
          <w:highlight w:val="none"/>
        </w:rPr>
        <w:t>开发SER智能识别分析算法</w:t>
      </w:r>
      <w:r>
        <w:rPr>
          <w:rFonts w:hint="eastAsia" w:ascii="宋体" w:hAnsi="宋体"/>
          <w:color w:val="auto"/>
          <w:sz w:val="24"/>
          <w:highlight w:val="none"/>
          <w:lang w:val="en-US" w:eastAsia="zh-CN"/>
        </w:rPr>
        <w:t>。</w:t>
      </w:r>
      <w:r>
        <w:rPr>
          <w:rFonts w:hint="eastAsia" w:ascii="宋体" w:hAnsi="宋体"/>
          <w:b w:val="0"/>
          <w:bCs w:val="0"/>
          <w:color w:val="auto"/>
          <w:sz w:val="24"/>
          <w:highlight w:val="none"/>
        </w:rPr>
        <w:t>针对“设备跳闸分析”应用场景，精准识别保护动作序列、开关变位等关键信号，实现冗余信号的智能屏蔽与合并</w:t>
      </w:r>
      <w:r>
        <w:rPr>
          <w:rFonts w:hint="eastAsia" w:ascii="宋体" w:hAnsi="宋体"/>
          <w:b w:val="0"/>
          <w:bCs w:val="0"/>
          <w:color w:val="auto"/>
          <w:sz w:val="24"/>
          <w:highlight w:val="none"/>
          <w:lang w:eastAsia="zh-CN"/>
        </w:rPr>
        <w:t>。</w:t>
      </w:r>
      <w:r>
        <w:rPr>
          <w:rFonts w:hint="eastAsia" w:ascii="宋体" w:hAnsi="宋体"/>
          <w:color w:val="auto"/>
          <w:sz w:val="24"/>
          <w:highlight w:val="none"/>
          <w:lang w:val="en-US" w:eastAsia="zh-CN"/>
        </w:rPr>
        <w:t>算法性能要求如下：</w:t>
      </w:r>
    </w:p>
    <w:p>
      <w:pPr>
        <w:adjustRightInd w:val="0"/>
        <w:snapToGrid w:val="0"/>
        <w:spacing w:line="360" w:lineRule="auto"/>
        <w:ind w:left="239" w:leftChars="114" w:firstLine="240" w:firstLineChars="1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（1）针对设备跳闸场景，算法需能有效处理单次事件中不少于500条的原始SER信号输入。</w:t>
      </w:r>
    </w:p>
    <w:p>
      <w:pPr>
        <w:adjustRightInd w:val="0"/>
        <w:snapToGrid w:val="0"/>
        <w:spacing w:line="360" w:lineRule="auto"/>
        <w:ind w:left="239" w:leftChars="114" w:firstLine="240" w:firstLineChars="1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（2）关键保护动作信号的识别准确率不低于100%，冗余信号过滤准确率不低于98%。</w:t>
      </w:r>
    </w:p>
    <w:p>
      <w:pPr>
        <w:adjustRightInd w:val="0"/>
        <w:snapToGrid w:val="0"/>
        <w:spacing w:line="360" w:lineRule="auto"/>
        <w:ind w:left="239" w:leftChars="114" w:firstLine="240" w:firstLineChars="1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（3)支持用户自定义规则库的导入与导出功能。</w:t>
      </w:r>
    </w:p>
    <w:p>
      <w:pPr>
        <w:adjustRightInd w:val="0"/>
        <w:snapToGrid w:val="0"/>
        <w:spacing w:line="360" w:lineRule="auto"/>
        <w:ind w:left="239" w:leftChars="114"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2.协助</w:t>
      </w:r>
      <w:r>
        <w:rPr>
          <w:rFonts w:hint="eastAsia" w:ascii="宋体" w:hAnsi="宋体"/>
          <w:b w:val="0"/>
          <w:bCs w:val="0"/>
          <w:color w:val="auto"/>
          <w:sz w:val="24"/>
          <w:highlight w:val="none"/>
          <w:lang w:val="en-US" w:eastAsia="zh-CN"/>
        </w:rPr>
        <w:t>开发</w:t>
      </w:r>
      <w:r>
        <w:rPr>
          <w:rFonts w:hint="eastAsia" w:ascii="宋体" w:hAnsi="宋体"/>
          <w:b w:val="0"/>
          <w:bCs w:val="0"/>
          <w:color w:val="auto"/>
          <w:sz w:val="24"/>
          <w:highlight w:val="none"/>
        </w:rPr>
        <w:t>SER智能分析处理工具</w:t>
      </w:r>
      <w:r>
        <w:rPr>
          <w:rFonts w:hint="eastAsia" w:ascii="宋体" w:hAnsi="宋体"/>
          <w:color w:val="auto"/>
          <w:sz w:val="24"/>
          <w:highlight w:val="none"/>
          <w:lang w:val="en-US" w:eastAsia="zh-CN"/>
        </w:rPr>
        <w:t>。</w:t>
      </w:r>
      <w:r>
        <w:rPr>
          <w:rFonts w:hint="eastAsia" w:ascii="宋体" w:hAnsi="宋体"/>
          <w:b w:val="0"/>
          <w:bCs w:val="0"/>
          <w:color w:val="auto"/>
          <w:sz w:val="24"/>
          <w:highlight w:val="none"/>
        </w:rPr>
        <w:t>针对“设备跳闸分析”</w:t>
      </w:r>
      <w:r>
        <w:rPr>
          <w:rFonts w:hint="eastAsia" w:ascii="宋体" w:hAnsi="宋体"/>
          <w:b w:val="0"/>
          <w:bCs w:val="0"/>
          <w:color w:val="auto"/>
          <w:sz w:val="24"/>
          <w:highlight w:val="none"/>
          <w:lang w:val="en-US" w:eastAsia="zh-CN"/>
        </w:rPr>
        <w:t>实现SER</w:t>
      </w:r>
      <w:r>
        <w:rPr>
          <w:rFonts w:hint="eastAsia" w:ascii="宋体" w:hAnsi="宋体"/>
          <w:b w:val="0"/>
          <w:bCs w:val="0"/>
          <w:color w:val="auto"/>
          <w:sz w:val="24"/>
          <w:highlight w:val="none"/>
        </w:rPr>
        <w:t>智能检索</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智能化处理</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lang w:val="en-US" w:eastAsia="zh-CN"/>
        </w:rPr>
        <w:t>和</w:t>
      </w:r>
      <w:r>
        <w:rPr>
          <w:rFonts w:hint="eastAsia" w:ascii="宋体" w:hAnsi="宋体"/>
          <w:b w:val="0"/>
          <w:bCs w:val="0"/>
          <w:color w:val="auto"/>
          <w:sz w:val="24"/>
          <w:highlight w:val="none"/>
        </w:rPr>
        <w:t>统计分析</w:t>
      </w:r>
      <w:r>
        <w:rPr>
          <w:rFonts w:hint="eastAsia" w:ascii="宋体" w:hAnsi="宋体"/>
          <w:b w:val="0"/>
          <w:bCs w:val="0"/>
          <w:color w:val="auto"/>
          <w:sz w:val="24"/>
          <w:highlight w:val="none"/>
          <w:lang w:eastAsia="zh-CN"/>
        </w:rPr>
        <w:t>。</w:t>
      </w:r>
      <w:r>
        <w:rPr>
          <w:rFonts w:hint="eastAsia" w:ascii="宋体" w:hAnsi="宋体"/>
          <w:color w:val="auto"/>
          <w:sz w:val="24"/>
          <w:highlight w:val="none"/>
          <w:lang w:val="en-US" w:eastAsia="zh-CN"/>
        </w:rPr>
        <w:t>工具性能要求如下：</w:t>
      </w:r>
    </w:p>
    <w:p>
      <w:pPr>
        <w:adjustRightInd w:val="0"/>
        <w:snapToGrid w:val="0"/>
        <w:spacing w:line="360" w:lineRule="auto"/>
        <w:ind w:left="239" w:leftChars="114" w:firstLine="480" w:firstLineChars="2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（1）数据兼容性：支持主流格式的SER日志文件导入（如.txt, .csv等）。</w:t>
      </w:r>
    </w:p>
    <w:p>
      <w:pPr>
        <w:adjustRightInd w:val="0"/>
        <w:snapToGrid w:val="0"/>
        <w:spacing w:line="360" w:lineRule="auto"/>
        <w:ind w:left="239" w:leftChars="114" w:firstLine="480" w:firstLineChars="2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（2）可视化展示：以时间轴或列表形式清晰展示处理后的信号序列，支持关键信号高亮标记。</w:t>
      </w:r>
    </w:p>
    <w:p>
      <w:pPr>
        <w:adjustRightInd w:val="0"/>
        <w:snapToGrid w:val="0"/>
        <w:spacing w:line="360" w:lineRule="auto"/>
        <w:ind w:left="239" w:leftChars="114"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3.协助开发SER分析智能体。内嵌领域知识（如保护逻辑、设备关联），具备自然语言交互与自动推理能力，提供简洁的对话框式交互界面，支持中文自然语言输入与结果图文混排输出。</w:t>
      </w:r>
    </w:p>
    <w:p>
      <w:pPr>
        <w:adjustRightInd w:val="0"/>
        <w:snapToGrid w:val="0"/>
        <w:spacing w:line="360" w:lineRule="auto"/>
        <w:ind w:left="239" w:leftChars="114"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4.交付成果：研制一套换流站SER智能识别分析算法原型、分析处理工具、源代码，配合开展技术创新总结提炼及保护、专利申请及论文编写相关工作。</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13"/>
        <w:tblW w:w="7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57"/>
        <w:gridCol w:w="2547"/>
        <w:gridCol w:w="940"/>
        <w:gridCol w:w="957"/>
        <w:gridCol w:w="2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7" w:hRule="atLeast"/>
          <w:jc w:val="center"/>
        </w:trPr>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54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服务内容</w:t>
            </w:r>
          </w:p>
        </w:tc>
        <w:tc>
          <w:tcPr>
            <w:tcW w:w="94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2456"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8" w:hRule="atLeast"/>
          <w:jc w:val="center"/>
        </w:trPr>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547"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换流站SER信号智能分析工具研究开发</w:t>
            </w:r>
          </w:p>
        </w:tc>
        <w:tc>
          <w:tcPr>
            <w:tcW w:w="940" w:type="dxa"/>
            <w:tcBorders>
              <w:tl2br w:val="nil"/>
              <w:tr2bl w:val="nil"/>
            </w:tcBorders>
            <w:shd w:val="clear" w:color="auto" w:fill="auto"/>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项</w:t>
            </w:r>
          </w:p>
        </w:tc>
        <w:tc>
          <w:tcPr>
            <w:tcW w:w="957"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 xml:space="preserve">1 </w:t>
            </w:r>
          </w:p>
        </w:tc>
        <w:tc>
          <w:tcPr>
            <w:tcW w:w="2456"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详见技术要求3</w:t>
            </w:r>
          </w:p>
        </w:tc>
      </w:tr>
      <w:bookmarkEnd w:id="0"/>
      <w:bookmarkEnd w:id="1"/>
      <w:bookmarkEnd w:id="2"/>
      <w:bookmarkEnd w:id="3"/>
      <w:bookmarkEnd w:id="4"/>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质保期及售后服务响应要求：质保期不少于1年，质保期内对于任何因程序代码缺陷导致的运行问题，提供免费修复与升级服务；售后服务的响应时间在</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小时内；提供技术支持。</w:t>
      </w:r>
    </w:p>
    <w:p>
      <w:pPr>
        <w:spacing w:line="360" w:lineRule="auto"/>
        <w:ind w:firstLine="480" w:firstLineChars="200"/>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pPr>
        <w:numPr>
          <w:ilvl w:val="0"/>
          <w:numId w:val="1"/>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合同条款说明</w:t>
      </w:r>
    </w:p>
    <w:p>
      <w:pPr>
        <w:spacing w:line="360" w:lineRule="auto"/>
        <w:ind w:firstLine="480" w:firstLineChars="200"/>
        <w:rPr>
          <w:rFonts w:hint="eastAsia" w:ascii="宋体" w:hAnsi="宋体" w:cs="宋体"/>
          <w:b/>
          <w:bCs/>
          <w:color w:val="auto"/>
          <w:sz w:val="24"/>
          <w:highlight w:val="none"/>
          <w:lang w:val="en-US" w:eastAsia="zh-CN"/>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采购人和成交供应商应当在零星采购成交通知书发出之日起30日内，根据询价材料和成交供应商的报价文件订立书面合同，</w:t>
      </w:r>
      <w:r>
        <w:rPr>
          <w:rFonts w:hint="eastAsia" w:ascii="宋体" w:hAnsi="宋体" w:cs="宋体"/>
          <w:b/>
          <w:bCs/>
          <w:color w:val="auto"/>
          <w:sz w:val="24"/>
          <w:highlight w:val="none"/>
          <w:lang w:val="en-US" w:eastAsia="zh-CN"/>
        </w:rPr>
        <w:t>《合同条款及格式》详见附件</w:t>
      </w:r>
    </w:p>
    <w:p>
      <w:pPr>
        <w:spacing w:line="360" w:lineRule="auto"/>
        <w:ind w:firstLine="482" w:firstLineChars="200"/>
        <w:rPr>
          <w:rFonts w:hint="default"/>
          <w:highlight w:val="yellow"/>
          <w:lang w:val="en-US"/>
        </w:rPr>
        <w:sectPr>
          <w:footerReference r:id="rId7" w:type="default"/>
          <w:pgSz w:w="11906" w:h="16838"/>
          <w:pgMar w:top="1440" w:right="1800" w:bottom="1440" w:left="1800" w:header="851" w:footer="992" w:gutter="0"/>
          <w:pgNumType w:fmt="decimal"/>
          <w:cols w:space="720" w:num="1"/>
          <w:docGrid w:type="lines" w:linePitch="312" w:charSpace="0"/>
        </w:sectPr>
      </w:pPr>
      <w:r>
        <w:rPr>
          <w:rFonts w:hint="eastAsia" w:ascii="宋体" w:hAnsi="宋体" w:cs="宋体"/>
          <w:b/>
          <w:bCs/>
          <w:color w:val="auto"/>
          <w:sz w:val="24"/>
          <w:highlight w:val="none"/>
          <w:lang w:val="en-US" w:eastAsia="zh-CN"/>
        </w:rPr>
        <w:t>2。</w:t>
      </w:r>
      <w:r>
        <w:rPr>
          <w:rFonts w:hint="eastAsia" w:ascii="宋体" w:hAnsi="宋体" w:cs="宋体"/>
          <w:b w:val="0"/>
          <w:bCs w:val="0"/>
          <w:color w:val="auto"/>
          <w:sz w:val="24"/>
          <w:highlight w:val="none"/>
          <w:lang w:val="en-US" w:eastAsia="zh-CN"/>
        </w:rPr>
        <w:t>合同签署完成后，</w:t>
      </w:r>
      <w:r>
        <w:rPr>
          <w:rFonts w:hint="eastAsia" w:ascii="宋体" w:hAnsi="宋体" w:cs="宋体"/>
          <w:color w:val="auto"/>
          <w:sz w:val="24"/>
          <w:highlight w:val="none"/>
          <w:lang w:val="en-US" w:eastAsia="zh-CN"/>
        </w:rPr>
        <w:t>成交供应商应当在3个月内完成技术合同认定登记。</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eastAsia="zh-CN"/>
        </w:rPr>
        <w:t>附件</w:t>
      </w:r>
      <w:r>
        <w:rPr>
          <w:rFonts w:hint="eastAsia"/>
          <w:b/>
          <w:bCs/>
          <w:color w:val="auto"/>
          <w:spacing w:val="10"/>
          <w:kern w:val="0"/>
          <w:sz w:val="28"/>
          <w:szCs w:val="28"/>
          <w:highlight w:val="none"/>
          <w:lang w:val="en-US" w:eastAsia="zh-CN"/>
        </w:rPr>
        <w:t>1：</w:t>
      </w: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14"/>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09"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53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09" w:type="dxa"/>
            <w:vAlign w:val="center"/>
          </w:tcPr>
          <w:p>
            <w:pPr>
              <w:adjustRightInd w:val="0"/>
              <w:snapToGrid w:val="0"/>
              <w:spacing w:line="240" w:lineRule="auto"/>
              <w:jc w:val="both"/>
              <w:rPr>
                <w:rFonts w:hint="eastAsia" w:ascii="宋体" w:hAnsi="宋体" w:eastAsia="宋体" w:cs="宋体"/>
                <w:b w:val="0"/>
                <w:bCs w:val="0"/>
                <w:color w:val="auto"/>
                <w:kern w:val="0"/>
                <w:sz w:val="20"/>
                <w:szCs w:val="21"/>
                <w:lang w:val="en-US" w:eastAsia="zh-CN"/>
              </w:rPr>
            </w:pPr>
            <w:r>
              <w:rPr>
                <w:rFonts w:hint="eastAsia" w:ascii="宋体" w:hAnsi="宋体" w:eastAsia="宋体" w:cs="宋体"/>
                <w:b w:val="0"/>
                <w:bCs w:val="0"/>
                <w:color w:val="auto"/>
                <w:kern w:val="0"/>
                <w:sz w:val="20"/>
                <w:szCs w:val="21"/>
                <w:lang w:val="en-US" w:eastAsia="zh-CN"/>
              </w:rPr>
              <w:t>超高压大理局2026年换流站SER信号智能分析工具研究开发零星采购项目</w:t>
            </w:r>
          </w:p>
        </w:tc>
        <w:tc>
          <w:tcPr>
            <w:tcW w:w="531"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协助开发SER智能识别分析算法</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2</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协助开发SER智能分析处理工具</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409"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协助开发SER分析智能体</w:t>
            </w:r>
          </w:p>
        </w:tc>
        <w:tc>
          <w:tcPr>
            <w:tcW w:w="531" w:type="dxa"/>
            <w:vAlign w:val="center"/>
          </w:tcPr>
          <w:p>
            <w:pPr>
              <w:adjustRightInd w:val="0"/>
              <w:snapToGrid w:val="0"/>
              <w:spacing w:line="240" w:lineRule="auto"/>
              <w:jc w:val="center"/>
              <w:rPr>
                <w:rFonts w:hint="default"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cs="宋体"/>
                <w:color w:val="auto"/>
                <w:kern w:val="0"/>
                <w:sz w:val="20"/>
                <w:szCs w:val="21"/>
              </w:rPr>
            </w:pPr>
          </w:p>
        </w:tc>
        <w:tc>
          <w:tcPr>
            <w:tcW w:w="2409" w:type="dxa"/>
            <w:vAlign w:val="center"/>
          </w:tcPr>
          <w:p>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pPr>
        <w:spacing w:line="360" w:lineRule="auto"/>
        <w:rPr>
          <w:rFonts w:ascii="宋体" w:hAnsi="宋体" w:cs="宋体"/>
          <w:color w:val="auto"/>
          <w:szCs w:val="21"/>
        </w:rPr>
      </w:pPr>
      <w:r>
        <w:rPr>
          <w:rFonts w:hint="eastAsia" w:ascii="宋体" w:hAnsi="宋体" w:cs="宋体"/>
          <w:color w:val="auto"/>
          <w:szCs w:val="21"/>
        </w:rPr>
        <w:t>注：</w:t>
      </w:r>
    </w:p>
    <w:p>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color w:val="auto"/>
          <w:spacing w:val="-1"/>
          <w:szCs w:val="21"/>
        </w:rPr>
      </w:pPr>
    </w:p>
    <w:p>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pPr>
        <w:spacing w:line="360" w:lineRule="auto"/>
        <w:jc w:val="center"/>
        <w:rPr>
          <w:color w:val="auto"/>
          <w:spacing w:val="-1"/>
          <w:sz w:val="24"/>
          <w:highlight w:val="none"/>
        </w:rPr>
        <w:sectPr>
          <w:footerReference r:id="rId8" w:type="default"/>
          <w:pgSz w:w="11906" w:h="16838"/>
          <w:pgMar w:top="1440" w:right="1800" w:bottom="1440" w:left="1800" w:header="851" w:footer="992" w:gutter="0"/>
          <w:pgNumType w:fmt="decimal"/>
          <w:cols w:space="720" w:num="1"/>
          <w:docGrid w:type="lines" w:linePitch="312" w:charSpace="0"/>
        </w:sectPr>
      </w:pPr>
    </w:p>
    <w:p>
      <w:pPr>
        <w:keepNext w:val="0"/>
        <w:keepLines w:val="0"/>
        <w:pageBreakBefore w:val="0"/>
        <w:kinsoku/>
        <w:overflowPunct/>
        <w:topLinePunct w:val="0"/>
        <w:autoSpaceDE/>
        <w:autoSpaceDN/>
        <w:bidi w:val="0"/>
        <w:adjustRightInd w:val="0"/>
        <w:snapToGrid w:val="0"/>
        <w:spacing w:line="24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13"/>
        <w:tblpPr w:leftFromText="180" w:rightFromText="180" w:vertAnchor="text" w:horzAnchor="page" w:tblpX="1781" w:tblpY="389"/>
        <w:tblOverlap w:val="never"/>
        <w:tblW w:w="855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6278"/>
        <w:gridCol w:w="168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16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14" w:hRule="exact"/>
        </w:trPr>
        <w:tc>
          <w:tcPr>
            <w:tcW w:w="8554" w:type="dxa"/>
            <w:gridSpan w:val="3"/>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超高压大理局2026年换流站SER信号智能分析工具研究开发零星采购项目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705"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1</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协助开发SER智能识别分析算法。针对“设备跳闸分析”应用场景，精准识别保护动作序列、开关变位等关键信号，实现冗余信号的智能屏蔽与合并。算法性能要求如下：</w:t>
            </w:r>
          </w:p>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（1）针对设备跳闸场景，算法需能有效处理单次事件中不少于500条的原始SER信号输入。</w:t>
            </w:r>
          </w:p>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（2）关键保护动作信号的识别准确率不低于100%，冗余信号过滤准确率不低于98%。</w:t>
            </w:r>
          </w:p>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（3)支持用户自定义规则库的导入与导出功能。</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71"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2</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协助开发SER智能分析处理工具。针对“设备跳闸分析”实现SER智能检索、智能化处理、和统计分析。工具性能要求如下：</w:t>
            </w:r>
          </w:p>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（1）数据兼容性：支持主流格式的SER日志文件导入（如.txt, .csv等）。</w:t>
            </w:r>
          </w:p>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（2）可视化展示：以时间轴或列表形式清晰展示处理后的信号序列，支持关键信号高亮标记。</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99"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3</w:t>
            </w:r>
          </w:p>
        </w:tc>
        <w:tc>
          <w:tcPr>
            <w:tcW w:w="627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协助开发SER分析智能体。内嵌领域知识（如保护逻辑、设备关联），具备自然语言交互与自动推理能力，提供简洁的对话框式交互界面，支持中文自然语言输入与结果图文混排输出。</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99"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4</w:t>
            </w:r>
          </w:p>
        </w:tc>
        <w:tc>
          <w:tcPr>
            <w:tcW w:w="627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交付成果：研制一套换流站SER智能识别分析算法原型、分析处理工具、源代码，配合开展技术创新总结提炼及保护、专利申请及论文编写相关工作。</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bl>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keepNext w:val="0"/>
        <w:keepLines w:val="0"/>
        <w:pageBreakBefore w:val="0"/>
        <w:kinsoku/>
        <w:overflowPunct/>
        <w:topLinePunct w:val="0"/>
        <w:autoSpaceDE/>
        <w:autoSpaceDN/>
        <w:bidi w:val="0"/>
        <w:adjustRightInd w:val="0"/>
        <w:snapToGrid w:val="0"/>
        <w:rPr>
          <w:b/>
          <w:bCs/>
          <w:color w:val="auto"/>
          <w:spacing w:val="14"/>
          <w:kern w:val="0"/>
          <w:sz w:val="28"/>
          <w:szCs w:val="28"/>
          <w:highlight w:val="none"/>
        </w:rPr>
      </w:pPr>
      <w:r>
        <w:rPr>
          <w:b/>
          <w:bCs/>
          <w:color w:val="auto"/>
          <w:spacing w:val="14"/>
          <w:kern w:val="0"/>
          <w:sz w:val="28"/>
          <w:szCs w:val="28"/>
          <w:highlight w:val="none"/>
        </w:rPr>
        <w:br w:type="page"/>
      </w:r>
    </w:p>
    <w:p>
      <w:pPr>
        <w:keepNext w:val="0"/>
        <w:keepLines w:val="0"/>
        <w:pageBreakBefore w:val="0"/>
        <w:kinsoku/>
        <w:overflowPunct/>
        <w:topLinePunct w:val="0"/>
        <w:autoSpaceDE/>
        <w:autoSpaceDN/>
        <w:bidi w:val="0"/>
        <w:adjustRightInd w:val="0"/>
        <w:snapToGrid w:val="0"/>
        <w:spacing w:line="360" w:lineRule="auto"/>
        <w:outlineLvl w:val="5"/>
        <w:rPr>
          <w:b/>
          <w:bCs/>
          <w:color w:val="auto"/>
          <w:spacing w:val="14"/>
          <w:kern w:val="0"/>
          <w:sz w:val="28"/>
          <w:szCs w:val="28"/>
          <w:highlight w:val="none"/>
        </w:rPr>
      </w:pPr>
    </w:p>
    <w:p>
      <w:pPr>
        <w:keepNext w:val="0"/>
        <w:keepLines w:val="0"/>
        <w:pageBreakBefore w:val="0"/>
        <w:kinsoku/>
        <w:overflowPunct/>
        <w:topLinePunct w:val="0"/>
        <w:autoSpaceDE/>
        <w:autoSpaceDN/>
        <w:bidi w:val="0"/>
        <w:adjustRightInd w:val="0"/>
        <w:snapToGrid w:val="0"/>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13"/>
        <w:tblpPr w:leftFromText="180" w:rightFromText="180" w:vertAnchor="text" w:horzAnchor="page" w:tblpX="1901" w:tblpY="404"/>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pPr>
              <w:keepNext w:val="0"/>
              <w:keepLines w:val="0"/>
              <w:pageBreakBefore w:val="0"/>
              <w:widowControl/>
              <w:kinsoku/>
              <w:overflowPunct/>
              <w:topLinePunct w:val="0"/>
              <w:autoSpaceDE/>
              <w:autoSpaceDN/>
              <w:bidi w:val="0"/>
              <w:adjustRightInd w:val="0"/>
              <w:snapToGrid w:val="0"/>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909"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olor w:val="auto"/>
                <w:sz w:val="24"/>
                <w:highlight w:val="none"/>
              </w:rPr>
            </w:pPr>
            <w:r>
              <w:rPr>
                <w:rFonts w:hint="eastAsia" w:ascii="宋体" w:hAnsi="宋体" w:cs="宋体"/>
                <w:b/>
                <w:bCs/>
                <w:color w:val="auto"/>
                <w:sz w:val="24"/>
                <w:highlight w:val="none"/>
                <w:lang w:eastAsia="zh-CN"/>
              </w:rPr>
              <w:t>服务成果</w:t>
            </w: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rPr>
              <w:t>质保期不少于1年，质保期内对于任何因程序代码缺陷导致的运行问题，提供免费修复与升级服务；售后服务的响应时间在</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小时内；提供技术支持。</w:t>
            </w: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服务成果交付</w:t>
            </w:r>
            <w:r>
              <w:rPr>
                <w:rFonts w:hint="eastAsia" w:ascii="宋体" w:hAnsi="宋体" w:cs="宋体"/>
                <w:b/>
                <w:bCs/>
                <w:color w:val="auto"/>
                <w:sz w:val="24"/>
                <w:highlight w:val="none"/>
              </w:rPr>
              <w:t>时间及地点要求：</w:t>
            </w:r>
            <w:r>
              <w:rPr>
                <w:rFonts w:hint="eastAsia" w:ascii="宋体" w:hAnsi="宋体" w:cs="宋体"/>
                <w:color w:val="auto"/>
                <w:sz w:val="24"/>
                <w:highlight w:val="none"/>
                <w:lang w:eastAsia="zh-CN"/>
              </w:rPr>
              <w:t>服务成果交付</w:t>
            </w:r>
            <w:r>
              <w:rPr>
                <w:rFonts w:hint="eastAsia" w:ascii="宋体" w:hAnsi="宋体" w:cs="宋体"/>
                <w:color w:val="auto"/>
                <w:sz w:val="24"/>
                <w:highlight w:val="none"/>
              </w:rPr>
              <w:t>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pPr>
              <w:keepNext w:val="0"/>
              <w:keepLines w:val="0"/>
              <w:pageBreakBefore w:val="0"/>
              <w:widowControl/>
              <w:kinsoku/>
              <w:overflowPunct/>
              <w:topLinePunct w:val="0"/>
              <w:autoSpaceDE/>
              <w:autoSpaceDN/>
              <w:bidi w:val="0"/>
              <w:adjustRightInd w:val="0"/>
              <w:snapToGrid w:val="0"/>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4"/>
                <w:highlight w:val="none"/>
              </w:rPr>
            </w:pPr>
          </w:p>
        </w:tc>
      </w:tr>
    </w:tbl>
    <w:p>
      <w:pPr>
        <w:keepNext w:val="0"/>
        <w:keepLines w:val="0"/>
        <w:pageBreakBefore w:val="0"/>
        <w:kinsoku/>
        <w:overflowPunct/>
        <w:topLinePunct w:val="0"/>
        <w:autoSpaceDE/>
        <w:autoSpaceDN/>
        <w:bidi w:val="0"/>
        <w:adjustRightInd w:val="0"/>
        <w:snapToGrid w:val="0"/>
        <w:spacing w:line="360" w:lineRule="auto"/>
        <w:jc w:val="left"/>
        <w:outlineLvl w:val="5"/>
        <w:rPr>
          <w:color w:val="auto"/>
          <w:kern w:val="0"/>
          <w:sz w:val="24"/>
          <w:highlight w:val="none"/>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left"/>
        <w:rPr>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keepNext w:val="0"/>
        <w:keepLines w:val="0"/>
        <w:pageBreakBefore w:val="0"/>
        <w:tabs>
          <w:tab w:val="left" w:pos="525"/>
          <w:tab w:val="left" w:pos="1051"/>
        </w:tabs>
        <w:kinsoku/>
        <w:wordWrap w:val="0"/>
        <w:overflowPunct/>
        <w:topLinePunct w:val="0"/>
        <w:autoSpaceDE/>
        <w:autoSpaceDN/>
        <w:bidi w:val="0"/>
        <w:adjustRightInd w:val="0"/>
        <w:snapToGrid w:val="0"/>
        <w:spacing w:line="360" w:lineRule="auto"/>
        <w:jc w:val="right"/>
        <w:rPr>
          <w:color w:val="auto"/>
          <w:kern w:val="0"/>
          <w:sz w:val="24"/>
          <w:highlight w:val="none"/>
          <w:lang w:val="zh-CN"/>
        </w:rPr>
      </w:pPr>
    </w:p>
    <w:p>
      <w:pPr>
        <w:keepNext w:val="0"/>
        <w:keepLines w:val="0"/>
        <w:pageBreakBefore w:val="0"/>
        <w:tabs>
          <w:tab w:val="left" w:pos="722"/>
          <w:tab w:val="left" w:pos="1323"/>
        </w:tabs>
        <w:kinsoku/>
        <w:overflowPunct/>
        <w:topLinePunct w:val="0"/>
        <w:autoSpaceDE/>
        <w:autoSpaceDN/>
        <w:bidi w:val="0"/>
        <w:adjustRightInd w:val="0"/>
        <w:snapToGrid w:val="0"/>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keepNext w:val="0"/>
        <w:keepLines w:val="0"/>
        <w:pageBreakBefore w:val="0"/>
        <w:kinsoku/>
        <w:overflowPunct/>
        <w:topLinePunct w:val="0"/>
        <w:autoSpaceDE/>
        <w:autoSpaceDN/>
        <w:bidi w:val="0"/>
        <w:adjustRightInd w:val="0"/>
        <w:snapToGrid w:val="0"/>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hint="default" w:ascii="宋体" w:hAnsi="宋体"/>
          <w:bCs/>
          <w:color w:val="auto"/>
          <w:szCs w:val="21"/>
          <w:highlight w:val="none"/>
          <w:lang w:val="en-US" w:eastAsia="zh-CN"/>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sectPr>
      <w:footerReference r:id="rId9" w:type="default"/>
      <w:pgSz w:w="11906" w:h="16838"/>
      <w:pgMar w:top="1440" w:right="1587" w:bottom="1440" w:left="1587"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94670B7-1ED7-42F1-A427-B8948BEF9E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embedRegular r:id="rId2" w:fontKey="{EDA2C7B9-2F3B-4EC0-AEC2-11C54D2983E0}"/>
  </w:font>
  <w:font w:name="微软雅黑">
    <w:panose1 w:val="020B0503020204020204"/>
    <w:charset w:val="86"/>
    <w:family w:val="auto"/>
    <w:pitch w:val="default"/>
    <w:sig w:usb0="80000287" w:usb1="2ACF3C50" w:usb2="00000016" w:usb3="00000000" w:csb0="0004001F" w:csb1="00000000"/>
    <w:embedRegular r:id="rId3" w:fontKey="{928C819A-DEB4-4B71-B57E-9B99B5471B3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LrFBM8BAACY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09601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540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yCZAtMAAAAFAQAADwAAAAAAAAABACAAAAAiAAAAZHJz&#10;L2Rvd25yZXYueG1sUEsBAhQAFAAAAAgAh07iQDN4qZDQAQAAmAMAAA4AAAAAAAAAAQAgAAAAIgEA&#10;AGRycy9lMm9Eb2MueG1sUEsFBgAAAAAGAAYAWQEAAGQ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0C9365"/>
    <w:multiLevelType w:val="singleLevel"/>
    <w:tmpl w:val="4F0C9365"/>
    <w:lvl w:ilvl="0" w:tentative="0">
      <w:start w:val="7"/>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jNmQzMTE1OTIyYWRlM2ZjZjBiN2RmZDM0ZDgxMTQifQ=="/>
  </w:docVars>
  <w:rsids>
    <w:rsidRoot w:val="2D62436F"/>
    <w:rsid w:val="003F19EF"/>
    <w:rsid w:val="007E63D9"/>
    <w:rsid w:val="01816096"/>
    <w:rsid w:val="01822D6C"/>
    <w:rsid w:val="01AF2697"/>
    <w:rsid w:val="01E7687A"/>
    <w:rsid w:val="02182C5B"/>
    <w:rsid w:val="022E40D0"/>
    <w:rsid w:val="024E25D1"/>
    <w:rsid w:val="02902DF3"/>
    <w:rsid w:val="03260EE8"/>
    <w:rsid w:val="032B6341"/>
    <w:rsid w:val="036A36E1"/>
    <w:rsid w:val="038C573A"/>
    <w:rsid w:val="03C90689"/>
    <w:rsid w:val="041052E8"/>
    <w:rsid w:val="043046B5"/>
    <w:rsid w:val="04666B7A"/>
    <w:rsid w:val="048B2A85"/>
    <w:rsid w:val="04BA42C8"/>
    <w:rsid w:val="05112A4A"/>
    <w:rsid w:val="053E58B3"/>
    <w:rsid w:val="05921832"/>
    <w:rsid w:val="05B836B3"/>
    <w:rsid w:val="05C242FF"/>
    <w:rsid w:val="06050F84"/>
    <w:rsid w:val="06080554"/>
    <w:rsid w:val="06D34E0E"/>
    <w:rsid w:val="070D08F0"/>
    <w:rsid w:val="072C0EAC"/>
    <w:rsid w:val="07526764"/>
    <w:rsid w:val="078A226A"/>
    <w:rsid w:val="07D10C12"/>
    <w:rsid w:val="08410597"/>
    <w:rsid w:val="088812F9"/>
    <w:rsid w:val="089B79AC"/>
    <w:rsid w:val="08D83463"/>
    <w:rsid w:val="090533B3"/>
    <w:rsid w:val="09E544CB"/>
    <w:rsid w:val="09E60A95"/>
    <w:rsid w:val="0A080331"/>
    <w:rsid w:val="0A1C6AEB"/>
    <w:rsid w:val="0A306F7B"/>
    <w:rsid w:val="0A745034"/>
    <w:rsid w:val="0A9C46B5"/>
    <w:rsid w:val="0AC4757C"/>
    <w:rsid w:val="0AC82512"/>
    <w:rsid w:val="0AC97464"/>
    <w:rsid w:val="0B1A3732"/>
    <w:rsid w:val="0B285DDC"/>
    <w:rsid w:val="0B636570"/>
    <w:rsid w:val="0C035585"/>
    <w:rsid w:val="0CA20839"/>
    <w:rsid w:val="0CA220FC"/>
    <w:rsid w:val="0CDA217A"/>
    <w:rsid w:val="0CE07ECE"/>
    <w:rsid w:val="0D223618"/>
    <w:rsid w:val="0D5C50F6"/>
    <w:rsid w:val="0D9540E6"/>
    <w:rsid w:val="0E314EE7"/>
    <w:rsid w:val="0E591449"/>
    <w:rsid w:val="0E655B0A"/>
    <w:rsid w:val="0F4563BA"/>
    <w:rsid w:val="0F4C7CDD"/>
    <w:rsid w:val="0F521FDA"/>
    <w:rsid w:val="0F770C97"/>
    <w:rsid w:val="0FB64C56"/>
    <w:rsid w:val="0FC57C54"/>
    <w:rsid w:val="101C6FE8"/>
    <w:rsid w:val="103819AC"/>
    <w:rsid w:val="10416259"/>
    <w:rsid w:val="10C6343A"/>
    <w:rsid w:val="10D4182A"/>
    <w:rsid w:val="10D52952"/>
    <w:rsid w:val="10DC742D"/>
    <w:rsid w:val="11020FDA"/>
    <w:rsid w:val="1173569E"/>
    <w:rsid w:val="11832B5E"/>
    <w:rsid w:val="118D34DB"/>
    <w:rsid w:val="119F3673"/>
    <w:rsid w:val="11FF5B40"/>
    <w:rsid w:val="12132EDB"/>
    <w:rsid w:val="12321825"/>
    <w:rsid w:val="123A6C55"/>
    <w:rsid w:val="123E75D0"/>
    <w:rsid w:val="12E812AE"/>
    <w:rsid w:val="13954387"/>
    <w:rsid w:val="139B54FB"/>
    <w:rsid w:val="13AC4857"/>
    <w:rsid w:val="13BC52FC"/>
    <w:rsid w:val="13E95ACA"/>
    <w:rsid w:val="13F64062"/>
    <w:rsid w:val="14396C46"/>
    <w:rsid w:val="15BB1E78"/>
    <w:rsid w:val="15DE15C7"/>
    <w:rsid w:val="15E44C4F"/>
    <w:rsid w:val="161A131B"/>
    <w:rsid w:val="166B5ED3"/>
    <w:rsid w:val="167D7355"/>
    <w:rsid w:val="16D23DE1"/>
    <w:rsid w:val="16DD41AF"/>
    <w:rsid w:val="17540B3B"/>
    <w:rsid w:val="183D472F"/>
    <w:rsid w:val="194E1F14"/>
    <w:rsid w:val="19D61859"/>
    <w:rsid w:val="19E2300B"/>
    <w:rsid w:val="1A10624F"/>
    <w:rsid w:val="1A4C3B81"/>
    <w:rsid w:val="1A7D17ED"/>
    <w:rsid w:val="1AAF7DBD"/>
    <w:rsid w:val="1AF14A10"/>
    <w:rsid w:val="1B436E42"/>
    <w:rsid w:val="1B495A57"/>
    <w:rsid w:val="1B58732D"/>
    <w:rsid w:val="1CA47C72"/>
    <w:rsid w:val="1D23535D"/>
    <w:rsid w:val="1D751E09"/>
    <w:rsid w:val="1D8765EE"/>
    <w:rsid w:val="1E5E48EB"/>
    <w:rsid w:val="1E6B728E"/>
    <w:rsid w:val="1EA30C08"/>
    <w:rsid w:val="1EEF762D"/>
    <w:rsid w:val="1EFB2942"/>
    <w:rsid w:val="1F166D0A"/>
    <w:rsid w:val="1F2C6D5A"/>
    <w:rsid w:val="1F51762F"/>
    <w:rsid w:val="1F5B88ED"/>
    <w:rsid w:val="1F88093A"/>
    <w:rsid w:val="1FBB7F1E"/>
    <w:rsid w:val="1FBF3122"/>
    <w:rsid w:val="1FCF0BBF"/>
    <w:rsid w:val="1FE9276C"/>
    <w:rsid w:val="2000527E"/>
    <w:rsid w:val="20307D8B"/>
    <w:rsid w:val="209B1AB0"/>
    <w:rsid w:val="20B35058"/>
    <w:rsid w:val="20D719F1"/>
    <w:rsid w:val="210F6ED1"/>
    <w:rsid w:val="21890675"/>
    <w:rsid w:val="218E2338"/>
    <w:rsid w:val="21AE2E67"/>
    <w:rsid w:val="2212368E"/>
    <w:rsid w:val="227550BE"/>
    <w:rsid w:val="227C5822"/>
    <w:rsid w:val="22FA57BC"/>
    <w:rsid w:val="23B73BE5"/>
    <w:rsid w:val="23E7568E"/>
    <w:rsid w:val="241B0773"/>
    <w:rsid w:val="24340889"/>
    <w:rsid w:val="244039DC"/>
    <w:rsid w:val="245C5A9D"/>
    <w:rsid w:val="24C25DC9"/>
    <w:rsid w:val="24E16D01"/>
    <w:rsid w:val="24E46EC7"/>
    <w:rsid w:val="256054C6"/>
    <w:rsid w:val="25F7511D"/>
    <w:rsid w:val="266D329C"/>
    <w:rsid w:val="26A73075"/>
    <w:rsid w:val="26EF7DFB"/>
    <w:rsid w:val="27065BC6"/>
    <w:rsid w:val="27175775"/>
    <w:rsid w:val="274B0EAA"/>
    <w:rsid w:val="27A75FE0"/>
    <w:rsid w:val="27D050EF"/>
    <w:rsid w:val="27D65DFA"/>
    <w:rsid w:val="28171567"/>
    <w:rsid w:val="28584014"/>
    <w:rsid w:val="28696619"/>
    <w:rsid w:val="28D00E86"/>
    <w:rsid w:val="298441C0"/>
    <w:rsid w:val="2A086006"/>
    <w:rsid w:val="2A174B7C"/>
    <w:rsid w:val="2AB32E17"/>
    <w:rsid w:val="2ACE5A56"/>
    <w:rsid w:val="2AFE7BEA"/>
    <w:rsid w:val="2B0D479C"/>
    <w:rsid w:val="2B14398C"/>
    <w:rsid w:val="2B2E74E5"/>
    <w:rsid w:val="2B45128D"/>
    <w:rsid w:val="2B642A3F"/>
    <w:rsid w:val="2B933206"/>
    <w:rsid w:val="2BAB3CE3"/>
    <w:rsid w:val="2BDE4899"/>
    <w:rsid w:val="2C605957"/>
    <w:rsid w:val="2CB55D18"/>
    <w:rsid w:val="2CE52898"/>
    <w:rsid w:val="2D086D5E"/>
    <w:rsid w:val="2D1140C6"/>
    <w:rsid w:val="2D46615C"/>
    <w:rsid w:val="2D62436F"/>
    <w:rsid w:val="2D6849D7"/>
    <w:rsid w:val="2D6E3139"/>
    <w:rsid w:val="2D8F64D3"/>
    <w:rsid w:val="2D921CE1"/>
    <w:rsid w:val="2E446756"/>
    <w:rsid w:val="2E501640"/>
    <w:rsid w:val="2E5765C3"/>
    <w:rsid w:val="2FB81CCD"/>
    <w:rsid w:val="2FC30154"/>
    <w:rsid w:val="2FDA689A"/>
    <w:rsid w:val="2FF12AEC"/>
    <w:rsid w:val="30062628"/>
    <w:rsid w:val="301F288C"/>
    <w:rsid w:val="30A03378"/>
    <w:rsid w:val="30DD7043"/>
    <w:rsid w:val="30F0044A"/>
    <w:rsid w:val="31297963"/>
    <w:rsid w:val="317B2552"/>
    <w:rsid w:val="31FCD77F"/>
    <w:rsid w:val="328A715D"/>
    <w:rsid w:val="32FC53BD"/>
    <w:rsid w:val="330E7EE4"/>
    <w:rsid w:val="334A1B07"/>
    <w:rsid w:val="335144C8"/>
    <w:rsid w:val="33691AE5"/>
    <w:rsid w:val="3390201E"/>
    <w:rsid w:val="33937B20"/>
    <w:rsid w:val="340D6943"/>
    <w:rsid w:val="3425545A"/>
    <w:rsid w:val="342A21AD"/>
    <w:rsid w:val="342E671D"/>
    <w:rsid w:val="34314840"/>
    <w:rsid w:val="34473FFD"/>
    <w:rsid w:val="34576844"/>
    <w:rsid w:val="3468528B"/>
    <w:rsid w:val="34696F67"/>
    <w:rsid w:val="34990B6B"/>
    <w:rsid w:val="356A6458"/>
    <w:rsid w:val="35EE2046"/>
    <w:rsid w:val="36576511"/>
    <w:rsid w:val="365908E9"/>
    <w:rsid w:val="36EB770A"/>
    <w:rsid w:val="37824AA0"/>
    <w:rsid w:val="379847BA"/>
    <w:rsid w:val="37A902E5"/>
    <w:rsid w:val="37A954CF"/>
    <w:rsid w:val="380E1B00"/>
    <w:rsid w:val="383C64E2"/>
    <w:rsid w:val="386E76A4"/>
    <w:rsid w:val="38B77A4B"/>
    <w:rsid w:val="38CA32FD"/>
    <w:rsid w:val="390B3783"/>
    <w:rsid w:val="393F1F7B"/>
    <w:rsid w:val="394C0591"/>
    <w:rsid w:val="395F109E"/>
    <w:rsid w:val="39C046BF"/>
    <w:rsid w:val="39D74F14"/>
    <w:rsid w:val="39DB3861"/>
    <w:rsid w:val="39E807E9"/>
    <w:rsid w:val="3A157488"/>
    <w:rsid w:val="3A904851"/>
    <w:rsid w:val="3A952736"/>
    <w:rsid w:val="3ABD7978"/>
    <w:rsid w:val="3B657F64"/>
    <w:rsid w:val="3B6F1403"/>
    <w:rsid w:val="3BD51C4B"/>
    <w:rsid w:val="3BD55442"/>
    <w:rsid w:val="3BDF1D94"/>
    <w:rsid w:val="3BE86703"/>
    <w:rsid w:val="3C587A1B"/>
    <w:rsid w:val="3C6E0F88"/>
    <w:rsid w:val="3D0869FD"/>
    <w:rsid w:val="3D69050A"/>
    <w:rsid w:val="3D8956D0"/>
    <w:rsid w:val="3D941B95"/>
    <w:rsid w:val="3DD11E9A"/>
    <w:rsid w:val="3DF02037"/>
    <w:rsid w:val="3E9D4299"/>
    <w:rsid w:val="3ECA3C14"/>
    <w:rsid w:val="3ED4245E"/>
    <w:rsid w:val="3F42181A"/>
    <w:rsid w:val="3F4F2F75"/>
    <w:rsid w:val="3F5BEE0A"/>
    <w:rsid w:val="3F852126"/>
    <w:rsid w:val="40532A43"/>
    <w:rsid w:val="407D359F"/>
    <w:rsid w:val="408E1884"/>
    <w:rsid w:val="40B5544E"/>
    <w:rsid w:val="411F03C8"/>
    <w:rsid w:val="415C17F1"/>
    <w:rsid w:val="415D2CA7"/>
    <w:rsid w:val="417C0358"/>
    <w:rsid w:val="421C7675"/>
    <w:rsid w:val="422E65E2"/>
    <w:rsid w:val="426B0FC6"/>
    <w:rsid w:val="42DD53D0"/>
    <w:rsid w:val="4334121D"/>
    <w:rsid w:val="438D34E4"/>
    <w:rsid w:val="43E266C9"/>
    <w:rsid w:val="44090E76"/>
    <w:rsid w:val="44426A9E"/>
    <w:rsid w:val="444A72CC"/>
    <w:rsid w:val="44575838"/>
    <w:rsid w:val="44657B04"/>
    <w:rsid w:val="44914D38"/>
    <w:rsid w:val="44BB1466"/>
    <w:rsid w:val="44E25519"/>
    <w:rsid w:val="44FA5C39"/>
    <w:rsid w:val="457A657D"/>
    <w:rsid w:val="45E034DC"/>
    <w:rsid w:val="45E508CF"/>
    <w:rsid w:val="45FA4B1F"/>
    <w:rsid w:val="46607F75"/>
    <w:rsid w:val="46783EAC"/>
    <w:rsid w:val="46CE4EDF"/>
    <w:rsid w:val="46F44476"/>
    <w:rsid w:val="472D20DF"/>
    <w:rsid w:val="474B2FD1"/>
    <w:rsid w:val="475F50A3"/>
    <w:rsid w:val="47686DCE"/>
    <w:rsid w:val="47744496"/>
    <w:rsid w:val="47BF75B5"/>
    <w:rsid w:val="47ED7431"/>
    <w:rsid w:val="481B4154"/>
    <w:rsid w:val="4845708A"/>
    <w:rsid w:val="489959AB"/>
    <w:rsid w:val="48AD29A6"/>
    <w:rsid w:val="48BC79E1"/>
    <w:rsid w:val="48C755E8"/>
    <w:rsid w:val="492B31A7"/>
    <w:rsid w:val="496B40F1"/>
    <w:rsid w:val="49C873FC"/>
    <w:rsid w:val="49DE5BE1"/>
    <w:rsid w:val="4A13211E"/>
    <w:rsid w:val="4A331C29"/>
    <w:rsid w:val="4A4E5776"/>
    <w:rsid w:val="4A586FD5"/>
    <w:rsid w:val="4A591CEF"/>
    <w:rsid w:val="4A6D04C3"/>
    <w:rsid w:val="4AEF4413"/>
    <w:rsid w:val="4B4729F4"/>
    <w:rsid w:val="4B475A72"/>
    <w:rsid w:val="4B816A4E"/>
    <w:rsid w:val="4B820FD9"/>
    <w:rsid w:val="4BA026C3"/>
    <w:rsid w:val="4C0960F1"/>
    <w:rsid w:val="4C4E1E45"/>
    <w:rsid w:val="4C6528E3"/>
    <w:rsid w:val="4C702FA8"/>
    <w:rsid w:val="4C9F51AF"/>
    <w:rsid w:val="4CD5641A"/>
    <w:rsid w:val="4D390F77"/>
    <w:rsid w:val="4D446E65"/>
    <w:rsid w:val="4D5C51D4"/>
    <w:rsid w:val="4D8569AE"/>
    <w:rsid w:val="4D96624F"/>
    <w:rsid w:val="4E745FEC"/>
    <w:rsid w:val="4E9C42BE"/>
    <w:rsid w:val="4EB42FE5"/>
    <w:rsid w:val="4EBD5F65"/>
    <w:rsid w:val="4EDA5A3D"/>
    <w:rsid w:val="4F095253"/>
    <w:rsid w:val="4F4D6EB2"/>
    <w:rsid w:val="4FD87D0C"/>
    <w:rsid w:val="50111EE2"/>
    <w:rsid w:val="501B4C55"/>
    <w:rsid w:val="5083267C"/>
    <w:rsid w:val="50C20F8E"/>
    <w:rsid w:val="50ED1B9C"/>
    <w:rsid w:val="51556929"/>
    <w:rsid w:val="515C7B07"/>
    <w:rsid w:val="51650038"/>
    <w:rsid w:val="51A50CBB"/>
    <w:rsid w:val="51C4585C"/>
    <w:rsid w:val="51F162A1"/>
    <w:rsid w:val="52137C27"/>
    <w:rsid w:val="52207DF0"/>
    <w:rsid w:val="522F200C"/>
    <w:rsid w:val="523D6212"/>
    <w:rsid w:val="527B28DC"/>
    <w:rsid w:val="52831B0B"/>
    <w:rsid w:val="52F41A82"/>
    <w:rsid w:val="52F61A46"/>
    <w:rsid w:val="533C1422"/>
    <w:rsid w:val="539D38BA"/>
    <w:rsid w:val="54181368"/>
    <w:rsid w:val="5419056C"/>
    <w:rsid w:val="54870DDF"/>
    <w:rsid w:val="54C50351"/>
    <w:rsid w:val="54D67BA3"/>
    <w:rsid w:val="54F113EB"/>
    <w:rsid w:val="552C566E"/>
    <w:rsid w:val="552D3AB8"/>
    <w:rsid w:val="55450F65"/>
    <w:rsid w:val="558327F3"/>
    <w:rsid w:val="55AB58D7"/>
    <w:rsid w:val="55E076EB"/>
    <w:rsid w:val="55F661D9"/>
    <w:rsid w:val="56170542"/>
    <w:rsid w:val="56674A08"/>
    <w:rsid w:val="56751D42"/>
    <w:rsid w:val="56775090"/>
    <w:rsid w:val="56906190"/>
    <w:rsid w:val="56E02A3E"/>
    <w:rsid w:val="572F5128"/>
    <w:rsid w:val="57534E4E"/>
    <w:rsid w:val="57A77F54"/>
    <w:rsid w:val="57D7248E"/>
    <w:rsid w:val="57E073CC"/>
    <w:rsid w:val="581F49DF"/>
    <w:rsid w:val="58237526"/>
    <w:rsid w:val="586D4A62"/>
    <w:rsid w:val="58C67955"/>
    <w:rsid w:val="58D2260D"/>
    <w:rsid w:val="591539B6"/>
    <w:rsid w:val="5969559D"/>
    <w:rsid w:val="59863CD0"/>
    <w:rsid w:val="598643BD"/>
    <w:rsid w:val="59DC5DA2"/>
    <w:rsid w:val="59FF622F"/>
    <w:rsid w:val="5A116FA4"/>
    <w:rsid w:val="5A4241FA"/>
    <w:rsid w:val="5A4A272E"/>
    <w:rsid w:val="5A735AF1"/>
    <w:rsid w:val="5AE21AC5"/>
    <w:rsid w:val="5B052E61"/>
    <w:rsid w:val="5B0A74C2"/>
    <w:rsid w:val="5B3D43F8"/>
    <w:rsid w:val="5B893710"/>
    <w:rsid w:val="5BDB1D43"/>
    <w:rsid w:val="5C076A71"/>
    <w:rsid w:val="5C1A7126"/>
    <w:rsid w:val="5C414DE8"/>
    <w:rsid w:val="5C454377"/>
    <w:rsid w:val="5CA63FE0"/>
    <w:rsid w:val="5CCD5CD0"/>
    <w:rsid w:val="5D017424"/>
    <w:rsid w:val="5D0F01E1"/>
    <w:rsid w:val="5D21575A"/>
    <w:rsid w:val="5D2F5F33"/>
    <w:rsid w:val="5D560170"/>
    <w:rsid w:val="5D5F77BE"/>
    <w:rsid w:val="5DBD4CC8"/>
    <w:rsid w:val="5DC10E35"/>
    <w:rsid w:val="5DD27268"/>
    <w:rsid w:val="5DD72FD4"/>
    <w:rsid w:val="5DD961EC"/>
    <w:rsid w:val="5DE7421F"/>
    <w:rsid w:val="5DE930A5"/>
    <w:rsid w:val="5E1F1CCB"/>
    <w:rsid w:val="5E4F6B8A"/>
    <w:rsid w:val="5E5B7A99"/>
    <w:rsid w:val="5E6A6C7A"/>
    <w:rsid w:val="5E996B3B"/>
    <w:rsid w:val="5ECB0827"/>
    <w:rsid w:val="5EDD4CF4"/>
    <w:rsid w:val="5EF227B1"/>
    <w:rsid w:val="5F5B42BF"/>
    <w:rsid w:val="5F5C534D"/>
    <w:rsid w:val="5F670B3F"/>
    <w:rsid w:val="5FB7626C"/>
    <w:rsid w:val="5FE63BE0"/>
    <w:rsid w:val="606A1FF2"/>
    <w:rsid w:val="60A40BD4"/>
    <w:rsid w:val="60D26DE5"/>
    <w:rsid w:val="61BB4DEE"/>
    <w:rsid w:val="62290975"/>
    <w:rsid w:val="62570F45"/>
    <w:rsid w:val="62D21501"/>
    <w:rsid w:val="62E66850"/>
    <w:rsid w:val="62F11F07"/>
    <w:rsid w:val="63196634"/>
    <w:rsid w:val="632914FD"/>
    <w:rsid w:val="63967573"/>
    <w:rsid w:val="63B529E5"/>
    <w:rsid w:val="64820676"/>
    <w:rsid w:val="64B1690C"/>
    <w:rsid w:val="65226C77"/>
    <w:rsid w:val="65382DE5"/>
    <w:rsid w:val="654C6453"/>
    <w:rsid w:val="65DF45BB"/>
    <w:rsid w:val="65FD4CD0"/>
    <w:rsid w:val="66011858"/>
    <w:rsid w:val="66067FEC"/>
    <w:rsid w:val="660D707D"/>
    <w:rsid w:val="665835DA"/>
    <w:rsid w:val="66FE315A"/>
    <w:rsid w:val="670F2122"/>
    <w:rsid w:val="672960A6"/>
    <w:rsid w:val="67451C43"/>
    <w:rsid w:val="674A63AC"/>
    <w:rsid w:val="6751576A"/>
    <w:rsid w:val="681313E4"/>
    <w:rsid w:val="684A4A34"/>
    <w:rsid w:val="688A3D96"/>
    <w:rsid w:val="688A6606"/>
    <w:rsid w:val="68BB7343"/>
    <w:rsid w:val="68BF2482"/>
    <w:rsid w:val="68E951B5"/>
    <w:rsid w:val="68EB08E4"/>
    <w:rsid w:val="68FC1F4F"/>
    <w:rsid w:val="6921668A"/>
    <w:rsid w:val="69511A57"/>
    <w:rsid w:val="69625C4C"/>
    <w:rsid w:val="698103D5"/>
    <w:rsid w:val="69C3431F"/>
    <w:rsid w:val="6A3F6638"/>
    <w:rsid w:val="6A50457D"/>
    <w:rsid w:val="6A5F216E"/>
    <w:rsid w:val="6A7A5754"/>
    <w:rsid w:val="6A7D50A2"/>
    <w:rsid w:val="6B206054"/>
    <w:rsid w:val="6B5F4FBF"/>
    <w:rsid w:val="6B69606D"/>
    <w:rsid w:val="6B7644BC"/>
    <w:rsid w:val="6B861377"/>
    <w:rsid w:val="6B95307F"/>
    <w:rsid w:val="6BFC7302"/>
    <w:rsid w:val="6C2E3BA6"/>
    <w:rsid w:val="6C416227"/>
    <w:rsid w:val="6CA145AD"/>
    <w:rsid w:val="6D526D91"/>
    <w:rsid w:val="6D7875A9"/>
    <w:rsid w:val="6DE07243"/>
    <w:rsid w:val="6E046791"/>
    <w:rsid w:val="6E144DE4"/>
    <w:rsid w:val="6E2D74AE"/>
    <w:rsid w:val="6E312085"/>
    <w:rsid w:val="6E5122D2"/>
    <w:rsid w:val="6E636CC3"/>
    <w:rsid w:val="6E9C4850"/>
    <w:rsid w:val="6EE113A4"/>
    <w:rsid w:val="6EE24BC0"/>
    <w:rsid w:val="6F027274"/>
    <w:rsid w:val="6FAE120F"/>
    <w:rsid w:val="6FBA526F"/>
    <w:rsid w:val="701F35FD"/>
    <w:rsid w:val="70B33A3E"/>
    <w:rsid w:val="70B46155"/>
    <w:rsid w:val="70DF3DA7"/>
    <w:rsid w:val="712D79C9"/>
    <w:rsid w:val="716965A9"/>
    <w:rsid w:val="71884FD2"/>
    <w:rsid w:val="723A0647"/>
    <w:rsid w:val="724A458E"/>
    <w:rsid w:val="725569FB"/>
    <w:rsid w:val="72BA6E26"/>
    <w:rsid w:val="731450B2"/>
    <w:rsid w:val="7333622D"/>
    <w:rsid w:val="733B674E"/>
    <w:rsid w:val="73752023"/>
    <w:rsid w:val="73ED0347"/>
    <w:rsid w:val="742F2894"/>
    <w:rsid w:val="743F758E"/>
    <w:rsid w:val="744A35ED"/>
    <w:rsid w:val="74516EE2"/>
    <w:rsid w:val="74670D8A"/>
    <w:rsid w:val="74716FFF"/>
    <w:rsid w:val="74E80303"/>
    <w:rsid w:val="74F80974"/>
    <w:rsid w:val="7506350D"/>
    <w:rsid w:val="75402655"/>
    <w:rsid w:val="755B7940"/>
    <w:rsid w:val="759A0CE2"/>
    <w:rsid w:val="75D53365"/>
    <w:rsid w:val="76487B10"/>
    <w:rsid w:val="764A6C3A"/>
    <w:rsid w:val="765640F7"/>
    <w:rsid w:val="76D50FF0"/>
    <w:rsid w:val="770B295E"/>
    <w:rsid w:val="771A18F3"/>
    <w:rsid w:val="77373B06"/>
    <w:rsid w:val="77F63914"/>
    <w:rsid w:val="77FB8AB8"/>
    <w:rsid w:val="78052F27"/>
    <w:rsid w:val="78072DCC"/>
    <w:rsid w:val="781E63F4"/>
    <w:rsid w:val="789336DE"/>
    <w:rsid w:val="78F970D1"/>
    <w:rsid w:val="79570EE4"/>
    <w:rsid w:val="79E47614"/>
    <w:rsid w:val="79F423DC"/>
    <w:rsid w:val="79FE4A1F"/>
    <w:rsid w:val="7A5A5248"/>
    <w:rsid w:val="7A83793A"/>
    <w:rsid w:val="7AB35237"/>
    <w:rsid w:val="7AEA1CF5"/>
    <w:rsid w:val="7BA07ADE"/>
    <w:rsid w:val="7BDE6451"/>
    <w:rsid w:val="7BDFF51E"/>
    <w:rsid w:val="7BE7517F"/>
    <w:rsid w:val="7C135965"/>
    <w:rsid w:val="7CE23A88"/>
    <w:rsid w:val="7D1C21B1"/>
    <w:rsid w:val="7D1F075D"/>
    <w:rsid w:val="7D756880"/>
    <w:rsid w:val="7D8A2FB5"/>
    <w:rsid w:val="7DE7428C"/>
    <w:rsid w:val="7DF42B5D"/>
    <w:rsid w:val="7DFD1180"/>
    <w:rsid w:val="7E466B1C"/>
    <w:rsid w:val="7E7A11B7"/>
    <w:rsid w:val="7E7DBA60"/>
    <w:rsid w:val="7F4D320A"/>
    <w:rsid w:val="7F625F8B"/>
    <w:rsid w:val="7F67D8F7"/>
    <w:rsid w:val="7F8B101F"/>
    <w:rsid w:val="7FA704C2"/>
    <w:rsid w:val="7FBB9995"/>
    <w:rsid w:val="9B8D50F7"/>
    <w:rsid w:val="9CCBC00C"/>
    <w:rsid w:val="AFEFD942"/>
    <w:rsid w:val="D75F112E"/>
    <w:rsid w:val="E13DEFE1"/>
    <w:rsid w:val="EDBC5E23"/>
    <w:rsid w:val="EDFF95D6"/>
    <w:rsid w:val="F6EBC562"/>
    <w:rsid w:val="F6FB21C2"/>
    <w:rsid w:val="F7FE7EDD"/>
    <w:rsid w:val="FDFDB758"/>
    <w:rsid w:val="FEEFEA31"/>
    <w:rsid w:val="FFF48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rPr>
      <w:rFonts w:asciiTheme="minorHAnsi" w:hAnsiTheme="minorHAnsi" w:eastAsiaTheme="minorEastAsia" w:cstheme="minorBidi"/>
      <w:color w:val="2E74B5"/>
      <w:sz w:val="32"/>
      <w:szCs w:val="32"/>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szCs w:val="24"/>
    </w:r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6">
    <w:name w:val="annotation text"/>
    <w:basedOn w:val="1"/>
    <w:qFormat/>
    <w:uiPriority w:val="0"/>
    <w:pPr>
      <w:jc w:val="left"/>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footnote text"/>
    <w:basedOn w:val="1"/>
    <w:qFormat/>
    <w:uiPriority w:val="0"/>
    <w:pPr>
      <w:snapToGrid w:val="0"/>
      <w:jc w:val="left"/>
    </w:pPr>
    <w:rPr>
      <w:sz w:val="18"/>
    </w:rPr>
  </w:style>
  <w:style w:type="paragraph" w:styleId="12">
    <w:name w:val="toc 2"/>
    <w:basedOn w:val="1"/>
    <w:next w:val="1"/>
    <w:qFormat/>
    <w:uiPriority w:val="0"/>
    <w:pPr>
      <w:ind w:left="420" w:left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0"/>
    <w:rPr>
      <w:color w:val="0000FF"/>
      <w:u w:val="single"/>
    </w:rPr>
  </w:style>
  <w:style w:type="character" w:styleId="17">
    <w:name w:val="footnote reference"/>
    <w:basedOn w:val="15"/>
    <w:qFormat/>
    <w:uiPriority w:val="0"/>
    <w:rPr>
      <w:vertAlign w:val="superscript"/>
    </w:rPr>
  </w:style>
  <w:style w:type="character" w:customStyle="1" w:styleId="18">
    <w:name w:val="font21"/>
    <w:basedOn w:val="15"/>
    <w:qFormat/>
    <w:uiPriority w:val="0"/>
    <w:rPr>
      <w:rFonts w:hint="eastAsia" w:ascii="仿宋_GB2312" w:eastAsia="仿宋_GB2312" w:cs="仿宋_GB2312"/>
      <w:color w:val="000000"/>
      <w:sz w:val="18"/>
      <w:szCs w:val="18"/>
      <w:u w:val="none"/>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 w:type="paragraph" w:customStyle="1" w:styleId="21">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14284</Words>
  <Characters>14628</Characters>
  <Lines>0</Lines>
  <Paragraphs>0</Paragraphs>
  <TotalTime>7</TotalTime>
  <ScaleCrop>false</ScaleCrop>
  <LinksUpToDate>false</LinksUpToDate>
  <CharactersWithSpaces>15149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2023-04-23T21:47:00Z</dcterms:created>
  <dc:creator>齐少志</dc:creator>
  <cp:lastModifiedBy>yang</cp:lastModifiedBy>
  <dcterms:modified xsi:type="dcterms:W3CDTF">2026-07-08T08:30:42Z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E6F4AAE5994148EBB7207E6F91CF1A3B</vt:lpwstr>
  </property>
</Properties>
</file>