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23572795"/>
      <w:bookmarkStart w:id="1" w:name="_Toc371453820"/>
      <w:bookmarkStart w:id="2" w:name="_Toc339216643"/>
      <w:bookmarkStart w:id="3" w:name="_Toc274902993"/>
      <w:bookmarkStart w:id="4" w:name="_Toc339216642"/>
      <w:bookmarkStart w:id="5" w:name="_Toc371343936"/>
      <w:bookmarkStart w:id="6" w:name="_Toc274903054"/>
      <w:bookmarkStart w:id="7" w:name="_Toc371453819"/>
      <w:bookmarkStart w:id="8" w:name="_Toc244916004"/>
      <w:bookmarkStart w:id="9" w:name="_Toc371343937"/>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-892810</wp:posOffset>
            </wp:positionH>
            <wp:positionV relativeFrom="paragraph">
              <wp:posOffset>-895350</wp:posOffset>
            </wp:positionV>
            <wp:extent cx="7765415" cy="10979150"/>
            <wp:effectExtent l="0" t="0" r="6985" b="0"/>
            <wp:wrapNone/>
            <wp:docPr id="8"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0"/>
                    <a:srcRect/>
                    <a:stretch>
                      <a:fillRect/>
                    </a:stretch>
                  </pic:blipFill>
                  <pic:spPr>
                    <a:xfrm>
                      <a:off x="0" y="0"/>
                      <a:ext cx="7765415" cy="10979150"/>
                    </a:xfrm>
                    <a:prstGeom prst="rect">
                      <a:avLst/>
                    </a:prstGeom>
                    <a:noFill/>
                    <a:ln w="9525">
                      <a:noFill/>
                      <a:miter lim="800000"/>
                      <a:headEnd/>
                      <a:tailEnd/>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ascii="黑体" w:hAnsi="黑体" w:eastAsia="黑体"/>
          <w:b w:val="0"/>
          <w:bCs/>
          <w:color w:val="auto"/>
          <w:sz w:val="32"/>
          <w:szCs w:val="32"/>
          <w:highlight w:val="none"/>
        </w:rPr>
      </w:pPr>
      <w:r>
        <w:rPr>
          <w:rFonts w:hint="eastAsia" w:eastAsia="黑体"/>
          <w:b/>
          <w:color w:val="auto"/>
          <w:sz w:val="48"/>
          <w:szCs w:val="48"/>
          <w:highlight w:val="none"/>
          <w:lang w:eastAsia="zh-CN"/>
        </w:rPr>
        <w:t>超高压大理局2026年换流站户外拆卸式安全围栏研制零星采购项目</w:t>
      </w:r>
    </w:p>
    <w:p>
      <w:pPr>
        <w:jc w:val="center"/>
        <w:rPr>
          <w:rFonts w:ascii="黑体" w:hAnsi="黑体" w:eastAsia="黑体"/>
          <w:b/>
          <w:color w:val="auto"/>
          <w:sz w:val="32"/>
          <w:szCs w:val="32"/>
          <w:highlight w:val="none"/>
        </w:rPr>
      </w:pPr>
    </w:p>
    <w:p>
      <w:pPr>
        <w:pStyle w:val="2"/>
        <w:rPr>
          <w:rFonts w:ascii="黑体" w:hAnsi="黑体" w:eastAsia="黑体"/>
          <w:b/>
          <w:color w:val="auto"/>
          <w:sz w:val="32"/>
          <w:szCs w:val="32"/>
          <w:highlight w:val="none"/>
        </w:rPr>
      </w:pPr>
    </w:p>
    <w:p>
      <w:pPr>
        <w:pStyle w:val="3"/>
        <w:rPr>
          <w:rFonts w:ascii="黑体" w:hAnsi="黑体" w:eastAsia="黑体"/>
          <w:b/>
          <w:color w:val="auto"/>
          <w:sz w:val="32"/>
          <w:szCs w:val="32"/>
          <w:highlight w:val="none"/>
        </w:rPr>
      </w:pPr>
    </w:p>
    <w:p>
      <w:pPr>
        <w:rPr>
          <w:rFonts w:ascii="黑体" w:hAnsi="黑体" w:eastAsia="黑体"/>
          <w:b/>
          <w:color w:val="auto"/>
          <w:sz w:val="32"/>
          <w:szCs w:val="32"/>
          <w:highlight w:val="none"/>
        </w:rPr>
      </w:pPr>
    </w:p>
    <w:p>
      <w:pPr>
        <w:pStyle w:val="2"/>
        <w:rPr>
          <w:rFonts w:ascii="黑体" w:hAnsi="黑体" w:eastAsia="黑体"/>
          <w:b/>
          <w:color w:val="auto"/>
          <w:sz w:val="32"/>
          <w:szCs w:val="32"/>
          <w:highlight w:val="none"/>
        </w:rPr>
      </w:pPr>
    </w:p>
    <w:p>
      <w:pPr>
        <w:pStyle w:val="3"/>
        <w:rPr>
          <w:rFonts w:ascii="黑体" w:hAnsi="黑体" w:eastAsia="黑体"/>
          <w:b/>
          <w:color w:val="auto"/>
          <w:sz w:val="32"/>
          <w:szCs w:val="32"/>
          <w:highlight w:val="none"/>
        </w:rPr>
      </w:pPr>
    </w:p>
    <w:p>
      <w:pPr>
        <w:rPr>
          <w:rFonts w:ascii="黑体" w:hAnsi="黑体" w:eastAsia="黑体"/>
          <w:b/>
          <w:color w:val="auto"/>
          <w:sz w:val="32"/>
          <w:szCs w:val="32"/>
          <w:highlight w:val="none"/>
        </w:rPr>
      </w:pPr>
    </w:p>
    <w:p>
      <w:pPr>
        <w:pStyle w:val="2"/>
        <w:rPr>
          <w:rFonts w:ascii="黑体" w:hAnsi="黑体" w:eastAsia="黑体"/>
          <w:b/>
          <w:color w:val="auto"/>
          <w:sz w:val="32"/>
          <w:szCs w:val="32"/>
          <w:highlight w:val="none"/>
        </w:rPr>
      </w:pPr>
    </w:p>
    <w:p>
      <w:pPr>
        <w:pStyle w:val="3"/>
        <w:rPr>
          <w:rFonts w:ascii="黑体" w:hAnsi="黑体" w:eastAsia="黑体"/>
          <w:b/>
          <w:color w:val="auto"/>
          <w:sz w:val="32"/>
          <w:szCs w:val="32"/>
          <w:highlight w:val="none"/>
        </w:rPr>
      </w:pPr>
    </w:p>
    <w:p>
      <w:pPr>
        <w:rPr>
          <w:rFonts w:ascii="黑体" w:hAnsi="黑体" w:eastAsia="黑体"/>
          <w:b/>
          <w:color w:val="auto"/>
          <w:sz w:val="32"/>
          <w:szCs w:val="32"/>
          <w:highlight w:val="none"/>
        </w:rPr>
      </w:pPr>
    </w:p>
    <w:p>
      <w:pPr>
        <w:pStyle w:val="2"/>
        <w:rPr>
          <w:rFonts w:ascii="黑体" w:hAnsi="黑体" w:eastAsia="黑体"/>
          <w:b/>
          <w:color w:val="auto"/>
          <w:sz w:val="32"/>
          <w:szCs w:val="32"/>
          <w:highlight w:val="none"/>
        </w:rPr>
      </w:pPr>
    </w:p>
    <w:p>
      <w:pPr>
        <w:pStyle w:val="3"/>
      </w:pPr>
      <w:bookmarkStart w:id="15" w:name="_GoBack"/>
      <w:bookmarkEnd w:id="15"/>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2336" behindDoc="1" locked="0" layoutInCell="1" allowOverlap="1">
                <wp:simplePos x="0" y="0"/>
                <wp:positionH relativeFrom="column">
                  <wp:posOffset>687705</wp:posOffset>
                </wp:positionH>
                <wp:positionV relativeFrom="paragraph">
                  <wp:posOffset>222885</wp:posOffset>
                </wp:positionV>
                <wp:extent cx="4545965" cy="1525270"/>
                <wp:effectExtent l="0" t="0" r="0" b="0"/>
                <wp:wrapTight wrapText="bothSides">
                  <wp:wrapPolygon>
                    <wp:start x="434" y="647"/>
                    <wp:lineTo x="21166" y="647"/>
                    <wp:lineTo x="21166" y="20953"/>
                    <wp:lineTo x="434" y="20953"/>
                    <wp:lineTo x="434" y="647"/>
                  </wp:wrapPolygon>
                </wp:wrapTight>
                <wp:docPr id="14" name="文本框 14"/>
                <wp:cNvGraphicFramePr/>
                <a:graphic xmlns:a="http://schemas.openxmlformats.org/drawingml/2006/main">
                  <a:graphicData uri="http://schemas.microsoft.com/office/word/2010/wordprocessingShape">
                    <wps:wsp>
                      <wps:cNvSpPr txBox="1"/>
                      <wps:spPr>
                        <a:xfrm>
                          <a:off x="0" y="0"/>
                          <a:ext cx="4545965" cy="1525270"/>
                        </a:xfrm>
                        <a:prstGeom prst="rect">
                          <a:avLst/>
                        </a:prstGeom>
                        <a:noFill/>
                        <a:ln>
                          <a:noFill/>
                        </a:ln>
                      </wps:spPr>
                      <wps:txb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pPr>
                              <w:pStyle w:val="2"/>
                              <w:rPr>
                                <w:rFonts w:hint="eastAsia"/>
                                <w:lang w:val="en-US" w:eastAsia="zh-CN"/>
                              </w:rPr>
                            </w:pP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二〇二六年七月</w:t>
                            </w:r>
                          </w:p>
                        </w:txbxContent>
                      </wps:txbx>
                      <wps:bodyPr upright="1"/>
                    </wps:wsp>
                  </a:graphicData>
                </a:graphic>
              </wp:anchor>
            </w:drawing>
          </mc:Choice>
          <mc:Fallback>
            <w:pict>
              <v:shape id="_x0000_s1026" o:spid="_x0000_s1026" o:spt="202" type="#_x0000_t202" style="position:absolute;left:0pt;margin-left:54.15pt;margin-top:17.55pt;height:120.1pt;width:357.95pt;mso-wrap-distance-left:9pt;mso-wrap-distance-right:9pt;z-index:-251654144;mso-width-relative:page;mso-height-relative:page;" filled="f" stroked="f" coordsize="21600,21600" wrapcoords="434 647 21166 647 21166 20953 434 20953 434 647" o:gfxdata="UEsDBAoAAAAAAIdO4kAAAAAAAAAAAAAAAAAEAAAAZHJzL1BLAwQUAAAACACHTuJAElw2HdcAAAAK&#10;AQAADwAAAGRycy9kb3ducmV2LnhtbE2PwU7DMBBE70j8g7VI3KidpIEQ4vQA4gqiQKXe3HibRMTr&#10;KHab8PcsJziO9mnmbbVZ3CDOOIXek4ZkpUAgNd721Gr4eH++KUCEaMiawRNq+MYAm/ryojKl9TO9&#10;4XkbW8ElFEqjoYtxLKUMTYfOhJUfkfh29JMzkePUSjuZmcvdIFOlbqUzPfFCZ0Z87LD52p6chs+X&#10;4363Vq/tk8vH2S9KkruXWl9fJeoBRMQl/sHwq8/qULPTwZ/IBjFwVkXGqIYsT0AwUKTrFMRBQ3qX&#10;ZyDrSv5/of4BUEsDBBQAAAAIAIdO4kCJHTGJsAEAAFEDAAAOAAAAZHJzL2Uyb0RvYy54bWytU8Fu&#10;EzEQvSPxD5bvZJMoW2CVTaUqKhcESKUf4HjtrCXbY3mc7OYH4A84ceHOd+U7GDtpCuXSQy9ee+bt&#10;m3lv7OX16Czbq4gGfMtnkylnykvojN+2/P7r7Zt3nGESvhMWvGr5QSG/Xr1+tRxCo+bQg+1UZETi&#10;sRlCy/uUQlNVKHvlBE4gKE9JDdGJRMe4rbooBmJ3tppPp1fVALELEaRCpOj6lORnxvgcQtDaSLUG&#10;uXPKpxNrVFYkkoS9CchXpVutlUyftUaVmG05KU1lpSK03+S1Wi1Fs40i9EaeWxDPaeGJJieMp6IX&#10;qrVIgu2i+Y/KGRkBQaeJBFedhBRHSMVs+sSbu14EVbSQ1RgupuPL0cpP+y+RmY5uwoIzLxxN/Pjj&#10;+/Hn7+Ovb4xiZNAQsCHcXSBkGm9gJPBDHCmYdY86uvwlRYzyZO/hYq8aE5MUXNSL+v1VzZmk3Kye&#10;1/O3ZQDV4+8hYvqgwLG8aXmk+RVbxf4jJmqFoA+QXM3DrbG2zND6fwIEzJEq937qMe/SuBnPgjbQ&#10;HUjPLkSz7alUUVTg5HQpdL4VeZR/nwvp40tY/Q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SXDYd&#10;1wAAAAoBAAAPAAAAAAAAAAEAIAAAACIAAABkcnMvZG93bnJldi54bWxQSwECFAAUAAAACACHTuJA&#10;iR0xibABAABRAwAADgAAAAAAAAABACAAAAAmAQAAZHJzL2Uyb0RvYy54bWxQSwUGAAAAAAYABgBZ&#10;AQAASAUAAAAA&#10;">
                <v:fill on="f" focussize="0,0"/>
                <v:stroke on="f"/>
                <v:imagedata o:title=""/>
                <o:lock v:ext="edit" aspectratio="f"/>
                <v:textbo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pPr>
                        <w:pStyle w:val="2"/>
                        <w:rPr>
                          <w:rFonts w:hint="eastAsia"/>
                          <w:lang w:val="en-US" w:eastAsia="zh-CN"/>
                        </w:rPr>
                      </w:pP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二〇二六年七月</w:t>
                      </w:r>
                    </w:p>
                  </w:txbxContent>
                </v:textbox>
                <w10:wrap type="tight"/>
              </v:shape>
            </w:pict>
          </mc:Fallback>
        </mc:AlternateContent>
      </w:r>
    </w:p>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153697"/>
      <w:bookmarkStart w:id="11" w:name="_Toc369269815"/>
      <w:bookmarkStart w:id="12" w:name="_Toc399839020"/>
      <w:bookmarkStart w:id="13" w:name="_Toc371344042"/>
      <w:bookmarkStart w:id="14" w:name="_Toc372699294"/>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超高压大理局2026年换流站户外拆卸式安全围栏研制零星采购项目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eastAsia" w:ascii="宋体" w:hAnsi="宋体" w:eastAsia="宋体" w:cs="Times New Roman"/>
          <w:b w:val="0"/>
          <w:bCs w:val="0"/>
          <w:color w:val="auto"/>
          <w:sz w:val="24"/>
          <w:highlight w:val="none"/>
          <w:lang w:eastAsia="zh-CN"/>
        </w:rPr>
      </w:pPr>
      <w:r>
        <w:rPr>
          <w:rFonts w:hint="eastAsia" w:ascii="宋体" w:hAnsi="宋体" w:eastAsia="宋体" w:cs="Times New Roman"/>
          <w:b w:val="0"/>
          <w:bCs w:val="0"/>
          <w:color w:val="auto"/>
          <w:sz w:val="24"/>
          <w:highlight w:val="none"/>
        </w:rPr>
        <w:t>一次设备检修期间，户外检修区域需要用硬质围栏隔离，新松站硬质围栏均为金属材质，在户外容易生锈和损坏，同时容易被吹倒，需要运行人员一天内反复检查安措满足要求；且搬运较为困难，容易割伤运行人员。</w:t>
      </w:r>
      <w:r>
        <w:rPr>
          <w:rFonts w:hint="eastAsia" w:ascii="宋体" w:hAnsi="宋体" w:eastAsia="宋体" w:cs="Times New Roman"/>
          <w:b w:val="0"/>
          <w:bCs w:val="0"/>
          <w:color w:val="auto"/>
          <w:sz w:val="24"/>
          <w:highlight w:val="none"/>
          <w:lang w:eastAsia="zh-CN"/>
        </w:rPr>
        <w:t>本项目拟解决上述问题，主要开展以下研究：</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一是</w:t>
      </w:r>
      <w:r>
        <w:rPr>
          <w:rFonts w:hint="eastAsia" w:ascii="宋体" w:hAnsi="宋体"/>
          <w:b w:val="0"/>
          <w:bCs w:val="0"/>
          <w:color w:val="auto"/>
          <w:sz w:val="24"/>
          <w:highlight w:val="none"/>
          <w:lang w:eastAsia="zh-CN"/>
        </w:rPr>
        <w:t>协助</w:t>
      </w:r>
      <w:r>
        <w:rPr>
          <w:rFonts w:hint="eastAsia" w:ascii="宋体" w:hAnsi="宋体"/>
          <w:b w:val="0"/>
          <w:bCs w:val="0"/>
          <w:color w:val="auto"/>
          <w:sz w:val="24"/>
          <w:highlight w:val="none"/>
        </w:rPr>
        <w:t>研发在保证绝缘强度前提下，轻便、抗折断的新型材料。采用“</w:t>
      </w:r>
      <w:r>
        <w:rPr>
          <w:rFonts w:hint="eastAsia" w:ascii="宋体" w:hAnsi="宋体"/>
          <w:b w:val="0"/>
          <w:bCs w:val="0"/>
          <w:color w:val="auto"/>
          <w:sz w:val="24"/>
          <w:highlight w:val="none"/>
          <w:lang w:eastAsia="zh-CN"/>
        </w:rPr>
        <w:t>便携</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易组装</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的</w:t>
      </w:r>
      <w:r>
        <w:rPr>
          <w:rFonts w:hint="eastAsia" w:ascii="宋体" w:hAnsi="宋体"/>
          <w:b w:val="0"/>
          <w:bCs w:val="0"/>
          <w:color w:val="auto"/>
          <w:sz w:val="24"/>
          <w:highlight w:val="none"/>
        </w:rPr>
        <w:t>设计思路，</w:t>
      </w:r>
      <w:r>
        <w:rPr>
          <w:rFonts w:hint="eastAsia" w:ascii="宋体" w:hAnsi="宋体"/>
          <w:b w:val="0"/>
          <w:bCs w:val="0"/>
          <w:color w:val="auto"/>
          <w:sz w:val="24"/>
          <w:highlight w:val="none"/>
          <w:lang w:eastAsia="zh-CN"/>
        </w:rPr>
        <w:t>便于现场人员搬运、组装，同时各连接部分保证连接牢固，确保围栏具有一定的抗风能力，不因现场刮风而导致围栏倾倒，损坏</w:t>
      </w:r>
      <w:r>
        <w:rPr>
          <w:rFonts w:hint="eastAsia" w:ascii="宋体" w:hAnsi="宋体"/>
          <w:b w:val="0"/>
          <w:bCs w:val="0"/>
          <w:color w:val="auto"/>
          <w:sz w:val="24"/>
          <w:highlight w:val="none"/>
        </w:rPr>
        <w:t>。</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二是</w:t>
      </w:r>
      <w:r>
        <w:rPr>
          <w:rFonts w:hint="eastAsia" w:ascii="宋体" w:hAnsi="宋体"/>
          <w:b w:val="0"/>
          <w:bCs w:val="0"/>
          <w:color w:val="auto"/>
          <w:sz w:val="24"/>
          <w:highlight w:val="none"/>
          <w:lang w:eastAsia="zh-CN"/>
        </w:rPr>
        <w:t>协助</w:t>
      </w:r>
      <w:r>
        <w:rPr>
          <w:rFonts w:hint="eastAsia" w:ascii="宋体" w:hAnsi="宋体"/>
          <w:b w:val="0"/>
          <w:bCs w:val="0"/>
          <w:color w:val="auto"/>
          <w:sz w:val="24"/>
          <w:highlight w:val="none"/>
        </w:rPr>
        <w:t>实现人员临近预警功能。</w:t>
      </w:r>
      <w:r>
        <w:rPr>
          <w:rFonts w:hint="eastAsia" w:ascii="宋体" w:hAnsi="宋体"/>
          <w:b w:val="0"/>
          <w:bCs w:val="0"/>
          <w:color w:val="auto"/>
          <w:sz w:val="24"/>
          <w:highlight w:val="none"/>
          <w:lang w:eastAsia="zh-CN"/>
        </w:rPr>
        <w:t>在安全围栏上增加人员临近检测功能，检测到围栏内人员靠近围栏时发出警报，提示围栏内工作人员围栏外侧为带电区域，严禁翻越围栏</w:t>
      </w:r>
      <w:r>
        <w:rPr>
          <w:rFonts w:hint="eastAsia" w:ascii="宋体" w:hAnsi="宋体"/>
          <w:b w:val="0"/>
          <w:bCs w:val="0"/>
          <w:color w:val="auto"/>
          <w:sz w:val="24"/>
          <w:highlight w:val="none"/>
        </w:rPr>
        <w:t>。</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三是</w:t>
      </w:r>
      <w:r>
        <w:rPr>
          <w:rFonts w:hint="eastAsia" w:ascii="宋体" w:hAnsi="宋体"/>
          <w:b w:val="0"/>
          <w:bCs w:val="0"/>
          <w:color w:val="auto"/>
          <w:sz w:val="24"/>
          <w:highlight w:val="none"/>
          <w:lang w:eastAsia="zh-CN"/>
        </w:rPr>
        <w:t>协助</w:t>
      </w:r>
      <w:r>
        <w:rPr>
          <w:rFonts w:hint="eastAsia" w:ascii="宋体" w:hAnsi="宋体"/>
          <w:b w:val="0"/>
          <w:bCs w:val="0"/>
          <w:color w:val="auto"/>
          <w:sz w:val="24"/>
          <w:highlight w:val="none"/>
        </w:rPr>
        <w:t>开展</w:t>
      </w:r>
      <w:r>
        <w:rPr>
          <w:rFonts w:hint="eastAsia" w:ascii="宋体" w:hAnsi="宋体"/>
          <w:b w:val="0"/>
          <w:bCs w:val="0"/>
          <w:color w:val="auto"/>
          <w:sz w:val="24"/>
          <w:highlight w:val="none"/>
          <w:lang w:eastAsia="zh-CN"/>
        </w:rPr>
        <w:t>安全围栏的功能性测试</w:t>
      </w:r>
      <w:r>
        <w:rPr>
          <w:rFonts w:hint="eastAsia" w:ascii="宋体" w:hAnsi="宋体"/>
          <w:b w:val="0"/>
          <w:bCs w:val="0"/>
          <w:color w:val="auto"/>
          <w:sz w:val="24"/>
          <w:highlight w:val="none"/>
        </w:rPr>
        <w:t>。通过现场测试，</w:t>
      </w:r>
      <w:r>
        <w:rPr>
          <w:rFonts w:hint="eastAsia" w:ascii="宋体" w:hAnsi="宋体"/>
          <w:b w:val="0"/>
          <w:bCs w:val="0"/>
          <w:color w:val="auto"/>
          <w:sz w:val="24"/>
          <w:highlight w:val="none"/>
          <w:lang w:eastAsia="zh-CN"/>
        </w:rPr>
        <w:t>功能验证此安全围栏的实用性，确实提升现场工作效率，</w:t>
      </w:r>
      <w:r>
        <w:rPr>
          <w:rFonts w:hint="eastAsia" w:ascii="宋体" w:hAnsi="宋体"/>
          <w:b w:val="0"/>
          <w:bCs w:val="0"/>
          <w:color w:val="auto"/>
          <w:sz w:val="24"/>
          <w:highlight w:val="none"/>
        </w:rPr>
        <w:t>形成可</w:t>
      </w:r>
      <w:r>
        <w:rPr>
          <w:rFonts w:hint="eastAsia" w:ascii="宋体" w:hAnsi="宋体"/>
          <w:b w:val="0"/>
          <w:bCs w:val="0"/>
          <w:color w:val="auto"/>
          <w:sz w:val="24"/>
          <w:highlight w:val="none"/>
          <w:lang w:eastAsia="zh-CN"/>
        </w:rPr>
        <w:t>推广</w:t>
      </w:r>
      <w:r>
        <w:rPr>
          <w:rFonts w:hint="eastAsia" w:ascii="宋体" w:hAnsi="宋体"/>
          <w:b w:val="0"/>
          <w:bCs w:val="0"/>
          <w:color w:val="auto"/>
          <w:sz w:val="24"/>
          <w:highlight w:val="none"/>
        </w:rPr>
        <w:t>的</w:t>
      </w:r>
      <w:r>
        <w:rPr>
          <w:rFonts w:hint="eastAsia" w:ascii="宋体" w:hAnsi="宋体"/>
          <w:b w:val="0"/>
          <w:bCs w:val="0"/>
          <w:color w:val="auto"/>
          <w:sz w:val="24"/>
          <w:highlight w:val="none"/>
          <w:lang w:eastAsia="zh-CN"/>
        </w:rPr>
        <w:t>安全工器具相关案例</w:t>
      </w:r>
      <w:r>
        <w:rPr>
          <w:rFonts w:hint="eastAsia" w:ascii="宋体" w:hAnsi="宋体"/>
          <w:b w:val="0"/>
          <w:bCs w:val="0"/>
          <w:color w:val="auto"/>
          <w:sz w:val="24"/>
          <w:highlight w:val="none"/>
        </w:rPr>
        <w:t>。</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协助开展基于绝缘材料的可拆卸安全围栏研制，具体包括：</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1、配合主框架研制，在保证绝缘强度前提下，选取轻便、抗折断的新型材料制作，分为竖向主干杆和横向的围杆，竖向主干全长100cm，分别在离地30cm和70cm处设置横向围杆连接处；</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2、配合研制横向围杆（长120cm），两端设置连接处，方便与主杆和连接件连接，具有固定的连接件（卡扣）、主杆底座及专用的背包，可方便运输、具有较强的抗风能力；</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3、配合实现人员临近预警功能，报警提示靠近人员危险区域，将试制的围栏在现场进行性能测试、评估优化；</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4、交付成果：研制一套户外可拆卸快速布置安全围栏并提供第三方检测报告，配合开展技术创新总结提炼及保护、论文编写相关工作。</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7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57"/>
        <w:gridCol w:w="2547"/>
        <w:gridCol w:w="940"/>
        <w:gridCol w:w="957"/>
        <w:gridCol w:w="2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7" w:hRule="atLeast"/>
          <w:jc w:val="center"/>
        </w:trPr>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kern w:val="0"/>
                <w:sz w:val="21"/>
                <w:szCs w:val="21"/>
                <w:highlight w:val="none"/>
                <w:lang w:bidi="ar"/>
              </w:rPr>
              <w:t>序号</w:t>
            </w:r>
          </w:p>
        </w:tc>
        <w:tc>
          <w:tcPr>
            <w:tcW w:w="254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服务内容</w:t>
            </w:r>
          </w:p>
        </w:tc>
        <w:tc>
          <w:tcPr>
            <w:tcW w:w="94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1"/>
                <w:szCs w:val="21"/>
                <w:highlight w:val="none"/>
                <w:lang w:val="en-US" w:eastAsia="zh-CN" w:bidi="ar"/>
              </w:rPr>
            </w:pPr>
            <w:r>
              <w:rPr>
                <w:rFonts w:hint="eastAsia" w:asciiTheme="minorEastAsia" w:hAnsiTheme="minorEastAsia" w:eastAsiaTheme="minorEastAsia" w:cstheme="minorEastAsia"/>
                <w:b/>
                <w:bCs/>
                <w:color w:val="auto"/>
                <w:kern w:val="0"/>
                <w:sz w:val="21"/>
                <w:szCs w:val="21"/>
                <w:highlight w:val="none"/>
                <w:lang w:bidi="ar"/>
              </w:rPr>
              <w:t>单位</w:t>
            </w:r>
          </w:p>
        </w:tc>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1"/>
                <w:szCs w:val="21"/>
                <w:highlight w:val="none"/>
                <w:lang w:bidi="ar"/>
              </w:rPr>
            </w:pPr>
            <w:r>
              <w:rPr>
                <w:rFonts w:hint="eastAsia" w:asciiTheme="minorEastAsia" w:hAnsiTheme="minorEastAsia" w:eastAsiaTheme="minorEastAsia" w:cstheme="minorEastAsia"/>
                <w:b/>
                <w:bCs/>
                <w:color w:val="auto"/>
                <w:kern w:val="0"/>
                <w:sz w:val="21"/>
                <w:szCs w:val="21"/>
                <w:highlight w:val="none"/>
                <w:lang w:bidi="ar"/>
              </w:rPr>
              <w:t>数量</w:t>
            </w:r>
          </w:p>
        </w:tc>
        <w:tc>
          <w:tcPr>
            <w:tcW w:w="2456" w:type="dxa"/>
            <w:tcBorders>
              <w:tl2br w:val="nil"/>
              <w:tr2bl w:val="nil"/>
            </w:tcBorders>
            <w:shd w:val="clear" w:color="auto" w:fill="auto"/>
            <w:vAlign w:val="center"/>
          </w:tcPr>
          <w:p>
            <w:pPr>
              <w:widowControl/>
              <w:jc w:val="center"/>
              <w:textAlignment w:val="center"/>
              <w:rPr>
                <w:rFonts w:ascii="宋体" w:hAnsi="宋体" w:cs="宋体"/>
                <w:b/>
                <w:color w:val="auto"/>
                <w:kern w:val="0"/>
                <w:sz w:val="21"/>
                <w:szCs w:val="21"/>
                <w:highlight w:val="none"/>
                <w:lang w:bidi="ar"/>
              </w:rPr>
            </w:pPr>
            <w:r>
              <w:rPr>
                <w:rFonts w:hint="eastAsia" w:ascii="宋体" w:hAnsi="宋体" w:cs="宋体"/>
                <w:b/>
                <w:color w:val="auto"/>
                <w:kern w:val="0"/>
                <w:sz w:val="21"/>
                <w:szCs w:val="21"/>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8" w:hRule="atLeast"/>
          <w:jc w:val="center"/>
        </w:trPr>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bidi="ar"/>
              </w:rPr>
              <w:t>1</w:t>
            </w:r>
          </w:p>
        </w:tc>
        <w:tc>
          <w:tcPr>
            <w:tcW w:w="2547"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sz w:val="21"/>
                <w:szCs w:val="21"/>
                <w:highlight w:val="none"/>
                <w:lang w:val="en-US" w:eastAsia="zh-CN"/>
              </w:rPr>
            </w:pPr>
            <w:r>
              <w:rPr>
                <w:rFonts w:hint="eastAsia"/>
                <w:sz w:val="21"/>
                <w:szCs w:val="21"/>
                <w:lang w:eastAsia="zh-CN"/>
              </w:rPr>
              <w:t>协助</w:t>
            </w:r>
            <w:r>
              <w:rPr>
                <w:rFonts w:hint="eastAsia" w:ascii="宋体" w:hAnsi="宋体"/>
                <w:color w:val="auto"/>
                <w:sz w:val="21"/>
                <w:szCs w:val="21"/>
                <w:highlight w:val="none"/>
                <w:lang w:eastAsia="zh-CN"/>
              </w:rPr>
              <w:t>户外可拆卸快速布置安全围栏研制</w:t>
            </w:r>
          </w:p>
        </w:tc>
        <w:tc>
          <w:tcPr>
            <w:tcW w:w="940" w:type="dxa"/>
            <w:tcBorders>
              <w:tl2br w:val="nil"/>
              <w:tr2bl w:val="nil"/>
            </w:tcBorders>
            <w:shd w:val="clear" w:color="auto" w:fill="auto"/>
            <w:vAlign w:val="center"/>
          </w:tcPr>
          <w:p>
            <w:pPr>
              <w:adjustRightInd w:val="0"/>
              <w:snapToGrid w:val="0"/>
              <w:spacing w:line="360" w:lineRule="auto"/>
              <w:jc w:val="center"/>
              <w:rPr>
                <w:rFonts w:hint="eastAsia" w:ascii="宋体" w:hAnsi="宋体" w:eastAsia="宋体" w:cs="宋体"/>
                <w:b w:val="0"/>
                <w:bCs w:val="0"/>
                <w:color w:val="auto"/>
                <w:kern w:val="0"/>
                <w:sz w:val="21"/>
                <w:szCs w:val="21"/>
                <w:lang w:val="en-US" w:eastAsia="zh-CN" w:bidi="ar-SA"/>
              </w:rPr>
            </w:pPr>
            <w:r>
              <w:rPr>
                <w:rFonts w:hint="eastAsia" w:ascii="宋体" w:hAnsi="宋体" w:cs="宋体"/>
                <w:b w:val="0"/>
                <w:bCs w:val="0"/>
                <w:color w:val="auto"/>
                <w:kern w:val="0"/>
                <w:sz w:val="21"/>
                <w:szCs w:val="21"/>
                <w:lang w:val="en-US" w:eastAsia="zh-CN"/>
              </w:rPr>
              <w:t>项</w:t>
            </w:r>
          </w:p>
        </w:tc>
        <w:tc>
          <w:tcPr>
            <w:tcW w:w="957"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 xml:space="preserve">1 </w:t>
            </w:r>
          </w:p>
        </w:tc>
        <w:tc>
          <w:tcPr>
            <w:tcW w:w="2456"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详见技术要求3</w:t>
            </w:r>
          </w:p>
        </w:tc>
      </w:tr>
      <w:bookmarkEnd w:id="10"/>
      <w:bookmarkEnd w:id="11"/>
      <w:bookmarkEnd w:id="12"/>
      <w:bookmarkEnd w:id="13"/>
      <w:bookmarkEnd w:id="14"/>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质保期及售后服务响应要求：产品质保期不少于1年，质保期内有任何质量问题将免费进行修理、更换；售后服务的响应时间在4小时内；提供技术支持。</w:t>
      </w:r>
    </w:p>
    <w:p>
      <w:pPr>
        <w:spacing w:line="360" w:lineRule="auto"/>
        <w:ind w:firstLine="480" w:firstLineChars="200"/>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交付时间及地点要求：产品交货时间为202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pPr>
        <w:spacing w:line="360" w:lineRule="auto"/>
        <w:ind w:firstLine="480" w:firstLineChars="200"/>
        <w:rPr>
          <w:rFonts w:hint="default"/>
          <w:highlight w:val="yellow"/>
          <w:lang w:val="en-US"/>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采购人和成交供应商应当在零星采购成交通知书发出之日起30日内，根据询价材料和成交供应商的报价文件订立书面合同，</w:t>
      </w:r>
      <w:r>
        <w:rPr>
          <w:rFonts w:hint="eastAsia" w:ascii="宋体" w:hAnsi="宋体" w:cs="宋体"/>
          <w:b/>
          <w:bCs/>
          <w:color w:val="auto"/>
          <w:sz w:val="24"/>
          <w:highlight w:val="none"/>
          <w:lang w:val="en-US" w:eastAsia="zh-CN"/>
        </w:rPr>
        <w:t>《合同条款及格式》详见附件2；</w:t>
      </w:r>
      <w:r>
        <w:rPr>
          <w:rFonts w:hint="eastAsia" w:ascii="宋体" w:hAnsi="宋体" w:cs="宋体"/>
          <w:b w:val="0"/>
          <w:bCs w:val="0"/>
          <w:color w:val="auto"/>
          <w:sz w:val="24"/>
          <w:highlight w:val="none"/>
          <w:lang w:val="en-US" w:eastAsia="zh-CN"/>
        </w:rPr>
        <w:t>合同签署完成后，</w:t>
      </w:r>
      <w:r>
        <w:rPr>
          <w:rFonts w:hint="eastAsia" w:ascii="宋体" w:hAnsi="宋体" w:cs="宋体"/>
          <w:color w:val="auto"/>
          <w:sz w:val="24"/>
          <w:highlight w:val="none"/>
          <w:lang w:val="en-US" w:eastAsia="zh-CN"/>
        </w:rPr>
        <w:t>成交供应商应当在3个月内完成技术合同认定登记。</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2409"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531"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单位</w:t>
            </w:r>
          </w:p>
        </w:tc>
        <w:tc>
          <w:tcPr>
            <w:tcW w:w="681"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数量</w:t>
            </w:r>
          </w:p>
        </w:tc>
        <w:tc>
          <w:tcPr>
            <w:tcW w:w="1108"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单价（元）</w:t>
            </w:r>
          </w:p>
        </w:tc>
        <w:tc>
          <w:tcPr>
            <w:tcW w:w="1214"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总价（元）</w:t>
            </w:r>
          </w:p>
        </w:tc>
        <w:tc>
          <w:tcPr>
            <w:tcW w:w="2182" w:type="dxa"/>
            <w:vAlign w:val="center"/>
          </w:tcPr>
          <w:p>
            <w:pPr>
              <w:adjustRightInd w:val="0"/>
              <w:snapToGrid w:val="0"/>
              <w:spacing w:line="360" w:lineRule="auto"/>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pPr>
              <w:adjustRightInd w:val="0"/>
              <w:snapToGrid w:val="0"/>
              <w:spacing w:line="360" w:lineRule="auto"/>
              <w:jc w:val="center"/>
              <w:rPr>
                <w:rFonts w:hint="eastAsia" w:ascii="宋体" w:hAnsi="宋体" w:cs="宋体"/>
                <w:b/>
                <w:bCs/>
                <w:color w:val="auto"/>
                <w:kern w:val="0"/>
                <w:sz w:val="21"/>
                <w:szCs w:val="21"/>
              </w:rPr>
            </w:pPr>
            <w:r>
              <w:rPr>
                <w:rFonts w:hint="eastAsia" w:ascii="宋体" w:hAnsi="宋体" w:cs="宋体"/>
                <w:color w:val="auto"/>
                <w:kern w:val="0"/>
                <w:sz w:val="21"/>
                <w:szCs w:val="21"/>
              </w:rPr>
              <w:t>1</w:t>
            </w:r>
          </w:p>
        </w:tc>
        <w:tc>
          <w:tcPr>
            <w:tcW w:w="2409" w:type="dxa"/>
            <w:vAlign w:val="center"/>
          </w:tcPr>
          <w:p>
            <w:pPr>
              <w:adjustRightInd w:val="0"/>
              <w:snapToGrid w:val="0"/>
              <w:spacing w:line="240" w:lineRule="auto"/>
              <w:jc w:val="center"/>
              <w:rPr>
                <w:rFonts w:hint="eastAsia"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超高压大理局2026年换流站户外拆卸式安全围栏研制零星采购项目</w:t>
            </w:r>
          </w:p>
        </w:tc>
        <w:tc>
          <w:tcPr>
            <w:tcW w:w="531" w:type="dxa"/>
            <w:vAlign w:val="center"/>
          </w:tcPr>
          <w:p>
            <w:pPr>
              <w:adjustRightInd w:val="0"/>
              <w:snapToGrid w:val="0"/>
              <w:spacing w:line="360" w:lineRule="auto"/>
              <w:jc w:val="center"/>
              <w:rPr>
                <w:rFonts w:hint="eastAsia" w:ascii="宋体" w:hAnsi="宋体" w:eastAsia="宋体" w:cs="宋体"/>
                <w:b w:val="0"/>
                <w:bCs w:val="0"/>
                <w:color w:val="auto"/>
                <w:kern w:val="0"/>
                <w:sz w:val="21"/>
                <w:szCs w:val="21"/>
                <w:lang w:eastAsia="zh-CN"/>
              </w:rPr>
            </w:pPr>
            <w:r>
              <w:rPr>
                <w:rFonts w:hint="eastAsia" w:ascii="宋体" w:hAnsi="宋体" w:cs="宋体"/>
                <w:b w:val="0"/>
                <w:bCs w:val="0"/>
                <w:color w:val="auto"/>
                <w:kern w:val="0"/>
                <w:sz w:val="21"/>
                <w:szCs w:val="21"/>
                <w:lang w:val="en-US" w:eastAsia="zh-CN"/>
              </w:rPr>
              <w:t>项</w:t>
            </w:r>
          </w:p>
        </w:tc>
        <w:tc>
          <w:tcPr>
            <w:tcW w:w="681" w:type="dxa"/>
            <w:vAlign w:val="center"/>
          </w:tcPr>
          <w:p>
            <w:pPr>
              <w:adjustRightInd w:val="0"/>
              <w:snapToGrid w:val="0"/>
              <w:spacing w:line="360" w:lineRule="auto"/>
              <w:jc w:val="center"/>
              <w:rPr>
                <w:rFonts w:hint="eastAsia" w:ascii="宋体" w:hAnsi="宋体" w:cs="宋体"/>
                <w:b w:val="0"/>
                <w:bCs w:val="0"/>
                <w:color w:val="auto"/>
                <w:kern w:val="0"/>
                <w:sz w:val="21"/>
                <w:szCs w:val="21"/>
              </w:rPr>
            </w:pPr>
            <w:r>
              <w:rPr>
                <w:rFonts w:hint="eastAsia" w:ascii="宋体" w:hAnsi="宋体" w:cs="宋体"/>
                <w:b w:val="0"/>
                <w:bCs w:val="0"/>
                <w:color w:val="auto"/>
                <w:kern w:val="0"/>
                <w:sz w:val="21"/>
                <w:szCs w:val="21"/>
              </w:rPr>
              <w:t>1</w:t>
            </w:r>
          </w:p>
        </w:tc>
        <w:tc>
          <w:tcPr>
            <w:tcW w:w="1108" w:type="dxa"/>
            <w:vAlign w:val="center"/>
          </w:tcPr>
          <w:p>
            <w:pPr>
              <w:adjustRightInd w:val="0"/>
              <w:snapToGrid w:val="0"/>
              <w:spacing w:line="360" w:lineRule="auto"/>
              <w:jc w:val="center"/>
              <w:rPr>
                <w:rFonts w:hint="eastAsia" w:ascii="宋体" w:hAnsi="宋体" w:cs="宋体"/>
                <w:b w:val="0"/>
                <w:bCs w:val="0"/>
                <w:color w:val="auto"/>
                <w:kern w:val="0"/>
                <w:sz w:val="21"/>
                <w:szCs w:val="21"/>
              </w:rPr>
            </w:pPr>
          </w:p>
        </w:tc>
        <w:tc>
          <w:tcPr>
            <w:tcW w:w="1214" w:type="dxa"/>
            <w:vAlign w:val="center"/>
          </w:tcPr>
          <w:p>
            <w:pPr>
              <w:adjustRightInd w:val="0"/>
              <w:snapToGrid w:val="0"/>
              <w:spacing w:line="360" w:lineRule="auto"/>
              <w:jc w:val="center"/>
              <w:rPr>
                <w:rFonts w:hint="eastAsia" w:ascii="宋体" w:hAnsi="宋体" w:cs="宋体"/>
                <w:b w:val="0"/>
                <w:bCs w:val="0"/>
                <w:color w:val="auto"/>
                <w:kern w:val="0"/>
                <w:sz w:val="21"/>
                <w:szCs w:val="21"/>
              </w:rPr>
            </w:pPr>
          </w:p>
        </w:tc>
        <w:tc>
          <w:tcPr>
            <w:tcW w:w="2182" w:type="dxa"/>
            <w:vAlign w:val="center"/>
          </w:tcPr>
          <w:p>
            <w:pPr>
              <w:numPr>
                <w:ilvl w:val="0"/>
                <w:numId w:val="0"/>
              </w:numPr>
              <w:adjustRightInd w:val="0"/>
              <w:snapToGrid w:val="0"/>
              <w:spacing w:line="360" w:lineRule="auto"/>
              <w:jc w:val="both"/>
              <w:rPr>
                <w:rFonts w:hint="eastAsia" w:ascii="宋体" w:hAnsi="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1、包含执行本项目所发的所有费用；</w:t>
            </w:r>
          </w:p>
          <w:p>
            <w:pPr>
              <w:adjustRightInd w:val="0"/>
              <w:snapToGrid w:val="0"/>
              <w:spacing w:line="360" w:lineRule="auto"/>
              <w:jc w:val="both"/>
              <w:rPr>
                <w:rFonts w:hint="eastAsia" w:ascii="宋体" w:hAnsi="宋体" w:cs="宋体"/>
                <w:b w:val="0"/>
                <w:bCs w:val="0"/>
                <w:color w:val="auto"/>
                <w:kern w:val="0"/>
                <w:sz w:val="21"/>
                <w:szCs w:val="21"/>
              </w:rPr>
            </w:pPr>
            <w:r>
              <w:rPr>
                <w:rFonts w:hint="eastAsia" w:ascii="宋体" w:hAnsi="宋体" w:cs="宋体"/>
                <w:b w:val="0"/>
                <w:bCs w:val="0"/>
                <w:color w:val="auto"/>
                <w:kern w:val="0"/>
                <w:sz w:val="21"/>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宋体" w:hAnsi="宋体" w:cs="宋体"/>
                <w:b/>
                <w:bCs/>
                <w:color w:val="auto"/>
                <w:kern w:val="0"/>
                <w:sz w:val="21"/>
                <w:szCs w:val="21"/>
              </w:rPr>
            </w:pPr>
            <w:r>
              <w:rPr>
                <w:rFonts w:hint="eastAsia" w:ascii="宋体" w:hAnsi="宋体" w:cs="宋体"/>
                <w:b/>
                <w:bCs/>
                <w:color w:val="auto"/>
                <w:kern w:val="0"/>
                <w:sz w:val="21"/>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cs="宋体"/>
                <w:b/>
                <w:bCs/>
                <w:color w:val="auto"/>
                <w:kern w:val="0"/>
                <w:sz w:val="21"/>
                <w:szCs w:val="21"/>
                <w:lang w:val="en-US" w:eastAsia="zh-CN"/>
              </w:rPr>
            </w:pPr>
            <w:r>
              <w:rPr>
                <w:rFonts w:hint="eastAsia" w:ascii="宋体" w:hAnsi="宋体" w:cs="宋体"/>
                <w:b/>
                <w:bCs/>
                <w:color w:val="auto"/>
                <w:kern w:val="0"/>
                <w:sz w:val="21"/>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color w:val="auto"/>
                <w:kern w:val="0"/>
                <w:sz w:val="21"/>
                <w:szCs w:val="21"/>
                <w:lang w:val="en-US" w:eastAsia="zh-CN"/>
              </w:rPr>
            </w:pPr>
            <w:r>
              <w:rPr>
                <w:rFonts w:hint="eastAsia" w:ascii="宋体" w:hAnsi="宋体" w:cs="宋体"/>
                <w:b/>
                <w:bCs/>
                <w:color w:val="auto"/>
                <w:kern w:val="0"/>
                <w:sz w:val="21"/>
                <w:szCs w:val="21"/>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color w:val="auto"/>
                <w:kern w:val="0"/>
                <w:sz w:val="21"/>
                <w:szCs w:val="21"/>
                <w:lang w:val="en-US" w:eastAsia="zh-CN" w:bidi="ar-SA"/>
              </w:rPr>
            </w:pPr>
            <w:r>
              <w:rPr>
                <w:rFonts w:hint="eastAsia" w:ascii="宋体" w:hAnsi="宋体" w:cs="宋体"/>
                <w:b/>
                <w:bCs/>
                <w:color w:val="auto"/>
                <w:kern w:val="0"/>
                <w:sz w:val="21"/>
                <w:szCs w:val="21"/>
              </w:rPr>
              <w:t>数量</w:t>
            </w:r>
          </w:p>
        </w:tc>
        <w:tc>
          <w:tcPr>
            <w:tcW w:w="1108" w:type="dxa"/>
            <w:vAlign w:val="center"/>
          </w:tcPr>
          <w:p>
            <w:pPr>
              <w:adjustRightInd w:val="0"/>
              <w:snapToGrid w:val="0"/>
              <w:spacing w:line="360" w:lineRule="auto"/>
              <w:jc w:val="center"/>
              <w:rPr>
                <w:rFonts w:hint="eastAsia" w:ascii="宋体" w:hAnsi="宋体" w:eastAsia="宋体" w:cs="宋体"/>
                <w:b/>
                <w:bCs/>
                <w:color w:val="auto"/>
                <w:kern w:val="0"/>
                <w:sz w:val="21"/>
                <w:szCs w:val="21"/>
                <w:lang w:val="en-US" w:eastAsia="zh-CN" w:bidi="ar-SA"/>
              </w:rPr>
            </w:pPr>
            <w:r>
              <w:rPr>
                <w:rFonts w:hint="eastAsia" w:ascii="宋体" w:hAnsi="宋体" w:cs="宋体"/>
                <w:b/>
                <w:bCs/>
                <w:color w:val="auto"/>
                <w:kern w:val="0"/>
                <w:sz w:val="21"/>
                <w:szCs w:val="21"/>
              </w:rPr>
              <w:t>单价（元）</w:t>
            </w:r>
          </w:p>
        </w:tc>
        <w:tc>
          <w:tcPr>
            <w:tcW w:w="1214" w:type="dxa"/>
            <w:vAlign w:val="center"/>
          </w:tcPr>
          <w:p>
            <w:pPr>
              <w:adjustRightInd w:val="0"/>
              <w:snapToGrid w:val="0"/>
              <w:spacing w:line="360" w:lineRule="auto"/>
              <w:jc w:val="center"/>
              <w:rPr>
                <w:rFonts w:hint="default" w:ascii="宋体" w:hAnsi="宋体" w:eastAsia="宋体" w:cs="宋体"/>
                <w:b/>
                <w:bCs/>
                <w:color w:val="auto"/>
                <w:kern w:val="0"/>
                <w:sz w:val="21"/>
                <w:szCs w:val="21"/>
                <w:lang w:val="en-US" w:eastAsia="zh-CN" w:bidi="ar-SA"/>
              </w:rPr>
            </w:pPr>
            <w:r>
              <w:rPr>
                <w:rFonts w:hint="eastAsia" w:ascii="宋体" w:hAnsi="宋体" w:cs="宋体"/>
                <w:b/>
                <w:bCs/>
                <w:color w:val="auto"/>
                <w:kern w:val="0"/>
                <w:sz w:val="21"/>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color w:val="auto"/>
                <w:kern w:val="0"/>
                <w:sz w:val="21"/>
                <w:szCs w:val="21"/>
                <w:lang w:val="en-US" w:eastAsia="zh-CN" w:bidi="ar-SA"/>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协助研发新型绝缘、便携、抗折断的新型材料</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1"/>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1"/>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1"/>
                <w:szCs w:val="21"/>
              </w:rPr>
            </w:pPr>
            <w:r>
              <w:rPr>
                <w:rFonts w:hint="eastAsia" w:ascii="宋体" w:hAnsi="宋体" w:cs="宋体"/>
                <w:b w:val="0"/>
                <w:bCs w:val="0"/>
                <w:color w:val="auto"/>
                <w:kern w:val="0"/>
                <w:sz w:val="21"/>
                <w:szCs w:val="21"/>
                <w:lang w:eastAsia="zh-CN"/>
              </w:rPr>
              <w:t>含增值税，增值税专用税率为</w:t>
            </w:r>
            <w:r>
              <w:rPr>
                <w:rFonts w:hint="eastAsia" w:ascii="宋体" w:hAnsi="宋体" w:cs="宋体"/>
                <w:b w:val="0"/>
                <w:bCs w:val="0"/>
                <w:color w:val="auto"/>
                <w:kern w:val="0"/>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2</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协助完成人员临近预警功能开发</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1"/>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1"/>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1"/>
                <w:szCs w:val="21"/>
                <w:lang w:val="en-US" w:eastAsia="zh-CN"/>
              </w:rPr>
            </w:pPr>
            <w:r>
              <w:rPr>
                <w:rFonts w:hint="eastAsia" w:ascii="宋体" w:hAnsi="宋体" w:cs="宋体"/>
                <w:b w:val="0"/>
                <w:bCs w:val="0"/>
                <w:color w:val="auto"/>
                <w:kern w:val="0"/>
                <w:sz w:val="21"/>
                <w:szCs w:val="21"/>
                <w:lang w:eastAsia="zh-CN"/>
              </w:rPr>
              <w:t>含增值税，增值税专用税率为</w:t>
            </w:r>
            <w:r>
              <w:rPr>
                <w:rFonts w:hint="eastAsia" w:ascii="宋体" w:hAnsi="宋体" w:cs="宋体"/>
                <w:b w:val="0"/>
                <w:bCs w:val="0"/>
                <w:color w:val="auto"/>
                <w:kern w:val="0"/>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w:t>
            </w:r>
          </w:p>
        </w:tc>
        <w:tc>
          <w:tcPr>
            <w:tcW w:w="2409" w:type="dxa"/>
            <w:vAlign w:val="center"/>
          </w:tcPr>
          <w:p>
            <w:pPr>
              <w:adjustRightInd w:val="0"/>
              <w:snapToGrid w:val="0"/>
              <w:spacing w:line="240" w:lineRule="auto"/>
              <w:jc w:val="center"/>
              <w:rPr>
                <w:rFonts w:hint="eastAsia" w:ascii="宋体" w:hAnsi="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协助完成工具应用验证</w:t>
            </w:r>
          </w:p>
        </w:tc>
        <w:tc>
          <w:tcPr>
            <w:tcW w:w="531" w:type="dxa"/>
            <w:vAlign w:val="center"/>
          </w:tcPr>
          <w:p>
            <w:pPr>
              <w:adjustRightInd w:val="0"/>
              <w:snapToGrid w:val="0"/>
              <w:spacing w:line="240" w:lineRule="auto"/>
              <w:jc w:val="center"/>
              <w:rPr>
                <w:rFonts w:hint="default" w:ascii="宋体" w:hAnsi="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项</w:t>
            </w:r>
          </w:p>
        </w:tc>
        <w:tc>
          <w:tcPr>
            <w:tcW w:w="681" w:type="dxa"/>
            <w:vAlign w:val="center"/>
          </w:tcPr>
          <w:p>
            <w:pPr>
              <w:adjustRightInd w:val="0"/>
              <w:snapToGrid w:val="0"/>
              <w:spacing w:line="240" w:lineRule="auto"/>
              <w:jc w:val="center"/>
              <w:rPr>
                <w:rFonts w:hint="default" w:ascii="宋体" w:hAnsi="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1"/>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1"/>
                <w:szCs w:val="21"/>
                <w:lang w:val="en-US" w:eastAsia="zh-CN"/>
              </w:rPr>
            </w:pPr>
          </w:p>
        </w:tc>
        <w:tc>
          <w:tcPr>
            <w:tcW w:w="2182" w:type="dxa"/>
            <w:vAlign w:val="center"/>
          </w:tcPr>
          <w:p>
            <w:pPr>
              <w:adjustRightInd w:val="0"/>
              <w:snapToGrid w:val="0"/>
              <w:spacing w:line="240" w:lineRule="auto"/>
              <w:jc w:val="center"/>
              <w:rPr>
                <w:rFonts w:hint="eastAsia" w:ascii="宋体" w:hAnsi="宋体" w:cs="宋体"/>
                <w:b w:val="0"/>
                <w:bCs w:val="0"/>
                <w:color w:val="auto"/>
                <w:kern w:val="0"/>
                <w:sz w:val="21"/>
                <w:szCs w:val="21"/>
                <w:lang w:eastAsia="zh-CN"/>
              </w:rPr>
            </w:pPr>
            <w:r>
              <w:rPr>
                <w:rFonts w:hint="eastAsia" w:ascii="宋体" w:hAnsi="宋体" w:cs="宋体"/>
                <w:b w:val="0"/>
                <w:bCs w:val="0"/>
                <w:color w:val="auto"/>
                <w:kern w:val="0"/>
                <w:sz w:val="21"/>
                <w:szCs w:val="21"/>
                <w:lang w:eastAsia="zh-CN"/>
              </w:rPr>
              <w:t>含增值税，增值税专用税率为</w:t>
            </w:r>
            <w:r>
              <w:rPr>
                <w:rFonts w:hint="eastAsia" w:ascii="宋体" w:hAnsi="宋体" w:cs="宋体"/>
                <w:b w:val="0"/>
                <w:bCs w:val="0"/>
                <w:color w:val="auto"/>
                <w:kern w:val="0"/>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cs="宋体"/>
                <w:color w:val="auto"/>
                <w:kern w:val="0"/>
                <w:sz w:val="21"/>
                <w:szCs w:val="21"/>
              </w:rPr>
            </w:pPr>
          </w:p>
        </w:tc>
        <w:tc>
          <w:tcPr>
            <w:tcW w:w="2409" w:type="dxa"/>
            <w:vAlign w:val="center"/>
          </w:tcPr>
          <w:p>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pPr>
              <w:adjustRightInd w:val="0"/>
              <w:snapToGrid w:val="0"/>
              <w:spacing w:line="360" w:lineRule="auto"/>
              <w:jc w:val="center"/>
              <w:rPr>
                <w:rFonts w:hint="default" w:ascii="宋体" w:hAnsi="宋体" w:eastAsia="宋体" w:cs="宋体"/>
                <w:b w:val="0"/>
                <w:bCs w:val="0"/>
                <w:color w:val="auto"/>
                <w:kern w:val="0"/>
                <w:sz w:val="21"/>
                <w:szCs w:val="21"/>
                <w:lang w:val="en-US" w:eastAsia="zh-CN"/>
              </w:rPr>
            </w:pPr>
            <w:r>
              <w:rPr>
                <w:rFonts w:hint="eastAsia" w:ascii="宋体" w:hAnsi="宋体" w:cs="宋体"/>
                <w:b w:val="0"/>
                <w:bCs w:val="0"/>
                <w:color w:val="auto"/>
                <w:kern w:val="0"/>
                <w:sz w:val="21"/>
                <w:szCs w:val="21"/>
                <w:lang w:val="en-US" w:eastAsia="zh-CN"/>
              </w:rPr>
              <w:t>xx元</w:t>
            </w:r>
          </w:p>
        </w:tc>
      </w:tr>
    </w:tbl>
    <w:p>
      <w:pPr>
        <w:spacing w:line="360" w:lineRule="auto"/>
        <w:rPr>
          <w:rFonts w:ascii="宋体" w:hAnsi="宋体" w:cs="宋体"/>
          <w:color w:val="auto"/>
          <w:szCs w:val="21"/>
        </w:rPr>
      </w:pPr>
      <w:r>
        <w:rPr>
          <w:rFonts w:hint="eastAsia" w:ascii="宋体" w:hAnsi="宋体" w:cs="宋体"/>
          <w:color w:val="auto"/>
          <w:szCs w:val="21"/>
        </w:rPr>
        <w:t>注：</w:t>
      </w:r>
    </w:p>
    <w:p>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color w:val="auto"/>
          <w:spacing w:val="-1"/>
          <w:szCs w:val="21"/>
        </w:rPr>
      </w:pPr>
    </w:p>
    <w:p>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pgNumType w:fmt="decimal" w:start="3"/>
          <w:cols w:space="720" w:num="1"/>
          <w:docGrid w:type="lines" w:linePitch="312" w:charSpace="0"/>
        </w:sectPr>
      </w:pPr>
    </w:p>
    <w:p>
      <w:pPr>
        <w:keepNext w:val="0"/>
        <w:keepLines w:val="0"/>
        <w:pageBreakBefore w:val="0"/>
        <w:kinsoku/>
        <w:overflowPunct/>
        <w:topLinePunct w:val="0"/>
        <w:autoSpaceDE/>
        <w:autoSpaceDN/>
        <w:bidi w:val="0"/>
        <w:adjustRightInd w:val="0"/>
        <w:snapToGrid w:val="0"/>
        <w:spacing w:line="24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1781" w:tblpY="389"/>
        <w:tblOverlap w:val="never"/>
        <w:tblW w:w="855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6278"/>
        <w:gridCol w:w="168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both"/>
              <w:textAlignment w:val="center"/>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kern w:val="0"/>
                <w:sz w:val="21"/>
                <w:szCs w:val="21"/>
                <w:highlight w:val="none"/>
                <w:lang w:bidi="ar"/>
              </w:rPr>
              <w:t>序号</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kern w:val="0"/>
                <w:sz w:val="21"/>
                <w:szCs w:val="21"/>
                <w:highlight w:val="none"/>
                <w:lang w:bidi="ar"/>
              </w:rPr>
              <w:t>技术要求</w:t>
            </w:r>
          </w:p>
        </w:tc>
        <w:tc>
          <w:tcPr>
            <w:tcW w:w="16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eastAsia="zh-CN" w:bidi="ar"/>
              </w:rPr>
              <w:t>报价单位</w:t>
            </w:r>
            <w:r>
              <w:rPr>
                <w:rFonts w:hint="eastAsia" w:asciiTheme="minorEastAsia" w:hAnsiTheme="minorEastAsia" w:eastAsiaTheme="minorEastAsia" w:cstheme="minorEastAsia"/>
                <w:b/>
                <w:color w:val="auto"/>
                <w:kern w:val="0"/>
                <w:sz w:val="21"/>
                <w:szCs w:val="21"/>
                <w:highlight w:val="none"/>
                <w:lang w:bidi="ar"/>
              </w:rPr>
              <w:t>是否满足</w:t>
            </w:r>
          </w:p>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kern w:val="0"/>
                <w:sz w:val="21"/>
                <w:szCs w:val="21"/>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trPr>
        <w:tc>
          <w:tcPr>
            <w:tcW w:w="8554" w:type="dxa"/>
            <w:gridSpan w:val="3"/>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超高压大理局2026年换流站户外拆卸式安全围栏研制零星采购项目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705"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1</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配合主框架研制，在保证绝缘强度前提下，选取轻便、抗折断的新型材料制作，分为竖向主干杆和横向的围杆，竖向主干全长100cm，分别在离地30cm和70cm处设置横向围杆连接处</w:t>
            </w:r>
            <w:r>
              <w:rPr>
                <w:rFonts w:hint="eastAsia" w:ascii="宋体" w:hAnsi="宋体" w:cs="宋体"/>
                <w:color w:val="auto"/>
                <w:sz w:val="21"/>
                <w:szCs w:val="21"/>
                <w:highlight w:val="none"/>
                <w:lang w:eastAsia="zh-CN"/>
              </w:rPr>
              <w:t>。</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1"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2</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配合研制横向围杆（长120cm），两端设置连接处，方便与主杆和连接件连接，具有固定的连接件（卡扣）、主杆底座及专用的背包，可方便运输、具有较强的抗风能力。</w:t>
            </w:r>
          </w:p>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9"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3</w:t>
            </w:r>
          </w:p>
        </w:tc>
        <w:tc>
          <w:tcPr>
            <w:tcW w:w="627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配合实现人员临近预警功能，报警提示靠近人员危险区域，将试制的围栏在现场进行性能测试、评估优化；</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9"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4</w:t>
            </w:r>
          </w:p>
        </w:tc>
        <w:tc>
          <w:tcPr>
            <w:tcW w:w="627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研制一套户外可拆卸快速布置安全围栏并提供第三方检测报告，配合开展技术创新总结提炼及保护、论文编写相关工作。</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bl>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keepNext w:val="0"/>
        <w:keepLines w:val="0"/>
        <w:pageBreakBefore w:val="0"/>
        <w:kinsoku/>
        <w:overflowPunct/>
        <w:topLinePunct w:val="0"/>
        <w:autoSpaceDE/>
        <w:autoSpaceDN/>
        <w:bidi w:val="0"/>
        <w:adjustRightInd w:val="0"/>
        <w:snapToGrid w:val="0"/>
        <w:rPr>
          <w:b/>
          <w:bCs/>
          <w:color w:val="auto"/>
          <w:spacing w:val="14"/>
          <w:kern w:val="0"/>
          <w:sz w:val="28"/>
          <w:szCs w:val="28"/>
          <w:highlight w:val="none"/>
        </w:rPr>
      </w:pPr>
      <w:r>
        <w:rPr>
          <w:b/>
          <w:bCs/>
          <w:color w:val="auto"/>
          <w:spacing w:val="14"/>
          <w:kern w:val="0"/>
          <w:sz w:val="28"/>
          <w:szCs w:val="28"/>
          <w:highlight w:val="none"/>
        </w:rPr>
        <w:br w:type="page"/>
      </w:r>
    </w:p>
    <w:p>
      <w:pPr>
        <w:keepNext w:val="0"/>
        <w:keepLines w:val="0"/>
        <w:pageBreakBefore w:val="0"/>
        <w:kinsoku/>
        <w:overflowPunct/>
        <w:topLinePunct w:val="0"/>
        <w:autoSpaceDE/>
        <w:autoSpaceDN/>
        <w:bidi w:val="0"/>
        <w:adjustRightInd w:val="0"/>
        <w:snapToGrid w:val="0"/>
        <w:spacing w:line="360" w:lineRule="auto"/>
        <w:outlineLvl w:val="5"/>
        <w:rPr>
          <w:b/>
          <w:bCs/>
          <w:color w:val="auto"/>
          <w:spacing w:val="14"/>
          <w:kern w:val="0"/>
          <w:sz w:val="28"/>
          <w:szCs w:val="28"/>
          <w:highlight w:val="none"/>
        </w:rPr>
      </w:pPr>
    </w:p>
    <w:p>
      <w:pPr>
        <w:keepNext w:val="0"/>
        <w:keepLines w:val="0"/>
        <w:pageBreakBefore w:val="0"/>
        <w:kinsoku/>
        <w:overflowPunct/>
        <w:topLinePunct w:val="0"/>
        <w:autoSpaceDE/>
        <w:autoSpaceDN/>
        <w:bidi w:val="0"/>
        <w:adjustRightInd w:val="0"/>
        <w:snapToGrid w:val="0"/>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1901" w:tblpY="404"/>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both"/>
              <w:textAlignment w:val="center"/>
              <w:rPr>
                <w:rFonts w:asciiTheme="minorEastAsia" w:hAnsiTheme="minorEastAsia" w:eastAsiaTheme="minorEastAsia" w:cstheme="minorEastAsia"/>
                <w:b/>
                <w:color w:val="auto"/>
                <w:kern w:val="2"/>
                <w:sz w:val="21"/>
                <w:szCs w:val="21"/>
                <w:highlight w:val="none"/>
                <w:lang w:val="en-US" w:eastAsia="zh-CN" w:bidi="ar-SA"/>
              </w:rPr>
            </w:pPr>
            <w:r>
              <w:rPr>
                <w:rFonts w:hint="eastAsia" w:asciiTheme="minorEastAsia" w:hAnsiTheme="minorEastAsia" w:eastAsiaTheme="minorEastAsia" w:cstheme="minorEastAsia"/>
                <w:b/>
                <w:color w:val="auto"/>
                <w:kern w:val="0"/>
                <w:sz w:val="21"/>
                <w:szCs w:val="21"/>
                <w:highlight w:val="none"/>
                <w:lang w:bidi="ar"/>
              </w:rPr>
              <w:t>序号</w:t>
            </w:r>
          </w:p>
        </w:tc>
        <w:tc>
          <w:tcPr>
            <w:tcW w:w="5920"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2"/>
                <w:sz w:val="21"/>
                <w:szCs w:val="21"/>
                <w:highlight w:val="none"/>
                <w:lang w:val="en-US" w:eastAsia="zh-CN" w:bidi="ar-SA"/>
              </w:rPr>
            </w:pPr>
            <w:r>
              <w:rPr>
                <w:rFonts w:hint="eastAsia" w:asciiTheme="minorEastAsia" w:hAnsiTheme="minorEastAsia" w:eastAsiaTheme="minorEastAsia" w:cstheme="minorEastAsia"/>
                <w:b/>
                <w:color w:val="auto"/>
                <w:kern w:val="0"/>
                <w:sz w:val="21"/>
                <w:szCs w:val="21"/>
                <w:highlight w:val="none"/>
                <w:lang w:bidi="ar"/>
              </w:rPr>
              <w:t>售后服务要求</w:t>
            </w:r>
          </w:p>
        </w:tc>
        <w:tc>
          <w:tcPr>
            <w:tcW w:w="2046"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eastAsia="zh-CN" w:bidi="ar"/>
              </w:rPr>
              <w:t>报价单位</w:t>
            </w:r>
            <w:r>
              <w:rPr>
                <w:rFonts w:hint="eastAsia" w:asciiTheme="minorEastAsia" w:hAnsiTheme="minorEastAsia" w:eastAsiaTheme="minorEastAsia" w:cstheme="minorEastAsia"/>
                <w:b/>
                <w:color w:val="auto"/>
                <w:kern w:val="0"/>
                <w:sz w:val="21"/>
                <w:szCs w:val="21"/>
                <w:highlight w:val="none"/>
                <w:lang w:bidi="ar"/>
              </w:rPr>
              <w:t>是否满足</w:t>
            </w:r>
          </w:p>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2"/>
                <w:sz w:val="21"/>
                <w:szCs w:val="21"/>
                <w:highlight w:val="none"/>
                <w:lang w:val="en-US" w:eastAsia="zh-CN" w:bidi="ar-SA"/>
              </w:rPr>
            </w:pPr>
            <w:r>
              <w:rPr>
                <w:rFonts w:hint="eastAsia" w:asciiTheme="minorEastAsia" w:hAnsiTheme="minorEastAsia" w:eastAsiaTheme="minorEastAsia" w:cstheme="minorEastAsia"/>
                <w:b/>
                <w:color w:val="auto"/>
                <w:kern w:val="0"/>
                <w:sz w:val="21"/>
                <w:szCs w:val="21"/>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bidi="ar"/>
              </w:rPr>
              <w:t>1</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发票要求：</w:t>
            </w:r>
            <w:r>
              <w:rPr>
                <w:rFonts w:hint="eastAsia" w:ascii="宋体" w:hAnsi="宋体" w:cs="宋体"/>
                <w:color w:val="auto"/>
                <w:sz w:val="21"/>
                <w:szCs w:val="21"/>
                <w:highlight w:val="none"/>
              </w:rPr>
              <w:t>报价单位可提供符合规定税率的全额增值税专用发票。</w:t>
            </w:r>
          </w:p>
          <w:p>
            <w:pPr>
              <w:keepNext w:val="0"/>
              <w:keepLines w:val="0"/>
              <w:pageBreakBefore w:val="0"/>
              <w:widowControl/>
              <w:kinsoku/>
              <w:overflowPunct/>
              <w:topLinePunct w:val="0"/>
              <w:autoSpaceDE/>
              <w:autoSpaceDN/>
              <w:bidi w:val="0"/>
              <w:adjustRightInd w:val="0"/>
              <w:snapToGrid w:val="0"/>
              <w:textAlignment w:val="center"/>
              <w:rPr>
                <w:rFonts w:ascii="宋体" w:hAnsi="宋体"/>
                <w:color w:val="auto"/>
                <w:sz w:val="21"/>
                <w:szCs w:val="21"/>
                <w:highlight w:val="none"/>
              </w:rPr>
            </w:pP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bidi="ar"/>
              </w:rPr>
              <w:t>2</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olor w:val="auto"/>
                <w:sz w:val="21"/>
                <w:szCs w:val="21"/>
                <w:highlight w:val="none"/>
              </w:rPr>
            </w:pPr>
            <w:r>
              <w:rPr>
                <w:rFonts w:hint="eastAsia" w:ascii="宋体" w:hAnsi="宋体" w:cs="宋体"/>
                <w:b/>
                <w:bCs/>
                <w:color w:val="auto"/>
                <w:sz w:val="21"/>
                <w:szCs w:val="21"/>
                <w:highlight w:val="none"/>
                <w:lang w:eastAsia="zh-CN"/>
              </w:rPr>
              <w:t>服务成果</w:t>
            </w:r>
            <w:r>
              <w:rPr>
                <w:rFonts w:hint="eastAsia" w:ascii="宋体" w:hAnsi="宋体" w:cs="宋体"/>
                <w:b/>
                <w:bCs/>
                <w:color w:val="auto"/>
                <w:sz w:val="21"/>
                <w:szCs w:val="21"/>
                <w:highlight w:val="none"/>
              </w:rPr>
              <w:t>质保期及售后服务响应要求：</w:t>
            </w:r>
            <w:r>
              <w:rPr>
                <w:rFonts w:hint="eastAsia" w:ascii="宋体" w:hAnsi="宋体" w:cs="宋体"/>
                <w:color w:val="auto"/>
                <w:sz w:val="21"/>
                <w:szCs w:val="21"/>
                <w:highlight w:val="none"/>
              </w:rPr>
              <w:t>质保期不少于1年，质保期内有任何质量问题将免费进行</w:t>
            </w:r>
            <w:r>
              <w:rPr>
                <w:rFonts w:hint="eastAsia" w:ascii="宋体" w:hAnsi="宋体" w:cs="宋体"/>
                <w:color w:val="auto"/>
                <w:sz w:val="21"/>
                <w:szCs w:val="21"/>
                <w:highlight w:val="none"/>
                <w:lang w:val="en-US" w:eastAsia="zh-CN"/>
              </w:rPr>
              <w:t>维护</w:t>
            </w:r>
            <w:r>
              <w:rPr>
                <w:rFonts w:hint="eastAsia" w:ascii="宋体" w:hAnsi="宋体" w:cs="宋体"/>
                <w:color w:val="auto"/>
                <w:sz w:val="21"/>
                <w:szCs w:val="21"/>
                <w:highlight w:val="none"/>
              </w:rPr>
              <w:t>、更换；售后服务的响应时间在</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小时内；提供技术支持。</w:t>
            </w: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bidi="ar"/>
              </w:rPr>
              <w:t>3</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服务成果交付</w:t>
            </w:r>
            <w:r>
              <w:rPr>
                <w:rFonts w:hint="eastAsia" w:ascii="宋体" w:hAnsi="宋体" w:cs="宋体"/>
                <w:b/>
                <w:bCs/>
                <w:color w:val="auto"/>
                <w:sz w:val="21"/>
                <w:szCs w:val="21"/>
                <w:highlight w:val="none"/>
              </w:rPr>
              <w:t>时间及地点要求：</w:t>
            </w:r>
            <w:r>
              <w:rPr>
                <w:rFonts w:hint="eastAsia" w:ascii="宋体" w:hAnsi="宋体" w:cs="宋体"/>
                <w:color w:val="auto"/>
                <w:sz w:val="21"/>
                <w:szCs w:val="21"/>
                <w:highlight w:val="none"/>
                <w:lang w:eastAsia="zh-CN"/>
              </w:rPr>
              <w:t>服务成果交付</w:t>
            </w:r>
            <w:r>
              <w:rPr>
                <w:rFonts w:hint="eastAsia" w:ascii="宋体" w:hAnsi="宋体" w:cs="宋体"/>
                <w:color w:val="auto"/>
                <w:sz w:val="21"/>
                <w:szCs w:val="21"/>
                <w:highlight w:val="none"/>
              </w:rPr>
              <w:t>时间为202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30</w:t>
            </w:r>
            <w:r>
              <w:rPr>
                <w:rFonts w:hint="eastAsia" w:ascii="宋体" w:hAnsi="宋体" w:cs="宋体"/>
                <w:color w:val="auto"/>
                <w:sz w:val="21"/>
                <w:szCs w:val="21"/>
                <w:highlight w:val="none"/>
              </w:rPr>
              <w:t>日前，交货地点为中国南方电网有限责任公司超高压输电公司大理局。</w:t>
            </w:r>
          </w:p>
          <w:p>
            <w:pPr>
              <w:keepNext w:val="0"/>
              <w:keepLines w:val="0"/>
              <w:pageBreakBefore w:val="0"/>
              <w:widowControl/>
              <w:kinsoku/>
              <w:overflowPunct/>
              <w:topLinePunct w:val="0"/>
              <w:autoSpaceDE/>
              <w:autoSpaceDN/>
              <w:bidi w:val="0"/>
              <w:adjustRightInd w:val="0"/>
              <w:snapToGrid w:val="0"/>
              <w:textAlignment w:val="center"/>
              <w:rPr>
                <w:rFonts w:ascii="宋体" w:hAnsi="宋体"/>
                <w:color w:val="auto"/>
                <w:sz w:val="21"/>
                <w:szCs w:val="21"/>
                <w:highlight w:val="none"/>
              </w:rPr>
            </w:pP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1"/>
                <w:szCs w:val="21"/>
                <w:highlight w:val="none"/>
              </w:rPr>
            </w:pPr>
          </w:p>
        </w:tc>
      </w:tr>
    </w:tbl>
    <w:p>
      <w:pPr>
        <w:keepNext w:val="0"/>
        <w:keepLines w:val="0"/>
        <w:pageBreakBefore w:val="0"/>
        <w:kinsoku/>
        <w:overflowPunct/>
        <w:topLinePunct w:val="0"/>
        <w:autoSpaceDE/>
        <w:autoSpaceDN/>
        <w:bidi w:val="0"/>
        <w:adjustRightInd w:val="0"/>
        <w:snapToGrid w:val="0"/>
        <w:spacing w:line="360" w:lineRule="auto"/>
        <w:jc w:val="left"/>
        <w:outlineLvl w:val="5"/>
        <w:rPr>
          <w:color w:val="auto"/>
          <w:kern w:val="0"/>
          <w:sz w:val="24"/>
          <w:highlight w:val="none"/>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left"/>
        <w:rPr>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keepNext w:val="0"/>
        <w:keepLines w:val="0"/>
        <w:pageBreakBefore w:val="0"/>
        <w:tabs>
          <w:tab w:val="left" w:pos="525"/>
          <w:tab w:val="left" w:pos="1051"/>
        </w:tabs>
        <w:kinsoku/>
        <w:wordWrap w:val="0"/>
        <w:overflowPunct/>
        <w:topLinePunct w:val="0"/>
        <w:autoSpaceDE/>
        <w:autoSpaceDN/>
        <w:bidi w:val="0"/>
        <w:adjustRightInd w:val="0"/>
        <w:snapToGrid w:val="0"/>
        <w:spacing w:line="360" w:lineRule="auto"/>
        <w:jc w:val="right"/>
        <w:rPr>
          <w:color w:val="auto"/>
          <w:kern w:val="0"/>
          <w:sz w:val="24"/>
          <w:highlight w:val="none"/>
          <w:lang w:val="zh-CN"/>
        </w:rPr>
      </w:pPr>
    </w:p>
    <w:p>
      <w:pPr>
        <w:keepNext w:val="0"/>
        <w:keepLines w:val="0"/>
        <w:pageBreakBefore w:val="0"/>
        <w:tabs>
          <w:tab w:val="left" w:pos="722"/>
          <w:tab w:val="left" w:pos="1323"/>
        </w:tabs>
        <w:kinsoku/>
        <w:overflowPunct/>
        <w:topLinePunct w:val="0"/>
        <w:autoSpaceDE/>
        <w:autoSpaceDN/>
        <w:bidi w:val="0"/>
        <w:adjustRightInd w:val="0"/>
        <w:snapToGrid w:val="0"/>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keepNext w:val="0"/>
        <w:keepLines w:val="0"/>
        <w:pageBreakBefore w:val="0"/>
        <w:kinsoku/>
        <w:overflowPunct/>
        <w:topLinePunct w:val="0"/>
        <w:autoSpaceDE/>
        <w:autoSpaceDN/>
        <w:bidi w:val="0"/>
        <w:adjustRightInd w:val="0"/>
        <w:snapToGrid w:val="0"/>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sectPr>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51882"/>
    <w:rsid w:val="009B64F0"/>
    <w:rsid w:val="009C13CE"/>
    <w:rsid w:val="009E26B5"/>
    <w:rsid w:val="00A00FD5"/>
    <w:rsid w:val="00A276B2"/>
    <w:rsid w:val="00A465FA"/>
    <w:rsid w:val="00A7008F"/>
    <w:rsid w:val="00A73D90"/>
    <w:rsid w:val="00BE0E55"/>
    <w:rsid w:val="00C61456"/>
    <w:rsid w:val="00DB2F76"/>
    <w:rsid w:val="00DE3D98"/>
    <w:rsid w:val="00E055E9"/>
    <w:rsid w:val="00EC56DD"/>
    <w:rsid w:val="00F04019"/>
    <w:rsid w:val="00FE4E68"/>
    <w:rsid w:val="01A40F8A"/>
    <w:rsid w:val="02C213F2"/>
    <w:rsid w:val="02E84E1B"/>
    <w:rsid w:val="02EB154A"/>
    <w:rsid w:val="039A1E76"/>
    <w:rsid w:val="03E9585B"/>
    <w:rsid w:val="04501704"/>
    <w:rsid w:val="046B4A83"/>
    <w:rsid w:val="048447AC"/>
    <w:rsid w:val="04CA6BD2"/>
    <w:rsid w:val="059852A9"/>
    <w:rsid w:val="05B67AF4"/>
    <w:rsid w:val="05CD2719"/>
    <w:rsid w:val="05F41940"/>
    <w:rsid w:val="060F4BD6"/>
    <w:rsid w:val="06910EC7"/>
    <w:rsid w:val="06AB0929"/>
    <w:rsid w:val="070A0B6B"/>
    <w:rsid w:val="07961E4E"/>
    <w:rsid w:val="08B379B6"/>
    <w:rsid w:val="08D01A69"/>
    <w:rsid w:val="095B0EE9"/>
    <w:rsid w:val="09B91536"/>
    <w:rsid w:val="0A5C68BB"/>
    <w:rsid w:val="0A726C5D"/>
    <w:rsid w:val="0A9C5575"/>
    <w:rsid w:val="0AB60694"/>
    <w:rsid w:val="0AD32091"/>
    <w:rsid w:val="0B3145BB"/>
    <w:rsid w:val="0B5308D4"/>
    <w:rsid w:val="0B62608C"/>
    <w:rsid w:val="0BF7440E"/>
    <w:rsid w:val="0BFD7535"/>
    <w:rsid w:val="0C183058"/>
    <w:rsid w:val="0C8849AD"/>
    <w:rsid w:val="0C95712B"/>
    <w:rsid w:val="0CBD44D5"/>
    <w:rsid w:val="0CC4072B"/>
    <w:rsid w:val="0CF24637"/>
    <w:rsid w:val="0CFD0263"/>
    <w:rsid w:val="0E2B54C7"/>
    <w:rsid w:val="0E8F38EB"/>
    <w:rsid w:val="0F7B2D38"/>
    <w:rsid w:val="10090346"/>
    <w:rsid w:val="100E20E9"/>
    <w:rsid w:val="108F47AF"/>
    <w:rsid w:val="109C7D56"/>
    <w:rsid w:val="10C61D50"/>
    <w:rsid w:val="11325498"/>
    <w:rsid w:val="116C2284"/>
    <w:rsid w:val="11727245"/>
    <w:rsid w:val="11C13F63"/>
    <w:rsid w:val="11C4398B"/>
    <w:rsid w:val="11DD40A3"/>
    <w:rsid w:val="124B085A"/>
    <w:rsid w:val="127C43FA"/>
    <w:rsid w:val="12CE6E94"/>
    <w:rsid w:val="12E542C2"/>
    <w:rsid w:val="1376193B"/>
    <w:rsid w:val="13AF2A62"/>
    <w:rsid w:val="140E14EE"/>
    <w:rsid w:val="15031A58"/>
    <w:rsid w:val="15127864"/>
    <w:rsid w:val="153B46D1"/>
    <w:rsid w:val="153E2707"/>
    <w:rsid w:val="15CE0DB9"/>
    <w:rsid w:val="163D0A11"/>
    <w:rsid w:val="16A076A8"/>
    <w:rsid w:val="16E17FD7"/>
    <w:rsid w:val="17087877"/>
    <w:rsid w:val="170F3531"/>
    <w:rsid w:val="17192215"/>
    <w:rsid w:val="17423139"/>
    <w:rsid w:val="17F90724"/>
    <w:rsid w:val="18377B1D"/>
    <w:rsid w:val="188E7C69"/>
    <w:rsid w:val="18DC7149"/>
    <w:rsid w:val="18E65311"/>
    <w:rsid w:val="190177F4"/>
    <w:rsid w:val="19775419"/>
    <w:rsid w:val="1B7A6B81"/>
    <w:rsid w:val="1BE81568"/>
    <w:rsid w:val="1C27355C"/>
    <w:rsid w:val="1C601D9D"/>
    <w:rsid w:val="1C9B0B55"/>
    <w:rsid w:val="1D5A568D"/>
    <w:rsid w:val="1D7651D8"/>
    <w:rsid w:val="1E072CF3"/>
    <w:rsid w:val="1E425E07"/>
    <w:rsid w:val="1EA91661"/>
    <w:rsid w:val="1EF814B6"/>
    <w:rsid w:val="1F486752"/>
    <w:rsid w:val="1FB61E73"/>
    <w:rsid w:val="1FEA2DF0"/>
    <w:rsid w:val="20717F2A"/>
    <w:rsid w:val="207A4B27"/>
    <w:rsid w:val="20C2474B"/>
    <w:rsid w:val="20DE7F97"/>
    <w:rsid w:val="21086AC5"/>
    <w:rsid w:val="21164180"/>
    <w:rsid w:val="21C84BD6"/>
    <w:rsid w:val="21D11228"/>
    <w:rsid w:val="21D65FA3"/>
    <w:rsid w:val="21EA76D2"/>
    <w:rsid w:val="22410CA3"/>
    <w:rsid w:val="230D5F83"/>
    <w:rsid w:val="231435E3"/>
    <w:rsid w:val="23BA0DA2"/>
    <w:rsid w:val="26025181"/>
    <w:rsid w:val="265754CC"/>
    <w:rsid w:val="26B143E9"/>
    <w:rsid w:val="26CF68D5"/>
    <w:rsid w:val="26D06059"/>
    <w:rsid w:val="280165F4"/>
    <w:rsid w:val="291D3964"/>
    <w:rsid w:val="298B6166"/>
    <w:rsid w:val="29D439C5"/>
    <w:rsid w:val="29F71DCE"/>
    <w:rsid w:val="2A5D4013"/>
    <w:rsid w:val="2A73216B"/>
    <w:rsid w:val="2C4634F8"/>
    <w:rsid w:val="2C8A7F2A"/>
    <w:rsid w:val="2CA351F8"/>
    <w:rsid w:val="2DC758C4"/>
    <w:rsid w:val="2DCE6FB3"/>
    <w:rsid w:val="2DDB37E6"/>
    <w:rsid w:val="2E0A0EFD"/>
    <w:rsid w:val="2E436CF9"/>
    <w:rsid w:val="2F2462CE"/>
    <w:rsid w:val="2F3C75DF"/>
    <w:rsid w:val="2F4D7950"/>
    <w:rsid w:val="2F5C0B8A"/>
    <w:rsid w:val="300924A8"/>
    <w:rsid w:val="30786DD9"/>
    <w:rsid w:val="30B351BB"/>
    <w:rsid w:val="30C42C66"/>
    <w:rsid w:val="30D83BD1"/>
    <w:rsid w:val="3116556A"/>
    <w:rsid w:val="31403EEE"/>
    <w:rsid w:val="314C4B41"/>
    <w:rsid w:val="3161392D"/>
    <w:rsid w:val="31F1799F"/>
    <w:rsid w:val="32AC098F"/>
    <w:rsid w:val="32FC2794"/>
    <w:rsid w:val="33591408"/>
    <w:rsid w:val="338E2CB9"/>
    <w:rsid w:val="33AE5DBB"/>
    <w:rsid w:val="34485725"/>
    <w:rsid w:val="344C3454"/>
    <w:rsid w:val="347D12EB"/>
    <w:rsid w:val="34FB1B75"/>
    <w:rsid w:val="350967C7"/>
    <w:rsid w:val="35A54830"/>
    <w:rsid w:val="35E26F61"/>
    <w:rsid w:val="36A93D34"/>
    <w:rsid w:val="36C4459F"/>
    <w:rsid w:val="36CA7098"/>
    <w:rsid w:val="36CE7125"/>
    <w:rsid w:val="36DD06B5"/>
    <w:rsid w:val="38107BBE"/>
    <w:rsid w:val="38592D41"/>
    <w:rsid w:val="38723B01"/>
    <w:rsid w:val="38B17DB0"/>
    <w:rsid w:val="393307F8"/>
    <w:rsid w:val="39345BEF"/>
    <w:rsid w:val="399E5A8D"/>
    <w:rsid w:val="39C13B3B"/>
    <w:rsid w:val="3A7115CF"/>
    <w:rsid w:val="3A762EA6"/>
    <w:rsid w:val="3AE871ED"/>
    <w:rsid w:val="3B166795"/>
    <w:rsid w:val="3B3A4A72"/>
    <w:rsid w:val="3B426DFA"/>
    <w:rsid w:val="3BB95095"/>
    <w:rsid w:val="3C0C0FD1"/>
    <w:rsid w:val="3C0D22F1"/>
    <w:rsid w:val="3CFD0D4E"/>
    <w:rsid w:val="3D5E47CC"/>
    <w:rsid w:val="3D932ECE"/>
    <w:rsid w:val="3DF6298B"/>
    <w:rsid w:val="3E032F55"/>
    <w:rsid w:val="3E5A5D0F"/>
    <w:rsid w:val="3ED75761"/>
    <w:rsid w:val="3EE60069"/>
    <w:rsid w:val="3F037F80"/>
    <w:rsid w:val="3F5D7C25"/>
    <w:rsid w:val="3F6E7356"/>
    <w:rsid w:val="3FCE2739"/>
    <w:rsid w:val="40026051"/>
    <w:rsid w:val="40CE4481"/>
    <w:rsid w:val="40D02223"/>
    <w:rsid w:val="41044933"/>
    <w:rsid w:val="411C2ABC"/>
    <w:rsid w:val="41B64242"/>
    <w:rsid w:val="41D930E9"/>
    <w:rsid w:val="420172F8"/>
    <w:rsid w:val="4214444F"/>
    <w:rsid w:val="428178ED"/>
    <w:rsid w:val="437F3C55"/>
    <w:rsid w:val="43F33DE5"/>
    <w:rsid w:val="443E1922"/>
    <w:rsid w:val="445544D0"/>
    <w:rsid w:val="44883556"/>
    <w:rsid w:val="4566672F"/>
    <w:rsid w:val="4597553F"/>
    <w:rsid w:val="45B96669"/>
    <w:rsid w:val="46B251D5"/>
    <w:rsid w:val="46D75F15"/>
    <w:rsid w:val="47136D96"/>
    <w:rsid w:val="47873FED"/>
    <w:rsid w:val="478A5985"/>
    <w:rsid w:val="47DB78B4"/>
    <w:rsid w:val="485A7764"/>
    <w:rsid w:val="48697707"/>
    <w:rsid w:val="487D34CE"/>
    <w:rsid w:val="48812C6D"/>
    <w:rsid w:val="48FA0CCE"/>
    <w:rsid w:val="497E67FC"/>
    <w:rsid w:val="49970D05"/>
    <w:rsid w:val="4A340908"/>
    <w:rsid w:val="4A654689"/>
    <w:rsid w:val="4AFB712A"/>
    <w:rsid w:val="4B060CB1"/>
    <w:rsid w:val="4B3F2937"/>
    <w:rsid w:val="4B722F98"/>
    <w:rsid w:val="4BDA732C"/>
    <w:rsid w:val="4C747C00"/>
    <w:rsid w:val="4CAE23D4"/>
    <w:rsid w:val="4CF16EBB"/>
    <w:rsid w:val="4CF27A3F"/>
    <w:rsid w:val="4D952847"/>
    <w:rsid w:val="4E111E7F"/>
    <w:rsid w:val="4E1F0A8F"/>
    <w:rsid w:val="4E882EB7"/>
    <w:rsid w:val="4E9B72CC"/>
    <w:rsid w:val="4EFE4BD1"/>
    <w:rsid w:val="4F131E20"/>
    <w:rsid w:val="4FCF137E"/>
    <w:rsid w:val="4FF36AD1"/>
    <w:rsid w:val="503B6ED8"/>
    <w:rsid w:val="506E60D9"/>
    <w:rsid w:val="50F4209B"/>
    <w:rsid w:val="5103544F"/>
    <w:rsid w:val="51461658"/>
    <w:rsid w:val="51B306F8"/>
    <w:rsid w:val="53646DCD"/>
    <w:rsid w:val="53932D81"/>
    <w:rsid w:val="539D4641"/>
    <w:rsid w:val="53AB1337"/>
    <w:rsid w:val="53EF0B3B"/>
    <w:rsid w:val="54507861"/>
    <w:rsid w:val="547919F2"/>
    <w:rsid w:val="547B03D3"/>
    <w:rsid w:val="54FC1BBE"/>
    <w:rsid w:val="550D43DD"/>
    <w:rsid w:val="553F47A0"/>
    <w:rsid w:val="554561C6"/>
    <w:rsid w:val="555108DF"/>
    <w:rsid w:val="55AE0DFF"/>
    <w:rsid w:val="55F857FB"/>
    <w:rsid w:val="560C77A6"/>
    <w:rsid w:val="569D378C"/>
    <w:rsid w:val="56AB6EAC"/>
    <w:rsid w:val="56F56768"/>
    <w:rsid w:val="571C15EB"/>
    <w:rsid w:val="57C81676"/>
    <w:rsid w:val="57CD04DD"/>
    <w:rsid w:val="585D55F4"/>
    <w:rsid w:val="58734628"/>
    <w:rsid w:val="59722590"/>
    <w:rsid w:val="598F0310"/>
    <w:rsid w:val="59E85E60"/>
    <w:rsid w:val="59FD2825"/>
    <w:rsid w:val="5A0B5058"/>
    <w:rsid w:val="5B1F26BA"/>
    <w:rsid w:val="5B4162F2"/>
    <w:rsid w:val="5B6B1990"/>
    <w:rsid w:val="5B6E2B3B"/>
    <w:rsid w:val="5C270F1D"/>
    <w:rsid w:val="5C8F3336"/>
    <w:rsid w:val="5C927AE0"/>
    <w:rsid w:val="5CDE243B"/>
    <w:rsid w:val="5D754213"/>
    <w:rsid w:val="5D837E1D"/>
    <w:rsid w:val="5D98197C"/>
    <w:rsid w:val="5DAF4A90"/>
    <w:rsid w:val="5E102188"/>
    <w:rsid w:val="5EA6472F"/>
    <w:rsid w:val="5EC22C27"/>
    <w:rsid w:val="5F041F5F"/>
    <w:rsid w:val="5F1337E9"/>
    <w:rsid w:val="5F3F6973"/>
    <w:rsid w:val="5FA75912"/>
    <w:rsid w:val="5FE45DE0"/>
    <w:rsid w:val="5FE5141B"/>
    <w:rsid w:val="60D85E8A"/>
    <w:rsid w:val="612E6E2A"/>
    <w:rsid w:val="61604458"/>
    <w:rsid w:val="629642BB"/>
    <w:rsid w:val="62FE7930"/>
    <w:rsid w:val="6315604E"/>
    <w:rsid w:val="63A802C2"/>
    <w:rsid w:val="64F54A79"/>
    <w:rsid w:val="65037CE8"/>
    <w:rsid w:val="652D0705"/>
    <w:rsid w:val="65676159"/>
    <w:rsid w:val="65E26DFB"/>
    <w:rsid w:val="65EF3B0C"/>
    <w:rsid w:val="664B421A"/>
    <w:rsid w:val="66740FA8"/>
    <w:rsid w:val="670B0B64"/>
    <w:rsid w:val="67B45FC3"/>
    <w:rsid w:val="67C65F33"/>
    <w:rsid w:val="68186A2D"/>
    <w:rsid w:val="690B57BB"/>
    <w:rsid w:val="693718D7"/>
    <w:rsid w:val="69801D62"/>
    <w:rsid w:val="69AB7271"/>
    <w:rsid w:val="69B27FF1"/>
    <w:rsid w:val="6A5B058F"/>
    <w:rsid w:val="6ADC7A7D"/>
    <w:rsid w:val="6ADD047E"/>
    <w:rsid w:val="6AFB15BD"/>
    <w:rsid w:val="6B0C7C6D"/>
    <w:rsid w:val="6BA04A3E"/>
    <w:rsid w:val="6C042199"/>
    <w:rsid w:val="6C2F1675"/>
    <w:rsid w:val="6C4A1BC7"/>
    <w:rsid w:val="6CE15D0F"/>
    <w:rsid w:val="6CFC63A0"/>
    <w:rsid w:val="6D9165AA"/>
    <w:rsid w:val="6DDB10B7"/>
    <w:rsid w:val="6E6F41E6"/>
    <w:rsid w:val="6E865A0B"/>
    <w:rsid w:val="6ECB5AFA"/>
    <w:rsid w:val="6F2A656C"/>
    <w:rsid w:val="6F637933"/>
    <w:rsid w:val="6F9159A1"/>
    <w:rsid w:val="6FE96964"/>
    <w:rsid w:val="70966945"/>
    <w:rsid w:val="70D46D82"/>
    <w:rsid w:val="71462673"/>
    <w:rsid w:val="716C6DCC"/>
    <w:rsid w:val="724E3782"/>
    <w:rsid w:val="72902DA7"/>
    <w:rsid w:val="72A57890"/>
    <w:rsid w:val="72AD55AD"/>
    <w:rsid w:val="731A3376"/>
    <w:rsid w:val="735E0012"/>
    <w:rsid w:val="73673268"/>
    <w:rsid w:val="73B54DDE"/>
    <w:rsid w:val="743F2AD2"/>
    <w:rsid w:val="7470173A"/>
    <w:rsid w:val="74CB497C"/>
    <w:rsid w:val="75F82604"/>
    <w:rsid w:val="76301283"/>
    <w:rsid w:val="76380C6F"/>
    <w:rsid w:val="764F12F9"/>
    <w:rsid w:val="767874E3"/>
    <w:rsid w:val="768024F8"/>
    <w:rsid w:val="77187B21"/>
    <w:rsid w:val="77387FCF"/>
    <w:rsid w:val="774B1B00"/>
    <w:rsid w:val="775725A0"/>
    <w:rsid w:val="777A2A82"/>
    <w:rsid w:val="78327197"/>
    <w:rsid w:val="78675AD3"/>
    <w:rsid w:val="78D70170"/>
    <w:rsid w:val="78FE2CC9"/>
    <w:rsid w:val="79123E17"/>
    <w:rsid w:val="792B04A4"/>
    <w:rsid w:val="79387F53"/>
    <w:rsid w:val="794761A6"/>
    <w:rsid w:val="7A31432B"/>
    <w:rsid w:val="7A7D2F58"/>
    <w:rsid w:val="7AE925C7"/>
    <w:rsid w:val="7B38234C"/>
    <w:rsid w:val="7BD32074"/>
    <w:rsid w:val="7C2D6B7E"/>
    <w:rsid w:val="7C94167F"/>
    <w:rsid w:val="7CA613CD"/>
    <w:rsid w:val="7D104923"/>
    <w:rsid w:val="7D9C76EE"/>
    <w:rsid w:val="7F642A46"/>
    <w:rsid w:val="7F64616D"/>
    <w:rsid w:val="7F861A6C"/>
    <w:rsid w:val="7FB16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10537</Words>
  <Characters>11158</Characters>
  <Lines>18</Lines>
  <Paragraphs>5</Paragraphs>
  <TotalTime>50</TotalTime>
  <ScaleCrop>false</ScaleCrop>
  <LinksUpToDate>false</LinksUpToDate>
  <CharactersWithSpaces>12872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Administrator</cp:lastModifiedBy>
  <cp:lastPrinted>2024-02-27T06:19:00Z</cp:lastPrinted>
  <dcterms:modified xsi:type="dcterms:W3CDTF">2026-07-08T08:32:50Z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9CD7CABCC7B048E0A0888FA576A1C842</vt:lpwstr>
  </property>
  <property fmtid="{D5CDD505-2E9C-101B-9397-08002B2CF9AE}" pid="4" name="KSOTemplateDocerSaveRecord">
    <vt:lpwstr>eyJoZGlkIjoiYzVjNmI1YzJiNzM4YTMwNWI3YjY3ZTk2ZjY0ZmNiZmMiLCJ1c2VySWQiOiI1NDY4ODQzODIifQ==</vt:lpwstr>
  </property>
</Properties>
</file>