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eastAsia="黑体"/>
          <w:b/>
          <w:sz w:val="52"/>
        </w:rPr>
      </w:pPr>
      <w:r>
        <w:rPr>
          <w:rFonts w:hint="eastAsia" w:eastAsia="黑体"/>
          <w:b/>
          <w:sz w:val="52"/>
        </w:rPr>
        <w:t>基于VR全景漫游的山火火场监测研判技术研究及应用</w:t>
      </w:r>
    </w:p>
    <w:p>
      <w:pPr>
        <w:adjustRightInd w:val="0"/>
        <w:snapToGrid w:val="0"/>
        <w:jc w:val="center"/>
        <w:rPr>
          <w:rFonts w:eastAsia="黑体"/>
          <w:b/>
          <w:sz w:val="52"/>
        </w:rPr>
      </w:pPr>
      <w:r>
        <w:rPr>
          <w:rFonts w:eastAsia="黑体"/>
          <w:b/>
          <w:sz w:val="52"/>
        </w:rPr>
        <w:t>技术规范书</w: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keepNext w:val="0"/>
        <w:keepLines w:val="0"/>
        <w:pageBreakBefore w:val="0"/>
        <w:widowControl w:val="0"/>
        <w:kinsoku/>
        <w:wordWrap/>
        <w:overflowPunct/>
        <w:topLinePunct w:val="0"/>
        <w:autoSpaceDE/>
        <w:autoSpaceDN/>
        <w:bidi w:val="0"/>
        <w:adjustRightInd/>
        <w:snapToGrid/>
        <w:spacing w:line="600" w:lineRule="auto"/>
        <w:ind w:firstLine="2209" w:firstLineChars="500"/>
        <w:textAlignment w:val="auto"/>
        <w:rPr>
          <w:rFonts w:hint="eastAsia"/>
          <w:b/>
          <w:bCs/>
          <w:color w:val="auto"/>
          <w:sz w:val="44"/>
          <w:szCs w:val="44"/>
          <w:lang w:val="en-US" w:eastAsia="zh-CN"/>
        </w:rPr>
      </w:pPr>
      <w:r>
        <w:rPr>
          <w:rFonts w:hint="eastAsia"/>
          <w:b/>
          <w:bCs/>
          <w:color w:val="auto"/>
          <w:sz w:val="44"/>
          <w:szCs w:val="44"/>
          <w:lang w:val="en-US" w:eastAsia="zh-CN"/>
        </w:rPr>
        <w:t>批 准：</w:t>
      </w:r>
    </w:p>
    <w:p>
      <w:pPr>
        <w:keepNext w:val="0"/>
        <w:keepLines w:val="0"/>
        <w:pageBreakBefore w:val="0"/>
        <w:widowControl w:val="0"/>
        <w:kinsoku/>
        <w:wordWrap/>
        <w:overflowPunct/>
        <w:topLinePunct w:val="0"/>
        <w:autoSpaceDE/>
        <w:autoSpaceDN/>
        <w:bidi w:val="0"/>
        <w:adjustRightInd/>
        <w:snapToGrid/>
        <w:spacing w:line="600" w:lineRule="auto"/>
        <w:ind w:firstLine="2209" w:firstLineChars="500"/>
        <w:textAlignment w:val="auto"/>
        <w:rPr>
          <w:rFonts w:hint="eastAsia" w:ascii="Times New Roman" w:hAnsi="Times New Roman" w:eastAsia="宋体" w:cs="Times New Roman"/>
          <w:b/>
          <w:bCs/>
          <w:color w:val="auto"/>
          <w:kern w:val="2"/>
          <w:sz w:val="44"/>
          <w:szCs w:val="44"/>
          <w:lang w:val="en-US" w:eastAsia="zh-CN" w:bidi="ar-SA"/>
        </w:rPr>
      </w:pPr>
      <w:r>
        <w:rPr>
          <w:rFonts w:hint="eastAsia" w:ascii="Times New Roman" w:hAnsi="Times New Roman" w:eastAsia="宋体" w:cs="Times New Roman"/>
          <w:b/>
          <w:bCs/>
          <w:color w:val="auto"/>
          <w:kern w:val="2"/>
          <w:sz w:val="44"/>
          <w:szCs w:val="44"/>
          <w:lang w:val="en-US" w:eastAsia="zh-CN" w:bidi="ar-SA"/>
        </w:rPr>
        <w:t>审</w:t>
      </w:r>
      <w:r>
        <w:rPr>
          <w:rFonts w:hint="eastAsia" w:cs="Times New Roman"/>
          <w:b/>
          <w:bCs/>
          <w:color w:val="auto"/>
          <w:kern w:val="2"/>
          <w:sz w:val="44"/>
          <w:szCs w:val="44"/>
          <w:lang w:val="en-US" w:eastAsia="zh-CN" w:bidi="ar-SA"/>
        </w:rPr>
        <w:t xml:space="preserve"> </w:t>
      </w:r>
      <w:r>
        <w:rPr>
          <w:rFonts w:hint="eastAsia" w:ascii="Times New Roman" w:hAnsi="Times New Roman" w:eastAsia="宋体" w:cs="Times New Roman"/>
          <w:b/>
          <w:bCs/>
          <w:color w:val="auto"/>
          <w:kern w:val="2"/>
          <w:sz w:val="44"/>
          <w:szCs w:val="44"/>
          <w:lang w:val="en-US" w:eastAsia="zh-CN" w:bidi="ar-SA"/>
        </w:rPr>
        <w:t>核：</w:t>
      </w:r>
    </w:p>
    <w:p>
      <w:pPr>
        <w:keepNext w:val="0"/>
        <w:keepLines w:val="0"/>
        <w:pageBreakBefore w:val="0"/>
        <w:widowControl w:val="0"/>
        <w:kinsoku/>
        <w:wordWrap/>
        <w:overflowPunct/>
        <w:topLinePunct w:val="0"/>
        <w:autoSpaceDE/>
        <w:autoSpaceDN/>
        <w:bidi w:val="0"/>
        <w:adjustRightInd/>
        <w:snapToGrid/>
        <w:spacing w:line="600" w:lineRule="auto"/>
        <w:ind w:firstLine="2209" w:firstLineChars="500"/>
        <w:textAlignment w:val="auto"/>
        <w:rPr>
          <w:sz w:val="44"/>
          <w:szCs w:val="44"/>
        </w:rPr>
      </w:pPr>
      <w:r>
        <w:rPr>
          <w:rFonts w:hint="eastAsia" w:ascii="Times New Roman" w:hAnsi="Times New Roman" w:eastAsia="宋体" w:cs="Times New Roman"/>
          <w:b/>
          <w:bCs/>
          <w:color w:val="auto"/>
          <w:kern w:val="2"/>
          <w:sz w:val="44"/>
          <w:szCs w:val="44"/>
          <w:lang w:val="en-US" w:eastAsia="zh-CN" w:bidi="ar-SA"/>
        </w:rPr>
        <w:t>编</w:t>
      </w:r>
      <w:r>
        <w:rPr>
          <w:rFonts w:hint="eastAsia" w:cs="Times New Roman"/>
          <w:b/>
          <w:bCs/>
          <w:color w:val="auto"/>
          <w:kern w:val="2"/>
          <w:sz w:val="44"/>
          <w:szCs w:val="44"/>
          <w:lang w:val="en-US" w:eastAsia="zh-CN" w:bidi="ar-SA"/>
        </w:rPr>
        <w:t xml:space="preserve"> </w:t>
      </w:r>
      <w:r>
        <w:rPr>
          <w:rFonts w:hint="eastAsia" w:ascii="Times New Roman" w:hAnsi="Times New Roman" w:eastAsia="宋体" w:cs="Times New Roman"/>
          <w:b/>
          <w:bCs/>
          <w:color w:val="auto"/>
          <w:kern w:val="2"/>
          <w:sz w:val="44"/>
          <w:szCs w:val="44"/>
          <w:lang w:val="en-US" w:eastAsia="zh-CN" w:bidi="ar-SA"/>
        </w:rPr>
        <w:t>写：</w: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pPr>
        <w:snapToGrid w:val="0"/>
        <w:spacing w:before="120"/>
        <w:rPr>
          <w:rFonts w:hint="eastAsia" w:ascii="黑体" w:hAnsi="黑体" w:eastAsia="黑体" w:cs="黑体"/>
          <w:b/>
          <w:bCs/>
          <w:sz w:val="28"/>
          <w:szCs w:val="36"/>
        </w:rPr>
        <w:sectPr>
          <w:pgSz w:w="11906" w:h="16838"/>
          <w:pgMar w:top="1440" w:right="1800" w:bottom="1440" w:left="1800" w:header="851" w:footer="992" w:gutter="0"/>
          <w:cols w:space="425" w:num="1"/>
          <w:docGrid w:type="lines" w:linePitch="312" w:charSpace="0"/>
        </w:sectPr>
      </w:pPr>
    </w:p>
    <w:p>
      <w:pPr>
        <w:snapToGrid w:val="0"/>
        <w:spacing w:before="120"/>
        <w:rPr>
          <w:rFonts w:hint="eastAsia" w:ascii="黑体" w:hAnsi="黑体" w:eastAsia="黑体" w:cs="黑体"/>
          <w:b/>
          <w:bCs/>
          <w:sz w:val="28"/>
          <w:szCs w:val="28"/>
        </w:rPr>
      </w:pPr>
      <w:bookmarkStart w:id="37" w:name="_GoBack"/>
      <w:bookmarkEnd w:id="37"/>
      <w:r>
        <w:rPr>
          <w:rFonts w:hint="eastAsia" w:ascii="黑体" w:hAnsi="黑体" w:eastAsia="黑体" w:cs="黑体"/>
          <w:b/>
          <w:bCs/>
          <w:sz w:val="28"/>
          <w:szCs w:val="36"/>
        </w:rPr>
        <w:t>1 总则</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基于VR全景漫游的山火火场监测研判技术研究及应用》管理创新项目，提出了通过前端运维人员采集相关数据并传回后台，后台人员利用VR全景漫游技术识别火场与线路相对位置及发展变化情况，主要应用于各单位生产指挥中心与输电现场观火人员之间信息互通与及时研判处置。投标方应针对自身特点，根据本技术规范书所描述的具体要求，提供完整的解决方案。</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投标方应保证提供符合本技术规范书和相关国际、国内标准的优质管理咨询服务。对国家有关安全、环保等强制性标准，必须满足其要求。如果规范书所使用的标准与投标方所执行的标准不一致时，按较高标准执行。</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任何与本技术规范书或标准的偏差只有在得到招标方的书面批准后方能认可。</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在合同签订之后，招标方有权提出因规范标准和规程变化而产生的一些补充要求，具体项目及内容由双方共同商定。</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投标人编制应标文件时，可以提出不同的建议方案，但建议方案必须满足但不限于本技术规范书所阐述的全部要求，应标文件要求文字详细、数据准确、表述及图示清晰明确，具有针对性。</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 本技术规范书仅提出基本的技术需求，不保证对一切技术细节做出规定，也不保证已充分引述有关标准和技术条文，投标方须根据需求目标提供进一步具体的可满足要求的服务内容。</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 投标方在应标文件中应如实反映与本技术规范书的技术差异。如果投标方没有提出技术差异，招标方即认为投标方所提供的服务完全满足本技术规范书的要求，在执行合同的过程中，招标方发现投标方提供的服务与其应标技术规范书的条文存在差异，招标方有权利要求中止合同。</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 本技术规范书未尽事宜，由招标方与投标方双方协商确定。</w:t>
      </w:r>
    </w:p>
    <w:p>
      <w:pPr>
        <w:snapToGrid w:val="0"/>
        <w:spacing w:before="120"/>
        <w:rPr>
          <w:rFonts w:hint="eastAsia" w:ascii="黑体" w:hAnsi="黑体" w:eastAsia="黑体" w:cs="黑体"/>
          <w:b/>
          <w:bCs/>
          <w:sz w:val="28"/>
          <w:szCs w:val="36"/>
        </w:rPr>
      </w:pPr>
      <w:bookmarkStart w:id="0" w:name="_Toc26376"/>
      <w:bookmarkStart w:id="1" w:name="_Toc241911995"/>
      <w:bookmarkStart w:id="2" w:name="_Toc155114607"/>
      <w:r>
        <w:rPr>
          <w:rFonts w:hint="eastAsia" w:ascii="黑体" w:hAnsi="黑体" w:eastAsia="黑体" w:cs="黑体"/>
          <w:b/>
          <w:bCs/>
          <w:sz w:val="28"/>
          <w:szCs w:val="36"/>
        </w:rPr>
        <w:t xml:space="preserve">2 </w:t>
      </w:r>
      <w:bookmarkEnd w:id="0"/>
      <w:bookmarkStart w:id="3" w:name="_Toc441483964"/>
      <w:bookmarkStart w:id="4" w:name="_Toc531004210"/>
      <w:bookmarkStart w:id="5" w:name="_Toc531004264"/>
      <w:r>
        <w:rPr>
          <w:rFonts w:hint="eastAsia" w:ascii="黑体" w:hAnsi="黑体" w:eastAsia="黑体" w:cs="黑体"/>
          <w:b/>
          <w:bCs/>
          <w:sz w:val="28"/>
          <w:szCs w:val="36"/>
        </w:rPr>
        <w:t>项目有关内容</w:t>
      </w:r>
      <w:bookmarkEnd w:id="3"/>
      <w:bookmarkEnd w:id="4"/>
      <w:bookmarkEnd w:id="5"/>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2.1项目背景</w:t>
      </w:r>
    </w:p>
    <w:bookmarkEnd w:id="1"/>
    <w:bookmarkEnd w:id="2"/>
    <w:p>
      <w:pPr>
        <w:ind w:firstLine="480" w:firstLineChars="200"/>
        <w:rPr>
          <w:rFonts w:hint="eastAsia" w:asciiTheme="minorEastAsia" w:hAnsiTheme="minorEastAsia" w:eastAsiaTheme="minorEastAsia" w:cstheme="minorEastAsia"/>
          <w:sz w:val="24"/>
        </w:rPr>
      </w:pPr>
      <w:bookmarkStart w:id="6" w:name="_Toc384340980"/>
      <w:bookmarkStart w:id="7" w:name="_Toc20556"/>
      <w:bookmarkStart w:id="8" w:name="_Toc39753342"/>
      <w:bookmarkStart w:id="9" w:name="_Toc22304900"/>
      <w:bookmarkStart w:id="10" w:name="_Toc39753999"/>
      <w:r>
        <w:rPr>
          <w:rFonts w:hint="eastAsia" w:asciiTheme="minorEastAsia" w:hAnsiTheme="minorEastAsia" w:eastAsiaTheme="minorEastAsia" w:cstheme="minorEastAsia"/>
          <w:sz w:val="24"/>
        </w:rPr>
        <w:t>近年来随着外部生态环境不断向好，加之人为野外用火增加，线路周边发生山火的情况时有发生，据统计2025年南宁局累计收到卫星山火告警950条，实际发生山火15起，跳闸1起，降压运行2起，给设备安全稳定运行带来了严峻考验。</w:t>
      </w:r>
    </w:p>
    <w:p>
      <w:pPr>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同时，现有的火情检测和研判处置过程中也存在以下三个问题。1、在山火发生时现场观火人员技能水平不一，拍摄的现场照片无法有效反映火场真实情况，影响后台开展火情研判；2、现有方式主要依靠图像视频监测、无人机采集现场单张照片，对于同走廊多条线路、交叉跨越等复杂情况时，存在视角受限观测不全的情况；3、当山火延续至夜间时，无有效工具观测和研判发展趋势，同时也给现场观火、灭火人员带来人身风险。</w:t>
      </w:r>
    </w:p>
    <w:p>
      <w:pPr>
        <w:snapToGrid w:val="0"/>
        <w:spacing w:before="120"/>
        <w:rPr>
          <w:rFonts w:hint="eastAsia" w:asciiTheme="minorEastAsia" w:hAnsiTheme="minorEastAsia" w:eastAsiaTheme="minorEastAsia" w:cstheme="minorEastAsia"/>
          <w:sz w:val="24"/>
        </w:rPr>
      </w:pP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3 应遵循的主要标准</w:t>
      </w:r>
      <w:bookmarkEnd w:id="6"/>
      <w:bookmarkEnd w:id="7"/>
      <w:bookmarkEnd w:id="8"/>
      <w:bookmarkEnd w:id="9"/>
      <w:bookmarkEnd w:id="10"/>
    </w:p>
    <w:p>
      <w:pPr>
        <w:adjustRightInd w:val="0"/>
        <w:snapToGrid w:val="0"/>
        <w:rPr>
          <w:rFonts w:hint="eastAsia" w:asciiTheme="minorEastAsia" w:hAnsiTheme="minorEastAsia" w:eastAsiaTheme="minorEastAsia" w:cstheme="minorEastAsia"/>
          <w:sz w:val="24"/>
        </w:rPr>
      </w:pPr>
      <w:bookmarkStart w:id="11" w:name="_Toc146182538"/>
      <w:bookmarkStart w:id="12" w:name="_Toc448828694"/>
      <w:bookmarkStart w:id="13" w:name="_Toc155114612"/>
      <w:bookmarkStart w:id="14" w:name="_Toc459534976"/>
      <w:bookmarkStart w:id="15" w:name="_Toc455373921"/>
      <w:bookmarkStart w:id="16" w:name="_Toc114253693"/>
      <w:bookmarkStart w:id="17" w:name="_Toc457979127"/>
      <w:bookmarkStart w:id="18" w:name="_Toc241912000"/>
      <w:bookmarkStart w:id="19" w:name="_Toc455543289"/>
      <w:bookmarkStart w:id="20" w:name="_Toc482581219"/>
      <w:bookmarkStart w:id="21" w:name="_Toc457986926"/>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Q/CSG2021008-2021 中国南方电网有限责任公司规章制度管理规定</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Q/CSG-EHV222001-2022超高压输电公司管理制度管理规定</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Q/CSG2152010-2022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中国南方电网有限责任公司信息系统运行管理办法</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Q/CSG2153078-2020</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中国南方电网有限责任公司信息化项目管理细则</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Q/CSG2153080-2020</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中国南方电网有限责任公司信息化项目建设管理细则</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Q/CSG2153002-2022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中国南方电网有限责任公司数据质量管理细则</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Q/CSG2153004-2022</w:t>
      </w:r>
      <w:r>
        <w:rPr>
          <w:rFonts w:hint="eastAsia" w:asciiTheme="minorEastAsia" w:hAnsiTheme="minorEastAsia" w:eastAsiaTheme="minorEastAsia" w:cstheme="minorEastAsia"/>
          <w:sz w:val="24"/>
        </w:rPr>
        <w:tab/>
      </w:r>
      <w:r>
        <w:rPr>
          <w:rFonts w:hint="eastAsia" w:asciiTheme="minorEastAsia" w:hAnsiTheme="minorEastAsia" w:eastAsiaTheme="minorEastAsia" w:cstheme="minorEastAsia"/>
          <w:sz w:val="24"/>
        </w:rPr>
        <w:t>中国南方电网有限责任公司数据采集与运维管理细则</w:t>
      </w:r>
    </w:p>
    <w:p>
      <w:pPr>
        <w:pStyle w:val="9"/>
        <w:ind w:left="0"/>
        <w:rPr>
          <w:rFonts w:hint="eastAsia" w:asciiTheme="minorEastAsia" w:hAnsiTheme="minorEastAsia" w:eastAsiaTheme="minorEastAsia" w:cstheme="minorEastAsia"/>
          <w:kern w:val="2"/>
          <w:sz w:val="24"/>
        </w:rPr>
      </w:pPr>
      <w:r>
        <w:rPr>
          <w:rFonts w:hint="eastAsia" w:asciiTheme="minorEastAsia" w:hAnsiTheme="minorEastAsia" w:eastAsiaTheme="minorEastAsia" w:cstheme="minorEastAsia"/>
          <w:kern w:val="2"/>
          <w:sz w:val="24"/>
        </w:rPr>
        <w:t>DL/T 5429《电力系统设计技术规程》</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南方电网总调〔2020〕4号《南方电网电力监控系统网络安全全域防御与纵深防御体系建设工作方案》</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南方电网生技〔2022〕29号 附件1《南方电网公司数字生产“十四五”行动计划》</w:t>
      </w:r>
    </w:p>
    <w:p>
      <w:pPr>
        <w:rPr>
          <w:rFonts w:ascii="Times New Roman" w:hAnsi="Times New Roman"/>
          <w:szCs w:val="21"/>
        </w:rPr>
      </w:pPr>
      <w:r>
        <w:rPr>
          <w:rFonts w:hint="eastAsia" w:ascii="Times New Roman" w:hAnsi="Times New Roman"/>
          <w:szCs w:val="21"/>
        </w:rPr>
        <w:t>注：上述标准是招标方最低要求。除此标准以外，投标人可以推荐其他标准，但事先必须通过招标方认可，或选择其中较高标准。</w:t>
      </w:r>
    </w:p>
    <w:p/>
    <w:p>
      <w:pPr>
        <w:snapToGrid w:val="0"/>
        <w:spacing w:before="120"/>
        <w:rPr>
          <w:rFonts w:hint="eastAsia" w:ascii="黑体" w:hAnsi="黑体" w:eastAsia="黑体" w:cs="黑体"/>
          <w:b/>
          <w:bCs/>
          <w:sz w:val="28"/>
          <w:szCs w:val="36"/>
        </w:rPr>
      </w:pPr>
      <w:bookmarkStart w:id="22" w:name="_Toc22304904"/>
      <w:bookmarkStart w:id="23" w:name="_Toc282993253"/>
      <w:bookmarkStart w:id="24" w:name="_Toc32408"/>
      <w:bookmarkStart w:id="25" w:name="_Toc39754002"/>
      <w:bookmarkStart w:id="26" w:name="_Toc384340984"/>
      <w:bookmarkStart w:id="27" w:name="_Toc39753345"/>
      <w:r>
        <w:rPr>
          <w:rFonts w:hint="eastAsia" w:ascii="黑体" w:hAnsi="黑体" w:eastAsia="黑体" w:cs="黑体"/>
          <w:b/>
          <w:bCs/>
          <w:sz w:val="28"/>
          <w:szCs w:val="36"/>
        </w:rPr>
        <w:t>4 技术要求</w:t>
      </w:r>
      <w:bookmarkEnd w:id="22"/>
      <w:bookmarkEnd w:id="23"/>
      <w:bookmarkEnd w:id="24"/>
      <w:bookmarkEnd w:id="25"/>
      <w:bookmarkEnd w:id="26"/>
      <w:bookmarkEnd w:id="27"/>
    </w:p>
    <w:p>
      <w:pPr>
        <w:adjustRightInd w:val="0"/>
        <w:snapToGrid w:val="0"/>
        <w:rPr>
          <w:rFonts w:hint="eastAsia" w:ascii="宋体" w:hAnsi="宋体" w:eastAsiaTheme="minorEastAsia"/>
          <w:sz w:val="24"/>
        </w:rPr>
      </w:pPr>
      <w:r>
        <w:rPr>
          <w:rFonts w:hint="eastAsia" w:ascii="宋体" w:hAnsi="宋体"/>
          <w:sz w:val="24"/>
        </w:rPr>
        <w:t xml:space="preserve">4.1 </w:t>
      </w:r>
      <w:r>
        <w:rPr>
          <w:rFonts w:ascii="宋体" w:hAnsi="宋体"/>
          <w:sz w:val="24"/>
        </w:rPr>
        <w:t>研究要求。结合实际开展现状调研与需求分析，了解相关单位业务框架流程与移动端数字化应用情况，综合一线观火人员与指挥中心需求，开展基于移动端+无人机协同的离线山火智能识别技术可行性研究。基于内外部数据梳理业务框架，形成典型应用场景及机制建设。在满足网络安全、终端信息安全、无人机飞行管控安全及数据本地管控的前提下，开展本项</w:t>
      </w:r>
      <w:r>
        <w:rPr>
          <w:rFonts w:hint="eastAsia" w:ascii="宋体" w:hAnsi="宋体"/>
          <w:sz w:val="24"/>
        </w:rPr>
        <w:t>+</w:t>
      </w:r>
      <w:r>
        <w:rPr>
          <w:rFonts w:ascii="宋体" w:hAnsi="宋体"/>
          <w:sz w:val="24"/>
        </w:rPr>
        <w:t>目研究任务。</w:t>
      </w:r>
    </w:p>
    <w:p>
      <w:pPr>
        <w:adjustRightInd w:val="0"/>
        <w:snapToGrid w:val="0"/>
        <w:rPr>
          <w:rFonts w:hint="eastAsia" w:ascii="宋体" w:hAnsi="宋体"/>
          <w:sz w:val="24"/>
        </w:rPr>
      </w:pPr>
      <w:r>
        <w:rPr>
          <w:rFonts w:hint="eastAsia" w:ascii="宋体" w:hAnsi="宋体"/>
          <w:sz w:val="24"/>
        </w:rPr>
        <w:t>4.2 研究内容。</w:t>
      </w:r>
    </w:p>
    <w:p>
      <w:pPr>
        <w:adjustRightInd w:val="0"/>
        <w:snapToGrid w:val="0"/>
        <w:rPr>
          <w:rFonts w:hint="eastAsia" w:ascii="宋体" w:hAnsi="宋体"/>
          <w:sz w:val="24"/>
        </w:rPr>
      </w:pPr>
      <w:r>
        <w:rPr>
          <w:rFonts w:hint="eastAsia" w:ascii="宋体" w:hAnsi="宋体"/>
          <w:sz w:val="24"/>
        </w:rPr>
        <w:t>4.2.1 主要项目内容</w:t>
      </w:r>
    </w:p>
    <w:p>
      <w:pPr>
        <w:adjustRightInd w:val="0"/>
        <w:snapToGrid w:val="0"/>
        <w:rPr>
          <w:rFonts w:hint="eastAsia"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spacing w:line="240" w:lineRule="auto"/>
              <w:jc w:val="center"/>
              <w:rPr>
                <w:rFonts w:hint="eastAsia" w:ascii="宋体" w:hAnsi="宋体" w:cs="宋体"/>
                <w:b/>
                <w:bCs/>
                <w:szCs w:val="21"/>
              </w:rPr>
            </w:pPr>
            <w:r>
              <w:rPr>
                <w:rFonts w:hint="eastAsia" w:ascii="宋体" w:hAnsi="宋体" w:cs="宋体"/>
                <w:b/>
                <w:bCs/>
                <w:szCs w:val="21"/>
              </w:rPr>
              <w:t>序号</w:t>
            </w:r>
          </w:p>
        </w:tc>
        <w:tc>
          <w:tcPr>
            <w:tcW w:w="2985" w:type="dxa"/>
            <w:vAlign w:val="center"/>
          </w:tcPr>
          <w:p>
            <w:pPr>
              <w:spacing w:line="240" w:lineRule="auto"/>
              <w:jc w:val="center"/>
              <w:rPr>
                <w:rFonts w:hint="eastAsia" w:ascii="宋体" w:hAnsi="宋体" w:cs="宋体"/>
                <w:b/>
                <w:bCs/>
                <w:szCs w:val="21"/>
              </w:rPr>
            </w:pPr>
            <w:r>
              <w:rPr>
                <w:rFonts w:hint="eastAsia" w:ascii="宋体" w:hAnsi="宋体" w:cs="宋体"/>
                <w:b/>
                <w:bCs/>
                <w:szCs w:val="21"/>
              </w:rPr>
              <w:t>主要项目内容</w:t>
            </w:r>
          </w:p>
        </w:tc>
        <w:tc>
          <w:tcPr>
            <w:tcW w:w="2363" w:type="dxa"/>
            <w:vAlign w:val="center"/>
          </w:tcPr>
          <w:p>
            <w:pPr>
              <w:spacing w:line="240" w:lineRule="auto"/>
              <w:jc w:val="center"/>
              <w:rPr>
                <w:rFonts w:hint="eastAsia" w:ascii="宋体" w:hAnsi="宋体" w:cs="宋体"/>
                <w:b/>
                <w:bCs/>
                <w:szCs w:val="21"/>
              </w:rPr>
            </w:pPr>
            <w:r>
              <w:rPr>
                <w:rFonts w:hint="eastAsia" w:ascii="宋体" w:hAnsi="宋体" w:cs="宋体"/>
                <w:b/>
                <w:bCs/>
                <w:szCs w:val="21"/>
              </w:rPr>
              <w:t>交付物</w:t>
            </w:r>
          </w:p>
        </w:tc>
        <w:tc>
          <w:tcPr>
            <w:tcW w:w="2357" w:type="dxa"/>
            <w:vAlign w:val="center"/>
          </w:tcPr>
          <w:p>
            <w:pPr>
              <w:spacing w:line="240" w:lineRule="auto"/>
              <w:jc w:val="center"/>
              <w:rPr>
                <w:rFonts w:hint="eastAsia" w:ascii="宋体" w:hAnsi="宋体" w:cs="宋体"/>
                <w:b/>
                <w:bCs/>
                <w:szCs w:val="21"/>
              </w:rPr>
            </w:pPr>
            <w:r>
              <w:rPr>
                <w:rFonts w:hint="eastAsia" w:ascii="宋体" w:hAnsi="宋体" w:cs="宋体"/>
                <w:b/>
                <w:bCs/>
                <w:szCs w:val="21"/>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hint="eastAsia" w:ascii="宋体" w:hAnsi="宋体" w:cs="宋体"/>
                <w:szCs w:val="21"/>
              </w:rPr>
            </w:pPr>
            <w:r>
              <w:rPr>
                <w:rFonts w:hint="eastAsia" w:ascii="宋体" w:hAnsi="宋体" w:cs="宋体"/>
                <w:szCs w:val="21"/>
              </w:rPr>
              <w:t>1</w:t>
            </w:r>
          </w:p>
        </w:tc>
        <w:tc>
          <w:tcPr>
            <w:tcW w:w="2985" w:type="dxa"/>
            <w:shd w:val="clear" w:color="auto" w:fill="auto"/>
            <w:vAlign w:val="center"/>
          </w:tcPr>
          <w:p>
            <w:pPr>
              <w:spacing w:line="240" w:lineRule="auto"/>
              <w:jc w:val="center"/>
              <w:rPr>
                <w:rFonts w:hint="eastAsia" w:ascii="宋体" w:hAnsi="宋体" w:cs="宋体"/>
                <w:szCs w:val="21"/>
              </w:rPr>
            </w:pPr>
            <w:r>
              <w:rPr>
                <w:rFonts w:hint="eastAsia" w:ascii="宋体" w:hAnsi="宋体" w:cs="宋体"/>
                <w:szCs w:val="21"/>
              </w:rPr>
              <w:t>研究一种基于VR全景漫游的山火火场监测研判技术离线Windows应用。现场前端通过大疆无人机拍摄山火和导线照片，根据照片中无人机位置本地离线计算距离，标记火点经纬度/相对位置，并支持查看3D全景照片。</w:t>
            </w:r>
          </w:p>
        </w:tc>
        <w:tc>
          <w:tcPr>
            <w:tcW w:w="2363" w:type="dxa"/>
            <w:shd w:val="clear" w:color="auto" w:fill="auto"/>
            <w:vAlign w:val="center"/>
          </w:tcPr>
          <w:p>
            <w:pPr>
              <w:spacing w:line="240" w:lineRule="auto"/>
              <w:jc w:val="center"/>
              <w:rPr>
                <w:rFonts w:hint="eastAsia" w:ascii="宋体" w:hAnsi="宋体" w:cs="宋体"/>
                <w:szCs w:val="21"/>
              </w:rPr>
            </w:pPr>
            <w:r>
              <w:rPr>
                <w:rFonts w:hint="eastAsia" w:ascii="宋体" w:hAnsi="宋体" w:cs="宋体"/>
                <w:szCs w:val="21"/>
              </w:rPr>
              <w:t>基于VR全景漫游的山火火场监测研判技术Windows安装包</w:t>
            </w:r>
          </w:p>
        </w:tc>
        <w:tc>
          <w:tcPr>
            <w:tcW w:w="2357" w:type="dxa"/>
            <w:vAlign w:val="center"/>
          </w:tcPr>
          <w:p>
            <w:pPr>
              <w:spacing w:line="240" w:lineRule="auto"/>
              <w:jc w:val="center"/>
              <w:rPr>
                <w:rFonts w:hint="eastAsia" w:ascii="宋体" w:hAnsi="宋体" w:cs="宋体"/>
              </w:rPr>
            </w:pPr>
            <w:r>
              <w:rPr>
                <w:rFonts w:hint="eastAsia" w:asciiTheme="minorEastAsia" w:hAnsiTheme="minorEastAsia" w:cstheme="minorEastAsia"/>
                <w:szCs w:val="21"/>
              </w:rPr>
              <w:t>2026年11月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hint="eastAsia" w:ascii="宋体" w:hAnsi="宋体" w:cs="宋体"/>
                <w:szCs w:val="21"/>
              </w:rPr>
            </w:pPr>
            <w:r>
              <w:rPr>
                <w:rFonts w:hint="eastAsia" w:ascii="宋体" w:hAnsi="宋体" w:cs="宋体"/>
                <w:szCs w:val="21"/>
              </w:rPr>
              <w:t>2</w:t>
            </w:r>
          </w:p>
        </w:tc>
        <w:tc>
          <w:tcPr>
            <w:tcW w:w="2985" w:type="dxa"/>
            <w:shd w:val="clear" w:color="auto" w:fill="auto"/>
            <w:vAlign w:val="center"/>
          </w:tcPr>
          <w:p>
            <w:pPr>
              <w:spacing w:line="240" w:lineRule="auto"/>
              <w:jc w:val="left"/>
              <w:rPr>
                <w:rFonts w:hint="eastAsia" w:ascii="宋体" w:hAnsi="宋体" w:cs="宋体"/>
                <w:szCs w:val="21"/>
              </w:rPr>
            </w:pPr>
            <w:r>
              <w:rPr>
                <w:rFonts w:hint="eastAsia" w:ascii="宋体" w:hAnsi="宋体" w:cs="宋体"/>
                <w:szCs w:val="21"/>
              </w:rPr>
              <w:t>【挑战指标】总结项目成果形成专利1项。</w:t>
            </w:r>
          </w:p>
        </w:tc>
        <w:tc>
          <w:tcPr>
            <w:tcW w:w="2363" w:type="dxa"/>
            <w:shd w:val="clear" w:color="auto" w:fill="auto"/>
            <w:vAlign w:val="center"/>
          </w:tcPr>
          <w:p>
            <w:pPr>
              <w:spacing w:line="240" w:lineRule="auto"/>
              <w:jc w:val="center"/>
              <w:rPr>
                <w:rFonts w:hint="eastAsia" w:ascii="宋体" w:hAnsi="宋体" w:cs="宋体"/>
                <w:szCs w:val="21"/>
              </w:rPr>
            </w:pPr>
            <w:r>
              <w:rPr>
                <w:rFonts w:hint="eastAsia" w:ascii="宋体" w:hAnsi="宋体" w:cs="宋体"/>
                <w:szCs w:val="21"/>
              </w:rPr>
              <w:t>专利1项（受理阶段）</w:t>
            </w:r>
          </w:p>
        </w:tc>
        <w:tc>
          <w:tcPr>
            <w:tcW w:w="2357" w:type="dxa"/>
            <w:vAlign w:val="center"/>
          </w:tcPr>
          <w:p>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hint="eastAsia" w:ascii="宋体" w:hAnsi="宋体" w:cs="宋体"/>
                <w:szCs w:val="21"/>
              </w:rPr>
            </w:pPr>
            <w:r>
              <w:rPr>
                <w:rFonts w:hint="eastAsia" w:ascii="宋体" w:hAnsi="宋体" w:cs="宋体"/>
                <w:szCs w:val="21"/>
              </w:rPr>
              <w:t>3</w:t>
            </w:r>
          </w:p>
        </w:tc>
        <w:tc>
          <w:tcPr>
            <w:tcW w:w="2985" w:type="dxa"/>
            <w:shd w:val="clear" w:color="auto" w:fill="auto"/>
            <w:vAlign w:val="center"/>
          </w:tcPr>
          <w:p>
            <w:pPr>
              <w:spacing w:line="240" w:lineRule="auto"/>
              <w:jc w:val="left"/>
              <w:rPr>
                <w:rFonts w:hint="eastAsia" w:ascii="宋体" w:hAnsi="宋体" w:cs="宋体"/>
                <w:szCs w:val="21"/>
              </w:rPr>
            </w:pPr>
            <w:r>
              <w:rPr>
                <w:rFonts w:hint="eastAsia" w:ascii="宋体" w:hAnsi="宋体" w:cs="宋体"/>
                <w:szCs w:val="21"/>
              </w:rPr>
              <w:t>项目验收检查</w:t>
            </w:r>
          </w:p>
        </w:tc>
        <w:tc>
          <w:tcPr>
            <w:tcW w:w="2363" w:type="dxa"/>
            <w:shd w:val="clear" w:color="auto" w:fill="auto"/>
            <w:vAlign w:val="center"/>
          </w:tcPr>
          <w:p>
            <w:pPr>
              <w:spacing w:line="240" w:lineRule="auto"/>
              <w:jc w:val="left"/>
              <w:rPr>
                <w:rFonts w:hint="eastAsia" w:ascii="宋体" w:hAnsi="宋体" w:cs="宋体"/>
              </w:rPr>
            </w:pPr>
            <w:r>
              <w:rPr>
                <w:rFonts w:hint="eastAsia" w:ascii="宋体" w:hAnsi="宋体" w:cs="宋体"/>
              </w:rPr>
              <w:t>完成项目全部验收内容</w:t>
            </w:r>
          </w:p>
        </w:tc>
        <w:tc>
          <w:tcPr>
            <w:tcW w:w="2357" w:type="dxa"/>
            <w:vAlign w:val="center"/>
          </w:tcPr>
          <w:p>
            <w:pPr>
              <w:spacing w:line="240" w:lineRule="auto"/>
              <w:jc w:val="center"/>
              <w:rPr>
                <w:rFonts w:hint="eastAsia" w:asciiTheme="minorEastAsia" w:hAnsiTheme="minorEastAsia" w:eastAsiaTheme="minorEastAsia" w:cstheme="minorEastAsia"/>
                <w:szCs w:val="21"/>
              </w:rPr>
            </w:pPr>
            <w:r>
              <w:rPr>
                <w:rFonts w:hint="eastAsia" w:asciiTheme="minorEastAsia" w:hAnsiTheme="minorEastAsia" w:cstheme="minorEastAsia"/>
                <w:szCs w:val="21"/>
              </w:rPr>
              <w:t>2026年12月</w:t>
            </w:r>
          </w:p>
        </w:tc>
      </w:tr>
    </w:tbl>
    <w:p>
      <w:pPr>
        <w:rPr>
          <w:rFonts w:hint="eastAsia" w:ascii="宋体" w:hAnsi="宋体" w:cs="宋体"/>
          <w:color w:val="000000"/>
          <w:sz w:val="24"/>
        </w:rPr>
      </w:pPr>
      <w:r>
        <w:rPr>
          <w:rFonts w:hint="eastAsia" w:ascii="宋体" w:hAnsi="宋体" w:cs="宋体"/>
          <w:color w:val="000000"/>
          <w:sz w:val="24"/>
        </w:rPr>
        <w:t xml:space="preserve">4.2.2 </w:t>
      </w:r>
      <w:r>
        <w:rPr>
          <w:rFonts w:hint="eastAsia" w:ascii="宋体" w:hAnsi="宋体" w:cs="宋体"/>
          <w:kern w:val="0"/>
          <w:sz w:val="24"/>
        </w:rPr>
        <w:t>基于VR全景漫游的山火火场监测研判技术研究实施要求</w:t>
      </w:r>
    </w:p>
    <w:p>
      <w:pPr>
        <w:pStyle w:val="9"/>
        <w:spacing w:after="0" w:line="360" w:lineRule="auto"/>
        <w:ind w:left="0"/>
        <w:rPr>
          <w:rFonts w:hint="eastAsia" w:ascii="宋体" w:hAnsi="宋体" w:cs="宋体"/>
          <w:sz w:val="24"/>
        </w:rPr>
      </w:pPr>
      <w:r>
        <w:rPr>
          <w:rFonts w:hint="eastAsia" w:ascii="宋体" w:hAnsi="宋体" w:cs="宋体"/>
          <w:sz w:val="24"/>
        </w:rPr>
        <w:t>4.2.2.1总体要求</w:t>
      </w:r>
    </w:p>
    <w:p>
      <w:pPr>
        <w:pStyle w:val="9"/>
        <w:spacing w:after="0" w:line="360" w:lineRule="auto"/>
        <w:ind w:left="0"/>
        <w:rPr>
          <w:rFonts w:hint="eastAsia" w:ascii="宋体" w:hAnsi="宋体" w:cs="宋体"/>
          <w:sz w:val="24"/>
        </w:rPr>
      </w:pPr>
      <w:r>
        <w:rPr>
          <w:rFonts w:hint="eastAsia" w:ascii="宋体" w:hAnsi="宋体" w:cs="宋体"/>
          <w:sz w:val="24"/>
        </w:rPr>
        <w:t>（1）稳定性和可靠性</w:t>
      </w:r>
    </w:p>
    <w:p>
      <w:pPr>
        <w:pStyle w:val="9"/>
        <w:spacing w:after="0" w:line="360" w:lineRule="auto"/>
        <w:ind w:left="0" w:firstLine="480" w:firstLineChars="200"/>
        <w:rPr>
          <w:rFonts w:hint="eastAsia" w:ascii="宋体" w:hAnsi="宋体" w:cs="宋体"/>
          <w:sz w:val="24"/>
        </w:rPr>
      </w:pPr>
      <w:r>
        <w:rPr>
          <w:rFonts w:hint="eastAsia" w:ascii="宋体" w:hAnsi="宋体" w:cs="宋体"/>
          <w:sz w:val="24"/>
        </w:rPr>
        <w:t>系统为独立运行的Windows应用，具备完善的本地数据存储、缓存管理。</w:t>
      </w:r>
    </w:p>
    <w:p>
      <w:pPr>
        <w:pStyle w:val="9"/>
        <w:spacing w:after="0" w:line="360" w:lineRule="auto"/>
        <w:ind w:left="0"/>
        <w:rPr>
          <w:rFonts w:hint="eastAsia" w:ascii="宋体" w:hAnsi="宋体" w:cs="宋体"/>
          <w:sz w:val="24"/>
        </w:rPr>
      </w:pPr>
      <w:r>
        <w:rPr>
          <w:rFonts w:hint="eastAsia" w:ascii="宋体" w:hAnsi="宋体" w:cs="宋体"/>
          <w:sz w:val="24"/>
        </w:rPr>
        <w:t>（2）易用性</w:t>
      </w:r>
    </w:p>
    <w:p>
      <w:pPr>
        <w:pStyle w:val="9"/>
        <w:spacing w:after="0" w:line="360" w:lineRule="auto"/>
        <w:ind w:left="0"/>
        <w:rPr>
          <w:rFonts w:hint="eastAsia" w:ascii="宋体" w:hAnsi="宋体" w:cs="宋体"/>
          <w:sz w:val="24"/>
        </w:rPr>
      </w:pPr>
      <w:r>
        <w:rPr>
          <w:rFonts w:hint="eastAsia" w:ascii="宋体" w:hAnsi="宋体" w:cs="宋体"/>
          <w:sz w:val="24"/>
        </w:rPr>
        <w:t xml:space="preserve">    </w:t>
      </w:r>
      <w:r>
        <w:rPr>
          <w:rFonts w:ascii="宋体" w:hAnsi="宋体" w:cs="宋体"/>
          <w:sz w:val="24"/>
        </w:rPr>
        <w:t>提供符合</w:t>
      </w:r>
      <w:r>
        <w:rPr>
          <w:rFonts w:hint="eastAsia" w:ascii="宋体" w:hAnsi="宋体" w:cs="宋体"/>
          <w:sz w:val="24"/>
        </w:rPr>
        <w:t>Windows</w:t>
      </w:r>
      <w:r>
        <w:rPr>
          <w:rFonts w:ascii="宋体" w:hAnsi="宋体" w:cs="宋体"/>
          <w:sz w:val="24"/>
        </w:rPr>
        <w:t>端操作习惯的交互界面，支持</w:t>
      </w:r>
      <w:r>
        <w:rPr>
          <w:rFonts w:hint="eastAsia" w:ascii="宋体" w:hAnsi="宋体" w:cs="宋体"/>
          <w:sz w:val="24"/>
        </w:rPr>
        <w:t>地图缩放，3D全景照片查看</w:t>
      </w:r>
      <w:r>
        <w:rPr>
          <w:rFonts w:ascii="宋体" w:hAnsi="宋体" w:cs="宋体"/>
          <w:sz w:val="24"/>
        </w:rPr>
        <w:t>等操作；界面简洁直观。</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4.2.2.2系统实施要求</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4.2.2.2.1 系统架构及技术</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（1）采用Windows平台框架开发</w:t>
      </w:r>
      <w:r>
        <w:rPr>
          <w:rFonts w:asciiTheme="minorEastAsia" w:hAnsiTheme="minorEastAsia" w:eastAsiaTheme="minorEastAsia" w:cstheme="minorEastAsia"/>
          <w:sz w:val="24"/>
        </w:rPr>
        <w:t>，系统为纯离线单体架构，不依赖服务器、浏览器与任何外部网络连接。</w:t>
      </w:r>
    </w:p>
    <w:p>
      <w:pPr>
        <w:ind w:firstLine="240" w:firstLineChars="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（2）地图SDK应具备地图展示与交互</w:t>
      </w:r>
      <w:r>
        <w:rPr>
          <w:rFonts w:asciiTheme="minorEastAsia" w:hAnsiTheme="minorEastAsia" w:eastAsiaTheme="minorEastAsia" w:cstheme="minorEastAsia"/>
          <w:sz w:val="24"/>
        </w:rPr>
        <w:t>，提供丰富的控件和交互能力</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可在图上添加标记、信息窗等自定义</w:t>
      </w:r>
      <w:r>
        <w:rPr>
          <w:rFonts w:hint="eastAsia" w:asciiTheme="minorEastAsia" w:hAnsiTheme="minorEastAsia" w:eastAsiaTheme="minorEastAsia" w:cstheme="minorEastAsia"/>
          <w:sz w:val="24"/>
        </w:rPr>
        <w:t xml:space="preserve">Windows </w:t>
      </w:r>
      <w:r>
        <w:rPr>
          <w:rFonts w:asciiTheme="minorEastAsia" w:hAnsiTheme="minorEastAsia" w:eastAsiaTheme="minorEastAsia" w:cstheme="minorEastAsia"/>
          <w:sz w:val="24"/>
        </w:rPr>
        <w:t>SDK 地图展示与操作</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支持</w:t>
      </w:r>
      <w:r>
        <w:rPr>
          <w:rFonts w:hint="eastAsia" w:asciiTheme="minorEastAsia" w:hAnsiTheme="minorEastAsia" w:eastAsiaTheme="minorEastAsia" w:cstheme="minorEastAsia"/>
          <w:sz w:val="24"/>
        </w:rPr>
        <w:t>2D</w:t>
      </w:r>
      <w:r>
        <w:rPr>
          <w:rFonts w:asciiTheme="minorEastAsia" w:hAnsiTheme="minorEastAsia" w:eastAsiaTheme="minorEastAsia" w:cstheme="minorEastAsia"/>
          <w:sz w:val="24"/>
        </w:rPr>
        <w:t>地图</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提供定位等功能。</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w:t>
      </w:r>
      <w:r>
        <w:rPr>
          <w:rFonts w:asciiTheme="minorEastAsia" w:hAnsiTheme="minorEastAsia" w:eastAsiaTheme="minorEastAsia" w:cstheme="minorEastAsia"/>
          <w:sz w:val="24"/>
        </w:rPr>
        <w:t>客户端操作系统应支持</w:t>
      </w:r>
      <w:r>
        <w:rPr>
          <w:rFonts w:hint="eastAsia" w:asciiTheme="minorEastAsia" w:hAnsiTheme="minorEastAsia" w:eastAsiaTheme="minorEastAsia" w:cstheme="minorEastAsia"/>
          <w:sz w:val="24"/>
        </w:rPr>
        <w:t>Windows 10</w:t>
      </w:r>
      <w:r>
        <w:rPr>
          <w:rFonts w:asciiTheme="minorEastAsia" w:hAnsiTheme="minorEastAsia" w:eastAsiaTheme="minorEastAsia" w:cstheme="minorEastAsia"/>
          <w:sz w:val="24"/>
        </w:rPr>
        <w:t>及以上版本，建议设备配置：</w:t>
      </w:r>
      <w:r>
        <w:rPr>
          <w:rFonts w:hint="eastAsia" w:asciiTheme="minorEastAsia" w:hAnsiTheme="minorEastAsia" w:eastAsiaTheme="minorEastAsia" w:cstheme="minorEastAsia"/>
          <w:sz w:val="24"/>
        </w:rPr>
        <w:t>Intel/AMD</w:t>
      </w:r>
      <w:r>
        <w:rPr>
          <w:rFonts w:asciiTheme="minorEastAsia" w:hAnsiTheme="minorEastAsia" w:eastAsiaTheme="minorEastAsia" w:cstheme="minorEastAsia"/>
          <w:sz w:val="24"/>
        </w:rPr>
        <w:t>系处理器、≥</w:t>
      </w:r>
      <w:r>
        <w:rPr>
          <w:rFonts w:hint="eastAsia" w:asciiTheme="minorEastAsia" w:hAnsiTheme="minorEastAsia" w:eastAsiaTheme="minorEastAsia" w:cstheme="minorEastAsia"/>
          <w:sz w:val="24"/>
        </w:rPr>
        <w:t>16</w:t>
      </w:r>
      <w:r>
        <w:rPr>
          <w:rFonts w:asciiTheme="minorEastAsia" w:hAnsiTheme="minorEastAsia" w:eastAsiaTheme="minorEastAsia" w:cstheme="minorEastAsia"/>
          <w:sz w:val="24"/>
        </w:rPr>
        <w:t>GB RAM、≥128GB存储、支持GPU硬件加速</w:t>
      </w:r>
      <w:r>
        <w:rPr>
          <w:rFonts w:hint="eastAsia" w:asciiTheme="minorEastAsia" w:hAnsiTheme="minorEastAsia" w:eastAsiaTheme="minorEastAsia" w:cstheme="minorEastAsia"/>
          <w:sz w:val="24"/>
        </w:rPr>
        <w:t>。</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w:t>
      </w:r>
      <w:r>
        <w:rPr>
          <w:rFonts w:asciiTheme="minorEastAsia" w:hAnsiTheme="minorEastAsia" w:eastAsiaTheme="minorEastAsia" w:cstheme="minorEastAsia"/>
          <w:sz w:val="24"/>
        </w:rPr>
        <w:t>系统提供标准化本地文件格式支持（如VR全景标准格式等）</w:t>
      </w:r>
      <w:r>
        <w:rPr>
          <w:rFonts w:hint="eastAsia" w:asciiTheme="minorEastAsia" w:hAnsiTheme="minorEastAsia" w:eastAsiaTheme="minorEastAsia" w:cstheme="minorEastAsia"/>
          <w:sz w:val="24"/>
        </w:rPr>
        <w:t>。</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w:t>
      </w:r>
      <w:r>
        <w:rPr>
          <w:rFonts w:asciiTheme="minorEastAsia" w:hAnsiTheme="minorEastAsia" w:eastAsiaTheme="minorEastAsia" w:cstheme="minorEastAsia"/>
          <w:sz w:val="24"/>
        </w:rPr>
        <w:t>具备业务功能操作的便捷性，符合</w:t>
      </w:r>
      <w:r>
        <w:rPr>
          <w:rFonts w:hint="eastAsia" w:asciiTheme="minorEastAsia" w:hAnsiTheme="minorEastAsia" w:eastAsiaTheme="minorEastAsia" w:cstheme="minorEastAsia"/>
          <w:sz w:val="24"/>
        </w:rPr>
        <w:t>鼠标和键盘的</w:t>
      </w:r>
      <w:r>
        <w:rPr>
          <w:rFonts w:asciiTheme="minorEastAsia" w:hAnsiTheme="minorEastAsia" w:eastAsiaTheme="minorEastAsia" w:cstheme="minorEastAsia"/>
          <w:sz w:val="24"/>
        </w:rPr>
        <w:t>操作习惯</w:t>
      </w:r>
      <w:r>
        <w:rPr>
          <w:rFonts w:hint="eastAsia" w:asciiTheme="minorEastAsia" w:hAnsiTheme="minorEastAsia" w:eastAsiaTheme="minorEastAsia" w:cstheme="minorEastAsia"/>
          <w:sz w:val="24"/>
        </w:rPr>
        <w:t>。</w:t>
      </w:r>
    </w:p>
    <w:p>
      <w:pPr>
        <w:ind w:firstLine="240" w:firstLineChars="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（6）可靠性要求：</w:t>
      </w:r>
      <w:r>
        <w:rPr>
          <w:rFonts w:asciiTheme="minorEastAsia" w:hAnsiTheme="minorEastAsia" w:eastAsiaTheme="minorEastAsia" w:cstheme="minorEastAsia"/>
          <w:sz w:val="24"/>
        </w:rPr>
        <w:t>APP需支持长时间后台驻留与前台连续运行，本地核心数据不丢失</w:t>
      </w:r>
      <w:r>
        <w:rPr>
          <w:rFonts w:hint="eastAsia" w:asciiTheme="minorEastAsia" w:hAnsiTheme="minorEastAsia" w:eastAsiaTheme="minorEastAsia" w:cstheme="minorEastAsia"/>
          <w:sz w:val="24"/>
        </w:rPr>
        <w:t>。</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4.2.2.2.2 性能要求（不同PC的性能不同，以下要求仅供参考）</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w:t>
      </w:r>
      <w:r>
        <w:rPr>
          <w:rFonts w:asciiTheme="minorEastAsia" w:hAnsiTheme="minorEastAsia" w:eastAsiaTheme="minorEastAsia" w:cstheme="minorEastAsia"/>
          <w:sz w:val="24"/>
        </w:rPr>
        <w:t>离线VR全景场景加载时间≤</w:t>
      </w:r>
      <w:r>
        <w:rPr>
          <w:rFonts w:hint="eastAsia" w:asciiTheme="minorEastAsia" w:hAnsiTheme="minorEastAsia" w:eastAsiaTheme="minorEastAsia" w:cstheme="minorEastAsia"/>
          <w:sz w:val="24"/>
        </w:rPr>
        <w:t>5</w:t>
      </w:r>
      <w:r>
        <w:rPr>
          <w:rFonts w:asciiTheme="minorEastAsia" w:hAnsiTheme="minorEastAsia" w:eastAsiaTheme="minorEastAsia" w:cstheme="minorEastAsia"/>
          <w:sz w:val="24"/>
        </w:rPr>
        <w:t>秒，全景漫游交互帧率稳定≥30fps，无卡顿撕裂</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 xml:space="preserve"> </w:t>
      </w:r>
    </w:p>
    <w:p>
      <w:pPr>
        <w:pStyle w:val="9"/>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4.2.2.3系统功能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jc w:val="center"/>
              <w:rPr>
                <w:rFonts w:ascii="Arial" w:hAnsi="Arial" w:cs="Arial"/>
              </w:rPr>
            </w:pPr>
            <w:r>
              <w:rPr>
                <w:rFonts w:hint="eastAsia" w:ascii="Arial" w:hAnsi="Arial" w:cs="Arial"/>
              </w:rPr>
              <w:t>序号</w:t>
            </w:r>
          </w:p>
        </w:tc>
        <w:tc>
          <w:tcPr>
            <w:tcW w:w="2268" w:type="dxa"/>
            <w:vAlign w:val="center"/>
          </w:tcPr>
          <w:p>
            <w:pPr>
              <w:jc w:val="center"/>
              <w:rPr>
                <w:rFonts w:ascii="Arial" w:hAnsi="Arial" w:cs="Arial"/>
              </w:rPr>
            </w:pPr>
            <w:r>
              <w:rPr>
                <w:rFonts w:hint="eastAsia" w:ascii="Arial" w:hAnsi="Arial" w:cs="Arial"/>
              </w:rPr>
              <w:t>功能</w:t>
            </w:r>
          </w:p>
        </w:tc>
        <w:tc>
          <w:tcPr>
            <w:tcW w:w="5494" w:type="dxa"/>
            <w:vAlign w:val="center"/>
          </w:tcPr>
          <w:p>
            <w:pPr>
              <w:jc w:val="center"/>
              <w:rPr>
                <w:rFonts w:ascii="Arial" w:hAnsi="Arial" w:cs="Arial"/>
              </w:rPr>
            </w:pPr>
            <w:r>
              <w:rPr>
                <w:rFonts w:hint="eastAsia" w:ascii="Arial" w:hAnsi="Arial" w:cs="Arial"/>
              </w:rPr>
              <w:t>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jc w:val="center"/>
              <w:rPr>
                <w:rFonts w:ascii="Arial" w:hAnsi="Arial" w:cs="Arial"/>
              </w:rPr>
            </w:pPr>
            <w:r>
              <w:rPr>
                <w:rFonts w:hint="eastAsia" w:ascii="Arial" w:hAnsi="Arial" w:cs="Arial"/>
              </w:rPr>
              <w:t>1</w:t>
            </w:r>
          </w:p>
        </w:tc>
        <w:tc>
          <w:tcPr>
            <w:tcW w:w="2268" w:type="dxa"/>
            <w:vAlign w:val="center"/>
          </w:tcPr>
          <w:p>
            <w:pPr>
              <w:jc w:val="center"/>
              <w:rPr>
                <w:rFonts w:ascii="Arial" w:hAnsi="Arial" w:cs="Arial"/>
              </w:rPr>
            </w:pPr>
            <w:r>
              <w:rPr>
                <w:rFonts w:hint="eastAsia" w:ascii="Arial" w:hAnsi="Arial" w:cs="Arial"/>
              </w:rPr>
              <w:t>3D全景照片导入</w:t>
            </w:r>
          </w:p>
        </w:tc>
        <w:tc>
          <w:tcPr>
            <w:tcW w:w="5494" w:type="dxa"/>
          </w:tcPr>
          <w:p>
            <w:pPr>
              <w:rPr>
                <w:rFonts w:ascii="Arial" w:hAnsi="Arial" w:cs="Arial"/>
              </w:rPr>
            </w:pPr>
            <w:r>
              <w:rPr>
                <w:rFonts w:ascii="Arial" w:hAnsi="Arial" w:cs="Arial"/>
              </w:rPr>
              <w:t>支持</w:t>
            </w:r>
            <w:r>
              <w:rPr>
                <w:rFonts w:hint="eastAsia" w:ascii="Arial" w:hAnsi="Arial" w:cs="Arial"/>
              </w:rPr>
              <w:t>在app端中导入3D全景照片</w:t>
            </w:r>
            <w:r>
              <w:rPr>
                <w:rFonts w:ascii="Arial" w:hAnsi="Arial" w:cs="Aria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jc w:val="center"/>
              <w:rPr>
                <w:rFonts w:ascii="Arial" w:hAnsi="Arial" w:cs="Arial"/>
              </w:rPr>
            </w:pPr>
            <w:r>
              <w:rPr>
                <w:rFonts w:ascii="Arial" w:hAnsi="Arial" w:cs="Arial"/>
              </w:rPr>
              <w:t>2</w:t>
            </w:r>
          </w:p>
        </w:tc>
        <w:tc>
          <w:tcPr>
            <w:tcW w:w="2268" w:type="dxa"/>
            <w:vAlign w:val="center"/>
          </w:tcPr>
          <w:p>
            <w:pPr>
              <w:jc w:val="center"/>
              <w:rPr>
                <w:rFonts w:ascii="Arial" w:hAnsi="Arial" w:cs="Arial"/>
              </w:rPr>
            </w:pPr>
            <w:r>
              <w:rPr>
                <w:rFonts w:hint="eastAsia" w:ascii="Arial" w:hAnsi="Arial" w:cs="Arial"/>
              </w:rPr>
              <w:t>全景照片信息解析</w:t>
            </w:r>
          </w:p>
        </w:tc>
        <w:tc>
          <w:tcPr>
            <w:tcW w:w="5494" w:type="dxa"/>
          </w:tcPr>
          <w:p>
            <w:pPr>
              <w:rPr>
                <w:rFonts w:ascii="Arial" w:hAnsi="Arial" w:cs="Arial"/>
              </w:rPr>
            </w:pPr>
            <w:r>
              <w:rPr>
                <w:rFonts w:hint="eastAsia" w:ascii="Arial" w:hAnsi="Arial" w:cs="Arial"/>
              </w:rPr>
              <w:t>从全景照片中解析无人机位置。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jc w:val="center"/>
              <w:rPr>
                <w:rFonts w:ascii="Arial" w:hAnsi="Arial" w:cs="Arial"/>
              </w:rPr>
            </w:pPr>
            <w:r>
              <w:rPr>
                <w:rFonts w:ascii="Arial" w:hAnsi="Arial" w:cs="Arial"/>
              </w:rPr>
              <w:t>3</w:t>
            </w:r>
          </w:p>
        </w:tc>
        <w:tc>
          <w:tcPr>
            <w:tcW w:w="2268" w:type="dxa"/>
            <w:vAlign w:val="center"/>
          </w:tcPr>
          <w:p>
            <w:pPr>
              <w:jc w:val="center"/>
              <w:rPr>
                <w:rFonts w:ascii="Arial" w:hAnsi="Arial" w:cs="Arial"/>
              </w:rPr>
            </w:pPr>
            <w:r>
              <w:rPr>
                <w:rFonts w:ascii="Arial" w:hAnsi="Arial" w:cs="Arial"/>
              </w:rPr>
              <w:t>火点标记与位置融合</w:t>
            </w:r>
          </w:p>
        </w:tc>
        <w:tc>
          <w:tcPr>
            <w:tcW w:w="5494" w:type="dxa"/>
          </w:tcPr>
          <w:p>
            <w:pPr>
              <w:rPr>
                <w:rFonts w:ascii="Arial" w:hAnsi="Arial" w:cs="Arial"/>
              </w:rPr>
            </w:pPr>
            <w:r>
              <w:rPr>
                <w:rFonts w:hint="eastAsia" w:ascii="Arial" w:hAnsi="Arial" w:cs="Arial"/>
              </w:rPr>
              <w:t>根据无人机位置在地图中添加位置标记，支持标记的名称等信息修改。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pPr>
              <w:jc w:val="center"/>
              <w:rPr>
                <w:rFonts w:ascii="Arial" w:hAnsi="Arial" w:cs="Arial"/>
              </w:rPr>
            </w:pPr>
            <w:r>
              <w:rPr>
                <w:rFonts w:hint="eastAsia" w:ascii="Arial" w:hAnsi="Arial" w:cs="Arial"/>
              </w:rPr>
              <w:t>4</w:t>
            </w:r>
          </w:p>
        </w:tc>
        <w:tc>
          <w:tcPr>
            <w:tcW w:w="2268" w:type="dxa"/>
            <w:vAlign w:val="center"/>
          </w:tcPr>
          <w:p>
            <w:pPr>
              <w:jc w:val="center"/>
              <w:rPr>
                <w:rFonts w:ascii="Arial" w:hAnsi="Arial" w:cs="Arial"/>
              </w:rPr>
            </w:pPr>
            <w:r>
              <w:rPr>
                <w:rFonts w:ascii="Arial" w:hAnsi="Arial" w:cs="Arial"/>
              </w:rPr>
              <w:t>VR全景漫游</w:t>
            </w:r>
          </w:p>
        </w:tc>
        <w:tc>
          <w:tcPr>
            <w:tcW w:w="5494" w:type="dxa"/>
          </w:tcPr>
          <w:p>
            <w:pPr>
              <w:rPr>
                <w:rFonts w:ascii="Arial" w:hAnsi="Arial" w:cs="Arial"/>
              </w:rPr>
            </w:pPr>
            <w:r>
              <w:rPr>
                <w:rFonts w:hint="eastAsia" w:ascii="Arial" w:hAnsi="Arial" w:cs="Arial"/>
              </w:rPr>
              <w:t>点击标注位置可进入查看漫游VR全景照片</w:t>
            </w:r>
          </w:p>
        </w:tc>
      </w:tr>
    </w:tbl>
    <w:p>
      <w:pPr>
        <w:rPr>
          <w:rFonts w:hint="eastAsia" w:ascii="宋体" w:hAnsi="宋体" w:cs="宋体"/>
          <w:sz w:val="24"/>
        </w:rPr>
      </w:pPr>
      <w:r>
        <w:rPr>
          <w:rFonts w:hint="eastAsia" w:ascii="宋体" w:hAnsi="宋体" w:cs="宋体"/>
          <w:sz w:val="24"/>
        </w:rPr>
        <w:t>4.2.2.4实施要求</w:t>
      </w:r>
    </w:p>
    <w:p>
      <w:pPr>
        <w:rPr>
          <w:rFonts w:hint="eastAsia" w:ascii="宋体" w:hAnsi="宋体" w:cs="宋体"/>
          <w:sz w:val="24"/>
        </w:rPr>
      </w:pPr>
      <w:r>
        <w:rPr>
          <w:rFonts w:hint="eastAsia" w:ascii="宋体" w:hAnsi="宋体" w:cs="宋体"/>
          <w:sz w:val="24"/>
        </w:rPr>
        <w:t>（1）</w:t>
      </w:r>
      <w:r>
        <w:rPr>
          <w:rFonts w:ascii="宋体" w:hAnsi="宋体" w:cs="宋体"/>
          <w:sz w:val="24"/>
        </w:rPr>
        <w:t>提供完整的</w:t>
      </w:r>
      <w:r>
        <w:rPr>
          <w:rFonts w:hint="eastAsia" w:ascii="宋体" w:hAnsi="宋体" w:cs="宋体"/>
          <w:sz w:val="24"/>
        </w:rPr>
        <w:t>Windows</w:t>
      </w:r>
      <w:r>
        <w:rPr>
          <w:rFonts w:ascii="宋体" w:hAnsi="宋体" w:cs="宋体"/>
          <w:sz w:val="24"/>
        </w:rPr>
        <w:t>系统设计方案、UI/UX原型、离线数据流转逻辑及实施方案与计划。</w:t>
      </w:r>
    </w:p>
    <w:p>
      <w:pPr>
        <w:rPr>
          <w:rFonts w:hint="eastAsia" w:ascii="宋体" w:hAnsi="宋体" w:cs="宋体"/>
          <w:sz w:val="24"/>
        </w:rPr>
      </w:pPr>
      <w:r>
        <w:rPr>
          <w:rFonts w:hint="eastAsia" w:ascii="宋体" w:hAnsi="宋体" w:cs="宋体"/>
          <w:sz w:val="24"/>
        </w:rPr>
        <w:t>（2）系统需要在6个月内完成开发。</w:t>
      </w:r>
    </w:p>
    <w:p>
      <w:pPr>
        <w:pStyle w:val="6"/>
        <w:ind w:firstLine="0" w:firstLineChars="0"/>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投标方需提前确认所支持的大疆无人机型号列表，并提供兼容性说明</w:t>
      </w:r>
      <w:r>
        <w:rPr>
          <w:rFonts w:hint="eastAsia" w:ascii="宋体" w:hAnsi="宋体" w:eastAsia="宋体" w:cs="宋体"/>
          <w:sz w:val="24"/>
          <w:szCs w:val="24"/>
        </w:rPr>
        <w:t>，特别是对3D全景照片拍摄功能的要求</w:t>
      </w:r>
      <w:r>
        <w:rPr>
          <w:rFonts w:ascii="宋体" w:hAnsi="宋体" w:eastAsia="宋体" w:cs="宋体"/>
          <w:sz w:val="24"/>
          <w:szCs w:val="24"/>
        </w:rPr>
        <w:t>；若使用特殊传感器（如红外、激光测距），需明确硬件要求。</w:t>
      </w:r>
    </w:p>
    <w:p>
      <w:pPr>
        <w:pStyle w:val="9"/>
        <w:rPr>
          <w:rFonts w:hint="eastAsia" w:ascii="宋体" w:hAnsi="宋体" w:cs="宋体"/>
          <w:sz w:val="24"/>
        </w:rPr>
      </w:pPr>
      <w:r>
        <w:rPr>
          <w:rFonts w:hint="eastAsia" w:ascii="宋体" w:hAnsi="宋体" w:cs="宋体"/>
          <w:sz w:val="24"/>
        </w:rPr>
        <w:t>4.2.2.5技术服务要求</w:t>
      </w:r>
    </w:p>
    <w:p>
      <w:pPr>
        <w:ind w:firstLine="480" w:firstLineChars="200"/>
        <w:rPr>
          <w:rFonts w:hint="eastAsia"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pPr>
        <w:rPr>
          <w:rFonts w:hint="eastAsia" w:ascii="宋体" w:hAnsi="宋体" w:cs="宋体"/>
          <w:sz w:val="24"/>
        </w:rPr>
      </w:pPr>
      <w:r>
        <w:rPr>
          <w:rFonts w:hint="eastAsia" w:ascii="宋体" w:hAnsi="宋体" w:cs="宋体"/>
          <w:sz w:val="24"/>
        </w:rPr>
        <w:t>（1）验收合格后提供1年免费维护。</w:t>
      </w:r>
    </w:p>
    <w:p>
      <w:pPr>
        <w:rPr>
          <w:rFonts w:hint="eastAsia" w:ascii="宋体" w:hAnsi="宋体" w:cs="宋体"/>
          <w:sz w:val="24"/>
        </w:rPr>
      </w:pPr>
      <w:r>
        <w:rPr>
          <w:rFonts w:hint="eastAsia" w:ascii="宋体" w:hAnsi="宋体" w:cs="宋体"/>
          <w:sz w:val="24"/>
        </w:rPr>
        <w:t>（2）中标方在故障发生2小时响应处置。</w:t>
      </w:r>
    </w:p>
    <w:p>
      <w:pPr>
        <w:rPr>
          <w:rFonts w:hint="eastAsia" w:ascii="宋体" w:hAnsi="宋体" w:cs="宋体"/>
          <w:sz w:val="24"/>
        </w:rPr>
      </w:pPr>
      <w:r>
        <w:rPr>
          <w:rFonts w:hint="eastAsia" w:ascii="宋体" w:hAnsi="宋体" w:cs="宋体"/>
          <w:sz w:val="24"/>
        </w:rPr>
        <w:t>提供充分的人员培训。</w:t>
      </w:r>
    </w:p>
    <w:p>
      <w:pPr>
        <w:pStyle w:val="9"/>
        <w:rPr>
          <w:rFonts w:hint="eastAsia" w:ascii="宋体" w:hAnsi="宋体" w:cs="宋体"/>
          <w:sz w:val="24"/>
        </w:rPr>
      </w:pPr>
      <w:r>
        <w:rPr>
          <w:rFonts w:hint="eastAsia" w:ascii="宋体" w:hAnsi="宋体" w:cs="宋体"/>
          <w:sz w:val="24"/>
        </w:rPr>
        <w:t>4.2.2.6系统交付项</w:t>
      </w:r>
    </w:p>
    <w:p>
      <w:pPr>
        <w:ind w:firstLine="480" w:firstLineChars="200"/>
        <w:rPr>
          <w:rFonts w:hint="eastAsia" w:ascii="宋体" w:hAnsi="宋体" w:cs="宋体"/>
          <w:sz w:val="24"/>
        </w:rPr>
      </w:pPr>
      <w:r>
        <w:rPr>
          <w:rFonts w:hint="eastAsia" w:ascii="宋体" w:hAnsi="宋体" w:cs="宋体"/>
          <w:sz w:val="24"/>
        </w:rPr>
        <w:t>投标方应在合同规定时间内，向招标方提供相应资料，包括：</w:t>
      </w:r>
    </w:p>
    <w:p>
      <w:pPr>
        <w:rPr>
          <w:rFonts w:hint="eastAsia" w:ascii="宋体" w:hAnsi="宋体" w:cs="宋体"/>
          <w:sz w:val="24"/>
        </w:rPr>
      </w:pPr>
      <w:r>
        <w:rPr>
          <w:rFonts w:hint="eastAsia" w:ascii="宋体" w:hAnsi="宋体" w:cs="宋体"/>
          <w:sz w:val="24"/>
        </w:rPr>
        <w:t>（1）用户操作手册</w:t>
      </w:r>
    </w:p>
    <w:p>
      <w:pPr>
        <w:rPr>
          <w:rFonts w:hint="eastAsia" w:ascii="宋体" w:hAnsi="宋体" w:cs="宋体"/>
          <w:sz w:val="24"/>
        </w:rPr>
      </w:pPr>
      <w:r>
        <w:rPr>
          <w:rFonts w:hint="eastAsia" w:ascii="宋体" w:hAnsi="宋体" w:cs="宋体"/>
          <w:sz w:val="24"/>
        </w:rPr>
        <w:t>（2）</w:t>
      </w:r>
      <w:r>
        <w:rPr>
          <w:rFonts w:ascii="宋体" w:hAnsi="宋体" w:cs="宋体"/>
          <w:sz w:val="24"/>
        </w:rPr>
        <w:t>可安装</w:t>
      </w:r>
      <w:r>
        <w:rPr>
          <w:rFonts w:hint="eastAsia" w:ascii="宋体" w:hAnsi="宋体" w:cs="宋体"/>
          <w:sz w:val="24"/>
        </w:rPr>
        <w:t>EXE</w:t>
      </w:r>
      <w:r>
        <w:rPr>
          <w:rFonts w:ascii="宋体" w:hAnsi="宋体" w:cs="宋体"/>
          <w:sz w:val="24"/>
        </w:rPr>
        <w:t>文件</w:t>
      </w:r>
    </w:p>
    <w:p>
      <w:pPr>
        <w:rPr>
          <w:rFonts w:hint="eastAsia" w:ascii="宋体" w:hAnsi="宋体" w:cs="宋体"/>
          <w:color w:val="000000"/>
          <w:sz w:val="24"/>
        </w:rPr>
      </w:pPr>
      <w:r>
        <w:rPr>
          <w:rFonts w:hint="eastAsia" w:ascii="宋体" w:hAnsi="宋体" w:cs="宋体"/>
          <w:color w:val="000000"/>
          <w:sz w:val="24"/>
        </w:rPr>
        <w:t>4.3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1"/>
    <w:bookmarkEnd w:id="12"/>
    <w:bookmarkEnd w:id="13"/>
    <w:bookmarkEnd w:id="14"/>
    <w:bookmarkEnd w:id="15"/>
    <w:bookmarkEnd w:id="16"/>
    <w:bookmarkEnd w:id="17"/>
    <w:bookmarkEnd w:id="18"/>
    <w:bookmarkEnd w:id="19"/>
    <w:bookmarkEnd w:id="20"/>
    <w:bookmarkEnd w:id="21"/>
    <w:p>
      <w:pPr>
        <w:rPr>
          <w:rFonts w:hint="eastAsia" w:ascii="宋体" w:hAnsi="宋体" w:cs="宋体"/>
          <w:sz w:val="24"/>
        </w:rPr>
      </w:pPr>
      <w:bookmarkStart w:id="28" w:name="_Toc20013"/>
      <w:r>
        <w:rPr>
          <w:rFonts w:hint="eastAsia" w:ascii="宋体" w:hAnsi="宋体" w:cs="宋体"/>
          <w:sz w:val="24"/>
        </w:rPr>
        <w:t>4.4 研究成果。</w:t>
      </w:r>
      <w:bookmarkEnd w:id="28"/>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29" w:name="_Toc531004269"/>
      <w:bookmarkStart w:id="30" w:name="_Toc531004215"/>
      <w:bookmarkStart w:id="31" w:name="_Toc309805604"/>
      <w:bookmarkStart w:id="32" w:name="_Toc309593280"/>
      <w:bookmarkStart w:id="33" w:name="_Toc312827040"/>
      <w:bookmarkStart w:id="34" w:name="_Toc441483969"/>
      <w:bookmarkStart w:id="35" w:name="_Toc309593209"/>
      <w:bookmarkStart w:id="36" w:name="_Toc18633"/>
    </w:p>
    <w:p>
      <w:pPr>
        <w:pStyle w:val="7"/>
        <w:rPr>
          <w:rFonts w:hint="eastAsia" w:hAnsi="宋体"/>
          <w:sz w:val="24"/>
        </w:rPr>
      </w:pPr>
      <w:r>
        <w:rPr>
          <w:rFonts w:hint="eastAsia" w:hAnsi="宋体" w:cs="宋体"/>
          <w:sz w:val="24"/>
          <w:szCs w:val="24"/>
        </w:rPr>
        <w:t xml:space="preserve">4.5 </w:t>
      </w:r>
      <w:r>
        <w:rPr>
          <w:rFonts w:hint="eastAsia" w:ascii="Times New Roman" w:hAnsi="Times New Roman"/>
          <w:sz w:val="24"/>
          <w:szCs w:val="24"/>
        </w:rPr>
        <w:t>技术服务其它要求。</w:t>
      </w:r>
      <w:r>
        <w:rPr>
          <w:rFonts w:hint="eastAsia" w:hAnsi="宋体"/>
          <w:sz w:val="24"/>
        </w:rPr>
        <w:t>除上述工作量范围以外，投标方负责组织项目评审会议、中期评审、项目相关协调会或研讨会，并负责会务及会议费用。</w:t>
      </w:r>
    </w:p>
    <w:p>
      <w:pPr>
        <w:autoSpaceDN w:val="0"/>
        <w:rPr>
          <w:rFonts w:hint="eastAsia" w:ascii="宋体" w:hAnsi="宋体"/>
          <w:sz w:val="24"/>
          <w:szCs w:val="21"/>
        </w:rPr>
      </w:pPr>
      <w:r>
        <w:rPr>
          <w:rFonts w:hint="eastAsia" w:ascii="宋体" w:hAnsi="宋体" w:cs="宋体"/>
          <w:sz w:val="24"/>
        </w:rPr>
        <w:t xml:space="preserve">4.6 </w:t>
      </w:r>
      <w:r>
        <w:rPr>
          <w:rFonts w:hint="eastAsia" w:ascii="宋体" w:hAnsi="宋体"/>
          <w:sz w:val="24"/>
          <w:szCs w:val="21"/>
        </w:rPr>
        <w:t>为保证投标方有效进行技术服务工作，招标方提供与项目有关的技术资料，并协助投标方协调项目实施过程中所需解决的事项。</w:t>
      </w:r>
    </w:p>
    <w:p>
      <w:pPr>
        <w:pStyle w:val="7"/>
        <w:rPr>
          <w:rFonts w:hint="eastAsia" w:hAnsi="宋体"/>
          <w:sz w:val="24"/>
        </w:rPr>
      </w:pPr>
      <w:r>
        <w:rPr>
          <w:rFonts w:hint="eastAsia" w:hAnsi="宋体" w:cs="宋体"/>
          <w:sz w:val="24"/>
          <w:szCs w:val="24"/>
        </w:rPr>
        <w:t>4.7双</w:t>
      </w:r>
      <w:r>
        <w:rPr>
          <w:rFonts w:hint="eastAsia" w:hAnsi="宋体"/>
          <w:sz w:val="24"/>
        </w:rPr>
        <w:t>方确定，在项目进行期内，双方均指定项目联系人。项目联系人承担以下责任：</w:t>
      </w:r>
    </w:p>
    <w:p>
      <w:pPr>
        <w:pStyle w:val="7"/>
        <w:ind w:left="465"/>
        <w:rPr>
          <w:rFonts w:hint="eastAsia" w:hAnsi="宋体"/>
          <w:sz w:val="24"/>
        </w:rPr>
      </w:pPr>
      <w:r>
        <w:rPr>
          <w:rFonts w:hint="eastAsia" w:ascii="Times New Roman" w:hAnsi="Times New Roman"/>
          <w:sz w:val="24"/>
        </w:rPr>
        <w:t>（1）沟通项目所需资料的收集</w:t>
      </w:r>
      <w:r>
        <w:rPr>
          <w:rFonts w:hint="eastAsia" w:hAnsi="宋体"/>
          <w:sz w:val="24"/>
        </w:rPr>
        <w:t>。</w:t>
      </w:r>
    </w:p>
    <w:p>
      <w:pPr>
        <w:pStyle w:val="7"/>
        <w:ind w:firstLine="480" w:firstLineChars="200"/>
        <w:rPr>
          <w:rFonts w:hint="eastAsia" w:hAnsi="宋体"/>
          <w:sz w:val="24"/>
        </w:rPr>
      </w:pPr>
      <w:r>
        <w:rPr>
          <w:rFonts w:hint="eastAsia" w:ascii="Times New Roman" w:hAnsi="Times New Roman"/>
          <w:sz w:val="24"/>
        </w:rPr>
        <w:t>（2）沟通项目进度信息。</w:t>
      </w:r>
    </w:p>
    <w:p>
      <w:pPr>
        <w:pStyle w:val="7"/>
        <w:ind w:left="465"/>
        <w:rPr>
          <w:rFonts w:hint="eastAsia" w:hAnsi="宋体"/>
          <w:sz w:val="24"/>
        </w:rPr>
      </w:pPr>
      <w:r>
        <w:rPr>
          <w:rFonts w:hint="eastAsia" w:ascii="Times New Roman" w:hAnsi="Times New Roman"/>
          <w:sz w:val="24"/>
        </w:rPr>
        <w:t>（3）协商解决项目执行过程中遇到的问题。</w:t>
      </w:r>
    </w:p>
    <w:p>
      <w:pPr>
        <w:pStyle w:val="7"/>
        <w:ind w:firstLine="480" w:firstLineChars="200"/>
        <w:rPr>
          <w:rFonts w:hint="eastAsia"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pPr>
        <w:pStyle w:val="7"/>
        <w:rPr>
          <w:rFonts w:hint="eastAsia" w:hAnsi="宋体"/>
          <w:sz w:val="24"/>
        </w:rPr>
      </w:pPr>
      <w:r>
        <w:rPr>
          <w:rFonts w:hint="eastAsia" w:hAnsi="宋体" w:cs="宋体"/>
          <w:sz w:val="24"/>
          <w:szCs w:val="24"/>
        </w:rPr>
        <w:t>4.8双</w:t>
      </w:r>
      <w:r>
        <w:rPr>
          <w:rFonts w:hAnsi="宋体"/>
          <w:sz w:val="24"/>
        </w:rPr>
        <w:t>方确定</w:t>
      </w:r>
      <w:r>
        <w:rPr>
          <w:rFonts w:hint="eastAsia" w:hAnsi="宋体"/>
          <w:sz w:val="24"/>
        </w:rPr>
        <w:t>项目有关</w:t>
      </w:r>
      <w:r>
        <w:rPr>
          <w:rFonts w:hAnsi="宋体"/>
          <w:sz w:val="24"/>
        </w:rPr>
        <w:t>保密义务如下：</w:t>
      </w:r>
    </w:p>
    <w:p>
      <w:pPr>
        <w:pStyle w:val="7"/>
        <w:ind w:firstLine="240"/>
        <w:rPr>
          <w:rFonts w:hint="eastAsia" w:hAnsi="宋体"/>
          <w:sz w:val="24"/>
        </w:rPr>
      </w:pPr>
      <w:r>
        <w:rPr>
          <w:rFonts w:hAnsi="宋体"/>
          <w:sz w:val="24"/>
        </w:rPr>
        <w:t xml:space="preserve">    </w:t>
      </w:r>
      <w:r>
        <w:rPr>
          <w:rFonts w:hint="eastAsia" w:hAnsi="宋体"/>
          <w:sz w:val="24"/>
        </w:rPr>
        <w:t>招标方</w:t>
      </w:r>
      <w:r>
        <w:rPr>
          <w:rFonts w:hAnsi="宋体"/>
          <w:sz w:val="24"/>
        </w:rPr>
        <w:t>：</w:t>
      </w:r>
    </w:p>
    <w:p>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7"/>
        <w:ind w:firstLine="720" w:firstLineChars="300"/>
        <w:rPr>
          <w:rFonts w:hint="eastAsia"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pPr>
        <w:pStyle w:val="7"/>
        <w:ind w:firstLine="240"/>
        <w:rPr>
          <w:rFonts w:hint="eastAsia" w:hAnsi="宋体"/>
          <w:sz w:val="24"/>
        </w:rPr>
      </w:pPr>
      <w:r>
        <w:rPr>
          <w:rFonts w:hAnsi="宋体"/>
          <w:sz w:val="24"/>
        </w:rPr>
        <w:t xml:space="preserve">    </w:t>
      </w:r>
      <w:r>
        <w:rPr>
          <w:rFonts w:hint="eastAsia" w:hAnsi="宋体"/>
          <w:sz w:val="24"/>
        </w:rPr>
        <w:t>投标方</w:t>
      </w:r>
      <w:r>
        <w:rPr>
          <w:rFonts w:hAnsi="宋体"/>
          <w:sz w:val="24"/>
        </w:rPr>
        <w:t xml:space="preserve">：  </w:t>
      </w:r>
    </w:p>
    <w:p>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7"/>
        <w:ind w:firstLine="720" w:firstLineChars="300"/>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5.项目验收</w:t>
      </w:r>
      <w:bookmarkEnd w:id="29"/>
      <w:bookmarkEnd w:id="30"/>
      <w:bookmarkEnd w:id="31"/>
      <w:bookmarkEnd w:id="32"/>
      <w:bookmarkEnd w:id="33"/>
      <w:bookmarkEnd w:id="34"/>
      <w:bookmarkEnd w:id="35"/>
    </w:p>
    <w:p>
      <w:pPr>
        <w:rPr>
          <w:rFonts w:hint="eastAsia" w:ascii="宋体" w:hAnsi="宋体" w:cs="宋体"/>
          <w:sz w:val="24"/>
        </w:rPr>
      </w:pPr>
      <w:r>
        <w:rPr>
          <w:rFonts w:hint="eastAsia" w:ascii="宋体" w:hAnsi="宋体" w:cs="宋体"/>
          <w:sz w:val="24"/>
        </w:rPr>
        <w:t>5.1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6 其他要求</w:t>
      </w:r>
      <w:bookmarkEnd w:id="36"/>
    </w:p>
    <w:p>
      <w:pPr>
        <w:rPr>
          <w:rFonts w:hint="eastAsia" w:ascii="宋体" w:hAnsi="宋体" w:cs="宋体"/>
          <w:sz w:val="24"/>
        </w:rPr>
      </w:pPr>
      <w:r>
        <w:rPr>
          <w:rFonts w:hint="eastAsia" w:ascii="宋体" w:hAnsi="宋体" w:cs="宋体"/>
          <w:sz w:val="24"/>
        </w:rPr>
        <w:t>6.1 进度控制以投标方向招标方提交的报告为考核依据，按期执行、推进相应工作，保障任务最终完成的时间节点。</w:t>
      </w:r>
    </w:p>
    <w:p>
      <w:pPr>
        <w:rPr>
          <w:rFonts w:hint="eastAsia" w:ascii="宋体" w:hAnsi="宋体" w:cs="宋体"/>
          <w:sz w:val="24"/>
        </w:rPr>
      </w:pPr>
      <w:r>
        <w:rPr>
          <w:rFonts w:hint="eastAsia" w:ascii="宋体" w:hAnsi="宋体" w:cs="宋体"/>
          <w:sz w:val="24"/>
        </w:rPr>
        <w:t>6.2 招标方有义务协助投标方开展相关沟通协调工作，但投标方须按照本技术规范书第二部分服务范围及要求的时间节点，完成各项工作。</w:t>
      </w:r>
    </w:p>
    <w:p>
      <w:pPr>
        <w:rPr>
          <w:rFonts w:hint="eastAsia" w:ascii="宋体" w:hAnsi="宋体" w:cs="宋体"/>
          <w:sz w:val="24"/>
        </w:rPr>
      </w:pPr>
      <w:r>
        <w:rPr>
          <w:rFonts w:hint="eastAsia" w:ascii="宋体" w:hAnsi="宋体" w:cs="宋体"/>
          <w:sz w:val="24"/>
        </w:rPr>
        <w:t>6.3 投标方应按照工作计划，明晰组织结构，明确责任人，成立专业团队，加紧开展工作。</w:t>
      </w:r>
    </w:p>
    <w:p>
      <w:pPr>
        <w:rPr>
          <w:rFonts w:hint="eastAsia" w:ascii="宋体" w:hAnsi="宋体" w:cs="宋体"/>
          <w:sz w:val="24"/>
        </w:rPr>
      </w:pPr>
      <w:r>
        <w:rPr>
          <w:rFonts w:hint="eastAsia" w:ascii="宋体" w:hAnsi="宋体" w:cs="宋体"/>
          <w:sz w:val="24"/>
        </w:rPr>
        <w:t>6.4 工作过程中出现报告质量与完整性不足的情况，投标方应负责辅导更正。</w:t>
      </w:r>
    </w:p>
    <w:p>
      <w:pPr>
        <w:rPr>
          <w:rFonts w:hint="eastAsia" w:ascii="宋体" w:hAnsi="宋体" w:cs="宋体"/>
          <w:sz w:val="24"/>
        </w:rPr>
      </w:pPr>
      <w:r>
        <w:rPr>
          <w:rFonts w:hint="eastAsia" w:ascii="宋体" w:hAnsi="宋体" w:cs="宋体"/>
          <w:sz w:val="24"/>
        </w:rPr>
        <w:t>6.5 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B5C76"/>
    <w:rsid w:val="00134895"/>
    <w:rsid w:val="00180D33"/>
    <w:rsid w:val="00291379"/>
    <w:rsid w:val="003A4DD8"/>
    <w:rsid w:val="004A72AF"/>
    <w:rsid w:val="00531528"/>
    <w:rsid w:val="00533971"/>
    <w:rsid w:val="00583545"/>
    <w:rsid w:val="0058678F"/>
    <w:rsid w:val="005C42BD"/>
    <w:rsid w:val="006D6C23"/>
    <w:rsid w:val="006F59F4"/>
    <w:rsid w:val="007318D0"/>
    <w:rsid w:val="00746122"/>
    <w:rsid w:val="007C6002"/>
    <w:rsid w:val="0081520A"/>
    <w:rsid w:val="00825484"/>
    <w:rsid w:val="009648F6"/>
    <w:rsid w:val="00975AE9"/>
    <w:rsid w:val="009D048B"/>
    <w:rsid w:val="00A5073F"/>
    <w:rsid w:val="00A9312B"/>
    <w:rsid w:val="00AA6538"/>
    <w:rsid w:val="00AA7138"/>
    <w:rsid w:val="00B5473C"/>
    <w:rsid w:val="00B548A2"/>
    <w:rsid w:val="00C50F57"/>
    <w:rsid w:val="00CA3628"/>
    <w:rsid w:val="00CC1C57"/>
    <w:rsid w:val="00D235DA"/>
    <w:rsid w:val="00D620BA"/>
    <w:rsid w:val="00D70460"/>
    <w:rsid w:val="00DD609C"/>
    <w:rsid w:val="00E4648D"/>
    <w:rsid w:val="00F11A8A"/>
    <w:rsid w:val="00F73F8D"/>
    <w:rsid w:val="00FA086C"/>
    <w:rsid w:val="01543C57"/>
    <w:rsid w:val="04340829"/>
    <w:rsid w:val="06D27AF8"/>
    <w:rsid w:val="06F2484F"/>
    <w:rsid w:val="0A210078"/>
    <w:rsid w:val="0C030754"/>
    <w:rsid w:val="0CA05D46"/>
    <w:rsid w:val="0F966A31"/>
    <w:rsid w:val="10550F6F"/>
    <w:rsid w:val="128F30ED"/>
    <w:rsid w:val="12BD66DE"/>
    <w:rsid w:val="13132954"/>
    <w:rsid w:val="163A1216"/>
    <w:rsid w:val="166F3EB8"/>
    <w:rsid w:val="191A5617"/>
    <w:rsid w:val="1F8A11CF"/>
    <w:rsid w:val="22431066"/>
    <w:rsid w:val="23D05B4F"/>
    <w:rsid w:val="27FA20BD"/>
    <w:rsid w:val="28677108"/>
    <w:rsid w:val="2AB57474"/>
    <w:rsid w:val="2C4C628B"/>
    <w:rsid w:val="2DB575CA"/>
    <w:rsid w:val="2E9A689E"/>
    <w:rsid w:val="2F036DE8"/>
    <w:rsid w:val="2F8649A3"/>
    <w:rsid w:val="30936BC2"/>
    <w:rsid w:val="319B592F"/>
    <w:rsid w:val="33F27DDD"/>
    <w:rsid w:val="35577297"/>
    <w:rsid w:val="36515C79"/>
    <w:rsid w:val="373C54BB"/>
    <w:rsid w:val="37643739"/>
    <w:rsid w:val="37E33064"/>
    <w:rsid w:val="3B4F326E"/>
    <w:rsid w:val="3C0F5DF2"/>
    <w:rsid w:val="3EF75647"/>
    <w:rsid w:val="40C512FC"/>
    <w:rsid w:val="42C6746E"/>
    <w:rsid w:val="42EE5CD4"/>
    <w:rsid w:val="45D97826"/>
    <w:rsid w:val="45F20916"/>
    <w:rsid w:val="48736764"/>
    <w:rsid w:val="48D82303"/>
    <w:rsid w:val="4D3F13B6"/>
    <w:rsid w:val="4DFF75F2"/>
    <w:rsid w:val="52420D12"/>
    <w:rsid w:val="56061A78"/>
    <w:rsid w:val="5643156F"/>
    <w:rsid w:val="57AF48B9"/>
    <w:rsid w:val="592823C4"/>
    <w:rsid w:val="5981212C"/>
    <w:rsid w:val="5A3D1B2B"/>
    <w:rsid w:val="5B187842"/>
    <w:rsid w:val="5D615387"/>
    <w:rsid w:val="61C27952"/>
    <w:rsid w:val="62DB3950"/>
    <w:rsid w:val="637B25C6"/>
    <w:rsid w:val="63D72C4E"/>
    <w:rsid w:val="66FE4F15"/>
    <w:rsid w:val="69A41DA4"/>
    <w:rsid w:val="69BA736E"/>
    <w:rsid w:val="6A5A6906"/>
    <w:rsid w:val="6BCF0AA5"/>
    <w:rsid w:val="6BEF5D56"/>
    <w:rsid w:val="6E062826"/>
    <w:rsid w:val="6F664872"/>
    <w:rsid w:val="6F942155"/>
    <w:rsid w:val="704439AD"/>
    <w:rsid w:val="74366DF1"/>
    <w:rsid w:val="74F35D39"/>
    <w:rsid w:val="75083064"/>
    <w:rsid w:val="75110011"/>
    <w:rsid w:val="7D5140B3"/>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1"/>
    <w:next w:val="1"/>
    <w:qFormat/>
    <w:uiPriority w:val="99"/>
    <w:pPr>
      <w:ind w:firstLine="880" w:firstLineChars="200"/>
    </w:pPr>
    <w:rPr>
      <w:rFonts w:ascii="仿宋_GB2312" w:hAnsi="仿宋_GB2312" w:eastAsia="仿宋_GB2312" w:cs="Arial"/>
      <w:sz w:val="32"/>
      <w:szCs w:val="20"/>
    </w:rPr>
  </w:style>
  <w:style w:type="paragraph" w:styleId="7">
    <w:name w:val="Plain Text"/>
    <w:basedOn w:val="1"/>
    <w:qFormat/>
    <w:uiPriority w:val="0"/>
    <w:rPr>
      <w:rFonts w:ascii="宋体" w:hAnsi="Courier New"/>
      <w:szCs w:val="21"/>
    </w:rPr>
  </w:style>
  <w:style w:type="paragraph" w:styleId="8">
    <w:name w:val="footer"/>
    <w:basedOn w:val="1"/>
    <w:qFormat/>
    <w:uiPriority w:val="99"/>
    <w:pPr>
      <w:tabs>
        <w:tab w:val="center" w:pos="4153"/>
        <w:tab w:val="right" w:pos="8306"/>
      </w:tabs>
      <w:snapToGrid w:val="0"/>
    </w:pPr>
    <w:rPr>
      <w:sz w:val="18"/>
      <w:szCs w:val="18"/>
    </w:rPr>
  </w:style>
  <w:style w:type="paragraph" w:styleId="9">
    <w:name w:val="toc 2"/>
    <w:basedOn w:val="1"/>
    <w:next w:val="1"/>
    <w:unhideWhenUsed/>
    <w:qFormat/>
    <w:uiPriority w:val="39"/>
    <w:pPr>
      <w:widowControl/>
      <w:spacing w:after="100" w:line="259" w:lineRule="auto"/>
      <w:ind w:left="220"/>
    </w:pPr>
    <w:rPr>
      <w:kern w:val="0"/>
      <w:sz w:val="22"/>
    </w:rPr>
  </w:style>
  <w:style w:type="paragraph" w:styleId="10">
    <w:name w:val="Normal (Web)"/>
    <w:basedOn w:val="1"/>
    <w:qFormat/>
    <w:uiPriority w:val="0"/>
    <w:pPr>
      <w:spacing w:beforeAutospacing="1" w:afterAutospacing="1"/>
    </w:pPr>
    <w:rPr>
      <w:kern w:val="0"/>
      <w:sz w:val="24"/>
    </w:rPr>
  </w:style>
  <w:style w:type="paragraph" w:styleId="11">
    <w:name w:val="Title"/>
    <w:basedOn w:val="1"/>
    <w:next w:val="1"/>
    <w:qFormat/>
    <w:uiPriority w:val="99"/>
    <w:pPr>
      <w:spacing w:before="240" w:after="60"/>
      <w:jc w:val="center"/>
      <w:outlineLvl w:val="0"/>
    </w:pPr>
    <w:rPr>
      <w:rFonts w:ascii="Arial" w:hAnsi="Arial"/>
      <w:b/>
      <w:bCs/>
      <w:sz w:val="32"/>
      <w:szCs w:val="3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3961</Words>
  <Characters>4328</Characters>
  <Lines>32</Lines>
  <Paragraphs>9</Paragraphs>
  <TotalTime>0</TotalTime>
  <ScaleCrop>false</ScaleCrop>
  <LinksUpToDate>false</LinksUpToDate>
  <CharactersWithSpaces>4401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Administrator</cp:lastModifiedBy>
  <dcterms:modified xsi:type="dcterms:W3CDTF">2026-06-24T07:52:03Z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224DF73AD5FC46EA98D1EDFB83436311_13</vt:lpwstr>
  </property>
  <property fmtid="{D5CDD505-2E9C-101B-9397-08002B2CF9AE}" pid="4" name="KSOTemplateDocerSaveRecord">
    <vt:lpwstr>eyJoZGlkIjoiMTBiZDA2MGQ3MjFhYmJiNzEwNjE0MzA4ZTAyYTIxMzQiLCJ1c2VySWQiOiI1MjY2MjI5OTAifQ==</vt:lpwstr>
  </property>
</Properties>
</file>