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F2B95">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2A27A15C">
      <w:pPr>
        <w:adjustRightInd w:val="0"/>
        <w:snapToGrid w:val="0"/>
        <w:rPr>
          <w:sz w:val="28"/>
          <w:szCs w:val="36"/>
        </w:rPr>
      </w:pPr>
    </w:p>
    <w:p w14:paraId="4D662308">
      <w:pPr>
        <w:adjustRightInd w:val="0"/>
        <w:snapToGrid w:val="0"/>
        <w:rPr>
          <w:sz w:val="28"/>
          <w:szCs w:val="36"/>
        </w:rPr>
      </w:pPr>
    </w:p>
    <w:p w14:paraId="625AD73A">
      <w:pPr>
        <w:adjustRightInd w:val="0"/>
        <w:snapToGrid w:val="0"/>
        <w:rPr>
          <w:sz w:val="28"/>
          <w:szCs w:val="36"/>
        </w:rPr>
      </w:pPr>
    </w:p>
    <w:p w14:paraId="51FFA66F">
      <w:pPr>
        <w:adjustRightInd w:val="0"/>
        <w:snapToGrid w:val="0"/>
        <w:rPr>
          <w:sz w:val="28"/>
          <w:szCs w:val="36"/>
        </w:rPr>
      </w:pPr>
    </w:p>
    <w:p w14:paraId="57A0CC69">
      <w:pPr>
        <w:adjustRightInd w:val="0"/>
        <w:snapToGrid w:val="0"/>
        <w:rPr>
          <w:sz w:val="28"/>
          <w:szCs w:val="36"/>
        </w:rPr>
      </w:pPr>
    </w:p>
    <w:p w14:paraId="4ECEBB0D">
      <w:pPr>
        <w:adjustRightInd w:val="0"/>
        <w:snapToGrid w:val="0"/>
        <w:rPr>
          <w:sz w:val="28"/>
          <w:szCs w:val="36"/>
        </w:rPr>
      </w:pPr>
    </w:p>
    <w:p w14:paraId="6BEAB291">
      <w:pPr>
        <w:adjustRightInd w:val="0"/>
        <w:snapToGrid w:val="0"/>
        <w:rPr>
          <w:sz w:val="28"/>
          <w:szCs w:val="36"/>
        </w:rPr>
      </w:pPr>
    </w:p>
    <w:p w14:paraId="752F2653">
      <w:pPr>
        <w:adjustRightInd w:val="0"/>
        <w:snapToGrid w:val="0"/>
        <w:jc w:val="center"/>
        <w:rPr>
          <w:rFonts w:hint="eastAsia" w:eastAsia="黑体"/>
          <w:b/>
          <w:sz w:val="52"/>
        </w:rPr>
      </w:pPr>
      <w:r>
        <w:rPr>
          <w:rFonts w:hint="eastAsia" w:eastAsia="黑体"/>
          <w:b/>
          <w:sz w:val="52"/>
        </w:rPr>
        <w:t>基于南网智瞰的智能接地线展示界面开发及应用</w:t>
      </w:r>
    </w:p>
    <w:p w14:paraId="25D16481">
      <w:pPr>
        <w:adjustRightInd w:val="0"/>
        <w:snapToGrid w:val="0"/>
        <w:jc w:val="center"/>
        <w:rPr>
          <w:rFonts w:eastAsia="黑体"/>
          <w:b/>
          <w:sz w:val="52"/>
        </w:rPr>
      </w:pPr>
      <w:r>
        <w:rPr>
          <w:rFonts w:eastAsia="黑体"/>
          <w:b/>
          <w:sz w:val="52"/>
        </w:rPr>
        <w:t>技术规范书</w:t>
      </w:r>
    </w:p>
    <w:p w14:paraId="6D097E34">
      <w:pPr>
        <w:adjustRightInd w:val="0"/>
        <w:snapToGrid w:val="0"/>
        <w:rPr>
          <w:sz w:val="28"/>
          <w:szCs w:val="36"/>
        </w:rPr>
      </w:pPr>
    </w:p>
    <w:p w14:paraId="24228B6F">
      <w:pPr>
        <w:pStyle w:val="2"/>
      </w:pPr>
    </w:p>
    <w:p w14:paraId="622D7099">
      <w:pPr>
        <w:adjustRightInd w:val="0"/>
        <w:snapToGrid w:val="0"/>
        <w:rPr>
          <w:sz w:val="28"/>
          <w:szCs w:val="36"/>
        </w:rPr>
      </w:pPr>
    </w:p>
    <w:p w14:paraId="5031AAA0">
      <w:pPr>
        <w:pStyle w:val="2"/>
        <w:rPr>
          <w:sz w:val="28"/>
          <w:szCs w:val="36"/>
        </w:rPr>
      </w:pPr>
    </w:p>
    <w:p w14:paraId="44932D83">
      <w:pPr>
        <w:pStyle w:val="2"/>
        <w:rPr>
          <w:sz w:val="28"/>
          <w:szCs w:val="36"/>
        </w:rPr>
      </w:pPr>
    </w:p>
    <w:p w14:paraId="125B6D53">
      <w:pPr>
        <w:pStyle w:val="2"/>
        <w:rPr>
          <w:sz w:val="28"/>
          <w:szCs w:val="36"/>
        </w:rPr>
      </w:pPr>
      <w:bookmarkStart w:id="50" w:name="_GoBack"/>
      <w:bookmarkEnd w:id="50"/>
    </w:p>
    <w:p w14:paraId="78B573E3">
      <w:pPr>
        <w:adjustRightInd w:val="0"/>
        <w:snapToGrid w:val="0"/>
        <w:rPr>
          <w:sz w:val="28"/>
          <w:szCs w:val="36"/>
        </w:rPr>
      </w:pPr>
    </w:p>
    <w:p w14:paraId="642BB1E4">
      <w:pPr>
        <w:adjustRightInd w:val="0"/>
        <w:snapToGrid w:val="0"/>
        <w:rPr>
          <w:sz w:val="28"/>
          <w:szCs w:val="36"/>
        </w:rPr>
      </w:pPr>
    </w:p>
    <w:p w14:paraId="7B545D5A">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14:paraId="6E8E4A9E">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14:paraId="63D1723A">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5180B63">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14:paraId="3679B98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《基于南网智瞰的智能接地线展示界面开发及应用》</w:t>
      </w:r>
      <w:r>
        <w:rPr>
          <w:rFonts w:hint="eastAsia" w:asciiTheme="minorEastAsia" w:hAnsiTheme="minorEastAsia" w:eastAsiaTheme="minorEastAsia" w:cstheme="minorEastAsia"/>
          <w:sz w:val="24"/>
          <w:lang w:val="en-US" w:eastAsia="zh-CN"/>
        </w:rPr>
        <w:t>职工</w:t>
      </w:r>
      <w:r>
        <w:rPr>
          <w:rFonts w:hint="eastAsia" w:asciiTheme="minorEastAsia" w:hAnsiTheme="minorEastAsia" w:eastAsiaTheme="minorEastAsia" w:cstheme="minorEastAsia"/>
          <w:sz w:val="24"/>
        </w:rPr>
        <w:t>创新项目，提出了将智能接地线的挂拆状态、位置、电量等信息变化及时通知相关人员并在南网智瞰平台查询接地线历史状态，主要应用于各单位</w:t>
      </w:r>
      <w:r>
        <w:rPr>
          <w:rFonts w:hint="eastAsia" w:asciiTheme="minorEastAsia" w:hAnsiTheme="minorEastAsia" w:eastAsiaTheme="minorEastAsia" w:cstheme="minorEastAsia"/>
          <w:sz w:val="24"/>
          <w:lang w:val="en-US" w:eastAsia="zh-CN"/>
        </w:rPr>
        <w:t>实时获取已安装</w:t>
      </w:r>
      <w:r>
        <w:rPr>
          <w:rFonts w:hint="eastAsia" w:asciiTheme="minorEastAsia" w:hAnsiTheme="minorEastAsia" w:eastAsiaTheme="minorEastAsia" w:cstheme="minorEastAsia"/>
          <w:sz w:val="24"/>
        </w:rPr>
        <w:t>智能接地线</w:t>
      </w:r>
      <w:r>
        <w:rPr>
          <w:rFonts w:hint="eastAsia" w:asciiTheme="minorEastAsia" w:hAnsiTheme="minorEastAsia" w:eastAsiaTheme="minorEastAsia" w:cstheme="minorEastAsia"/>
          <w:sz w:val="24"/>
          <w:lang w:val="en-US" w:eastAsia="zh-CN"/>
        </w:rPr>
        <w:t>的状态</w:t>
      </w:r>
      <w:r>
        <w:rPr>
          <w:rFonts w:hint="eastAsia" w:asciiTheme="minorEastAsia" w:hAnsiTheme="minorEastAsia" w:eastAsiaTheme="minorEastAsia" w:cstheme="minorEastAsia"/>
          <w:sz w:val="24"/>
        </w:rPr>
        <w:t>。投标方应针对自身特点，根据本技术规范书所描述的具体要求，提供完整的解决方案。</w:t>
      </w:r>
    </w:p>
    <w:p w14:paraId="5B3D58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14:paraId="33FE692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6D3CDF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14:paraId="38562D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14:paraId="5D1E9818">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14:paraId="79BDC60E">
      <w:pPr>
        <w:snapToGrid w:val="0"/>
        <w:spacing w:before="120"/>
        <w:rPr>
          <w:rFonts w:ascii="黑体" w:hAnsi="黑体" w:eastAsia="黑体" w:cs="黑体"/>
          <w:b/>
          <w:bCs/>
          <w:sz w:val="28"/>
          <w:szCs w:val="36"/>
        </w:rPr>
      </w:pPr>
      <w:bookmarkStart w:id="0" w:name="_Toc26376"/>
      <w:bookmarkStart w:id="1" w:name="_Toc241911995"/>
      <w:bookmarkStart w:id="2" w:name="_Toc155114607"/>
      <w:r>
        <w:rPr>
          <w:rFonts w:hint="eastAsia" w:ascii="黑体" w:hAnsi="黑体" w:eastAsia="黑体" w:cs="黑体"/>
          <w:b/>
          <w:bCs/>
          <w:sz w:val="28"/>
          <w:szCs w:val="36"/>
        </w:rPr>
        <w:t xml:space="preserve">2 </w:t>
      </w:r>
      <w:bookmarkEnd w:id="0"/>
      <w:bookmarkStart w:id="3" w:name="_Toc441483964"/>
      <w:bookmarkStart w:id="4" w:name="_Toc531004264"/>
      <w:bookmarkStart w:id="5" w:name="_Toc531004210"/>
      <w:r>
        <w:rPr>
          <w:rFonts w:hint="eastAsia" w:ascii="黑体" w:hAnsi="黑体" w:eastAsia="黑体" w:cs="黑体"/>
          <w:b/>
          <w:bCs/>
          <w:sz w:val="28"/>
          <w:szCs w:val="36"/>
        </w:rPr>
        <w:t>项目有关内容</w:t>
      </w:r>
      <w:bookmarkEnd w:id="3"/>
      <w:bookmarkEnd w:id="4"/>
      <w:bookmarkEnd w:id="5"/>
    </w:p>
    <w:p w14:paraId="5D9AFC14">
      <w:pPr>
        <w:rPr>
          <w:rFonts w:hint="eastAsia" w:asciiTheme="minorEastAsia" w:hAnsiTheme="minorEastAsia" w:eastAsiaTheme="minorEastAsia" w:cstheme="minorEastAsia"/>
          <w:sz w:val="24"/>
        </w:rPr>
      </w:pPr>
      <w:bookmarkStart w:id="6" w:name="_Toc309593259"/>
      <w:bookmarkStart w:id="7" w:name="_Toc312827019"/>
      <w:bookmarkStart w:id="8" w:name="_Toc309593188"/>
      <w:bookmarkStart w:id="9" w:name="_Toc309805583"/>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6"/>
      <w:bookmarkEnd w:id="7"/>
      <w:bookmarkEnd w:id="8"/>
      <w:bookmarkEnd w:id="9"/>
    </w:p>
    <w:p w14:paraId="7027E817">
      <w:pPr>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基于南网智瞰的智能接地线展示界面开发及应用</w:t>
      </w:r>
    </w:p>
    <w:p w14:paraId="0063F22A">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1"/>
    <w:bookmarkEnd w:id="2"/>
    <w:p w14:paraId="6F925AEF">
      <w:pPr>
        <w:ind w:firstLine="480" w:firstLineChars="200"/>
        <w:rPr>
          <w:rFonts w:hint="eastAsia" w:asciiTheme="minorEastAsia" w:hAnsiTheme="minorEastAsia" w:eastAsiaTheme="minorEastAsia" w:cstheme="minorEastAsia"/>
          <w:sz w:val="24"/>
          <w:lang w:eastAsia="zh-CN"/>
        </w:rPr>
      </w:pPr>
      <w:bookmarkStart w:id="10" w:name="_Toc22304900"/>
      <w:bookmarkStart w:id="11" w:name="_Toc384340980"/>
      <w:bookmarkStart w:id="12" w:name="_Toc39753999"/>
      <w:bookmarkStart w:id="13" w:name="_Toc39753342"/>
      <w:bookmarkStart w:id="14" w:name="_Toc20556"/>
      <w:r>
        <w:rPr>
          <w:rFonts w:hint="eastAsia" w:asciiTheme="minorEastAsia" w:hAnsiTheme="minorEastAsia" w:eastAsiaTheme="minorEastAsia" w:cstheme="minorEastAsia"/>
          <w:sz w:val="24"/>
          <w:lang w:eastAsia="zh-CN"/>
        </w:rPr>
        <w:t>前期，输电专业已成功研发“带告警装置的新型防脱式输电线路检修接地线”（以下简称“智能接地线”）。该装置为输电检修场景量身打造的数字化、智能化安全工器具，针对性破解了传统接地线长期存在的四大行业痛点：</w:t>
      </w:r>
    </w:p>
    <w:p w14:paraId="3E1A4AAC">
      <w:pPr>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1.作业状态无实时监控，人身安全存在重大隐患：传统接地线完成挂拆后，线夹夹紧度、是否脱落、是否被误拆或盗取等核心状态，完全依赖人工现场核查，无法实现远程实时状态感知与主动告警。一旦接地线失效，检修人员将直接暴露于突发来电或感应电风险中，极易引发人身伤亡事故。</w:t>
      </w:r>
    </w:p>
    <w:p w14:paraId="5B0FC380">
      <w:pPr>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2.作业过程无技术管控，合规性难以闭环保障：接地线挂接、拆除全流程的作业合规性，高度依赖作业人员的安规执行自觉性与岗位责任心，缺乏刚性技术监督手段。不规范操作、流程遗漏等问题难以及时发现与纠正，无法实现作业全流程的闭环管控。</w:t>
      </w:r>
    </w:p>
    <w:p w14:paraId="79C8DD14">
      <w:pPr>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3.资产状态无动态追踪，精细化管理存在短板：接地线作为现场分散使用的高频安全工器具，传统模式下难以实时掌握其存放位置、使用地点、在位状态等全生命周期资产信息，严重制约资产的精细化管理与高效调度。</w:t>
      </w:r>
    </w:p>
    <w:p w14:paraId="7AE59999">
      <w:pPr>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4.安全风险无即时预警，应急处置存在滞后性：当接地线因各类异常失去保护作用时，从风险发生到现场人员发现上报存在显著时间差，无法实现风险的即时预警与应急联动，极易错失最佳处置时机，放大安全事故风险。</w:t>
      </w:r>
    </w:p>
    <w:p w14:paraId="13165604">
      <w:pPr>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目前，该智能接地线采集的设备状态数据、异常告警信息已全量上传至网公司物联网平台，但现有平台仅具备基础数据查询能力，缺少可视化集中展示、告警信息主动推送等核心功能，导致智能接地线的运行数据无法直观呈现、异常告警无法精准触达，形成了 “数据沉淀但价值无法释放” 的应用困境。为此，亟需搭建统一的智能接地线集中监控平台，打通数据应用全链条，实现安全管控模式从 “被动响应” 向 “主动预警” 的根本性转变，从源头筑牢输电线路检修作业的 “最后一道安全防线”。</w:t>
      </w:r>
    </w:p>
    <w:p w14:paraId="04EB4B02">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本次方案以智能接地线为核心物联网终端节点，计划接入南网智瞰平台，融合物联网、北斗定位与大数据技术，构建 “端 - 管 - 云” 一体化的接地线作业智能安全管控体系，核心实现路径如下：</w:t>
      </w:r>
    </w:p>
    <w:p w14:paraId="4F82A28F">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（1）智能终端层（端）：采用自研新型防脱式智能接地线，线夹内置高精度夹紧力感知与状态传感器，可实时监测虚挂、松动、误拆、盗取等异常状态；集成 4G Cat1 通讯、GPS / 北斗双模定位模块，实现全维度数据实时上传，告警响应时间≤15 秒；搭配交叉闭锁防脱落设计与棘爪棘齿单向锁止机构，从物理层面筑牢硬件可靠性。</w:t>
      </w:r>
    </w:p>
    <w:p w14:paraId="7021BD3E">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（2）数据传输层（管）：搭建双链路数据传输通道，导线端与接地端监测装置通过 2.4G 无线通讯完成本地数据汇集，全量运行数据与告警信息通过 4G 加密网络，实时稳定传输至南网智瞰平台。</w:t>
      </w:r>
    </w:p>
    <w:p w14:paraId="1C0438E5">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（3）平台管控层（云）：依托南网智瞰平台底座能力，落地四大核心功能：一是完成接地线多维度数据的统一接入与标准化解析；二是通过电子地图实现全网接地线分布、运行状态的 “一张图” 可视化监控；三是预设分级告警规则，异常信号触发后，通过内部网络实时推送至相关责任人；四是自动记录接地线挂拆全流程数据，生成电子化作业日志，为合规稽查、事故回溯提供数据支撑。</w:t>
      </w:r>
    </w:p>
    <w:p w14:paraId="44074F20">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通过该体系建设，全面打通接地线从 “物理连接” 到 “数据连接” 的全链条，构建起状态透明、风险可知、管控闭环的智能化安全防护网，实现检修安全管控从 “被动响应” 向 “主动预警” 的根本性转变。</w:t>
      </w:r>
    </w:p>
    <w:p w14:paraId="6773497A">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0"/>
      <w:bookmarkEnd w:id="11"/>
      <w:bookmarkEnd w:id="12"/>
      <w:bookmarkEnd w:id="13"/>
      <w:bookmarkEnd w:id="14"/>
      <w:r>
        <w:rPr>
          <w:rFonts w:hint="eastAsia" w:ascii="黑体" w:hAnsi="黑体" w:eastAsia="黑体" w:cs="黑体"/>
          <w:b/>
          <w:bCs/>
          <w:sz w:val="28"/>
          <w:szCs w:val="36"/>
        </w:rPr>
        <w:t>总体要求</w:t>
      </w:r>
    </w:p>
    <w:p w14:paraId="4CD6B8C4">
      <w:pPr>
        <w:adjustRightInd w:val="0"/>
        <w:snapToGrid w:val="0"/>
        <w:rPr>
          <w:rFonts w:asciiTheme="minorEastAsia" w:hAnsiTheme="minorEastAsia" w:eastAsiaTheme="minorEastAsia" w:cstheme="minorEastAsia"/>
          <w:sz w:val="24"/>
        </w:rPr>
      </w:pPr>
      <w:bookmarkStart w:id="15" w:name="_Toc241912000"/>
      <w:bookmarkStart w:id="16" w:name="_Toc455373921"/>
      <w:bookmarkStart w:id="17" w:name="_Toc155114612"/>
      <w:bookmarkStart w:id="18" w:name="_Toc146182538"/>
      <w:bookmarkStart w:id="19" w:name="_Toc455543289"/>
      <w:bookmarkStart w:id="20" w:name="_Toc459534976"/>
      <w:bookmarkStart w:id="21" w:name="_Toc482581219"/>
      <w:bookmarkStart w:id="22" w:name="_Toc114253693"/>
      <w:bookmarkStart w:id="23" w:name="_Toc457986926"/>
      <w:bookmarkStart w:id="24" w:name="_Toc448828694"/>
      <w:bookmarkStart w:id="25" w:name="_Toc457979127"/>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647B232C">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1F943CFA">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Q/CSG2153078-2020</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中国南方电网有限责任公司信息化项目管理细则</w:t>
      </w:r>
    </w:p>
    <w:p w14:paraId="720547B2">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Q/CSG2153002-2022</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中国南方电网有限责任公司数据质量管理细则</w:t>
      </w:r>
    </w:p>
    <w:p w14:paraId="4F9C6FB3">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Q/CSG2153004-2022</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中国南方电网有限责任公司数据采集与运维管理细则</w:t>
      </w:r>
    </w:p>
    <w:p w14:paraId="3F75FF91">
      <w:pPr>
        <w:pStyle w:val="10"/>
        <w:ind w:left="0"/>
        <w:rPr>
          <w:rFonts w:asciiTheme="minorEastAsia" w:hAnsiTheme="minorEastAsia" w:eastAsiaTheme="minorEastAsia" w:cstheme="minorEastAsia"/>
          <w:kern w:val="2"/>
          <w:sz w:val="24"/>
        </w:rPr>
      </w:pPr>
      <w:r>
        <w:rPr>
          <w:rFonts w:hint="eastAsia" w:asciiTheme="minorEastAsia" w:hAnsiTheme="minorEastAsia" w:eastAsiaTheme="minorEastAsia" w:cstheme="minorEastAsia"/>
          <w:kern w:val="2"/>
          <w:sz w:val="24"/>
        </w:rPr>
        <w:t>DL/T 5429《电力系统设计技术规程》</w:t>
      </w:r>
    </w:p>
    <w:p w14:paraId="078A1265">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南方电网生技〔2022〕29号 附件1《南方电网公司数字生产“十四五”行动计划》</w:t>
      </w:r>
    </w:p>
    <w:p w14:paraId="6CC0E9F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《中国南方电网统一物联网平台SDK使用指南》</w:t>
      </w:r>
    </w:p>
    <w:p w14:paraId="732FC63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《中国南方电网自定义Topic命令下发操作指引》</w:t>
      </w:r>
    </w:p>
    <w:p w14:paraId="4AE9B09E">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《中国南方电网设备物模型》</w:t>
      </w:r>
    </w:p>
    <w:p w14:paraId="09D92778">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14:paraId="6ACBD1E7">
      <w:pPr>
        <w:snapToGrid w:val="0"/>
        <w:spacing w:before="120"/>
        <w:rPr>
          <w:rFonts w:ascii="黑体" w:hAnsi="黑体" w:eastAsia="黑体" w:cs="黑体"/>
          <w:b/>
          <w:bCs/>
          <w:sz w:val="28"/>
          <w:szCs w:val="36"/>
        </w:rPr>
      </w:pPr>
      <w:bookmarkStart w:id="26" w:name="_Toc22304904"/>
      <w:bookmarkStart w:id="27" w:name="_Toc39753345"/>
      <w:bookmarkStart w:id="28" w:name="_Toc282993253"/>
      <w:bookmarkStart w:id="29" w:name="_Toc32408"/>
      <w:bookmarkStart w:id="30" w:name="_Toc39754002"/>
      <w:bookmarkStart w:id="31" w:name="_Toc384340984"/>
      <w:r>
        <w:rPr>
          <w:rFonts w:hint="eastAsia" w:ascii="黑体" w:hAnsi="黑体" w:eastAsia="黑体" w:cs="黑体"/>
          <w:b/>
          <w:bCs/>
          <w:sz w:val="28"/>
          <w:szCs w:val="36"/>
        </w:rPr>
        <w:t>4 技术要求</w:t>
      </w:r>
      <w:bookmarkEnd w:id="26"/>
      <w:bookmarkEnd w:id="27"/>
      <w:bookmarkEnd w:id="28"/>
      <w:bookmarkEnd w:id="29"/>
      <w:bookmarkEnd w:id="30"/>
      <w:bookmarkEnd w:id="31"/>
    </w:p>
    <w:p w14:paraId="4CC7155C">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14:paraId="0C8B42D7">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14:paraId="558FF278">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4527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0E55C08F">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14:paraId="0AC8F50F">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14:paraId="5A6E0263">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14:paraId="495E63CF">
            <w:pPr>
              <w:spacing w:line="240" w:lineRule="auto"/>
              <w:jc w:val="center"/>
              <w:rPr>
                <w:rFonts w:ascii="宋体" w:hAnsi="宋体" w:cs="宋体"/>
                <w:b/>
                <w:bCs/>
                <w:szCs w:val="21"/>
              </w:rPr>
            </w:pPr>
            <w:r>
              <w:rPr>
                <w:rFonts w:hint="eastAsia" w:ascii="宋体" w:hAnsi="宋体" w:cs="宋体"/>
                <w:b/>
                <w:bCs/>
                <w:szCs w:val="21"/>
              </w:rPr>
              <w:t>时间要求</w:t>
            </w:r>
          </w:p>
        </w:tc>
      </w:tr>
      <w:tr w14:paraId="358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25C39E5D">
            <w:pPr>
              <w:spacing w:line="240" w:lineRule="auto"/>
              <w:jc w:val="center"/>
              <w:rPr>
                <w:rFonts w:ascii="宋体" w:hAnsi="宋体" w:cs="宋体"/>
                <w:szCs w:val="21"/>
              </w:rPr>
            </w:pPr>
            <w:r>
              <w:rPr>
                <w:rFonts w:hint="eastAsia" w:ascii="宋体" w:hAnsi="宋体" w:cs="宋体"/>
                <w:szCs w:val="21"/>
              </w:rPr>
              <w:t>1</w:t>
            </w:r>
          </w:p>
        </w:tc>
        <w:tc>
          <w:tcPr>
            <w:tcW w:w="2985" w:type="dxa"/>
            <w:shd w:val="clear" w:color="auto" w:fill="auto"/>
            <w:vAlign w:val="center"/>
          </w:tcPr>
          <w:p w14:paraId="5C9F2C67">
            <w:pPr>
              <w:spacing w:line="240" w:lineRule="auto"/>
              <w:jc w:val="center"/>
              <w:rPr>
                <w:rFonts w:ascii="宋体" w:hAnsi="宋体" w:cs="宋体"/>
                <w:szCs w:val="21"/>
              </w:rPr>
            </w:pPr>
            <w:r>
              <w:rPr>
                <w:rFonts w:hint="eastAsia" w:ascii="宋体" w:hAnsi="宋体" w:cs="宋体"/>
                <w:szCs w:val="21"/>
              </w:rPr>
              <w:t>开发一套基于南网智瞰的智能接地线展示界面开发及应用，使得智能接地线的挂拆状态、位置、电量等信息变化时及时通知相关人员并在南网智瞰平台查询接地线历史状态。</w:t>
            </w:r>
          </w:p>
        </w:tc>
        <w:tc>
          <w:tcPr>
            <w:tcW w:w="2363" w:type="dxa"/>
            <w:shd w:val="clear" w:color="auto" w:fill="auto"/>
            <w:vAlign w:val="center"/>
          </w:tcPr>
          <w:p w14:paraId="6177445B">
            <w:pPr>
              <w:spacing w:line="240" w:lineRule="auto"/>
              <w:jc w:val="center"/>
              <w:rPr>
                <w:rFonts w:ascii="宋体" w:hAnsi="宋体" w:cs="宋体"/>
                <w:szCs w:val="21"/>
              </w:rPr>
            </w:pPr>
            <w:r>
              <w:rPr>
                <w:rFonts w:hint="eastAsia" w:ascii="宋体" w:hAnsi="宋体" w:cs="宋体"/>
                <w:szCs w:val="21"/>
              </w:rPr>
              <w:t>基于南网智瞰的智能接地线展示界面系统安装包</w:t>
            </w:r>
          </w:p>
        </w:tc>
        <w:tc>
          <w:tcPr>
            <w:tcW w:w="2357" w:type="dxa"/>
            <w:vAlign w:val="center"/>
          </w:tcPr>
          <w:p w14:paraId="37864833">
            <w:pPr>
              <w:spacing w:line="240" w:lineRule="auto"/>
              <w:jc w:val="center"/>
              <w:rPr>
                <w:rFonts w:ascii="宋体" w:hAnsi="宋体" w:cs="宋体"/>
              </w:rPr>
            </w:pPr>
            <w:r>
              <w:rPr>
                <w:rFonts w:hint="eastAsia" w:asciiTheme="minorEastAsia" w:hAnsiTheme="minorEastAsia" w:cstheme="minorEastAsia"/>
                <w:szCs w:val="21"/>
              </w:rPr>
              <w:t>2026年1</w:t>
            </w:r>
            <w:r>
              <w:rPr>
                <w:rFonts w:asciiTheme="minorEastAsia" w:hAnsiTheme="minorEastAsia" w:cstheme="minorEastAsia"/>
                <w:szCs w:val="21"/>
              </w:rPr>
              <w:t>2</w:t>
            </w:r>
            <w:r>
              <w:rPr>
                <w:rFonts w:hint="eastAsia" w:asciiTheme="minorEastAsia" w:hAnsiTheme="minorEastAsia" w:cstheme="minorEastAsia"/>
                <w:szCs w:val="21"/>
              </w:rPr>
              <w:t>月</w:t>
            </w:r>
          </w:p>
        </w:tc>
      </w:tr>
      <w:tr w14:paraId="43A2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716F6374">
            <w:pPr>
              <w:spacing w:line="240" w:lineRule="auto"/>
              <w:jc w:val="center"/>
              <w:rPr>
                <w:rFonts w:ascii="宋体" w:hAnsi="宋体" w:cs="宋体"/>
                <w:szCs w:val="21"/>
                <w:highlight w:val="none"/>
              </w:rPr>
            </w:pPr>
            <w:r>
              <w:rPr>
                <w:rFonts w:hint="eastAsia" w:ascii="宋体" w:hAnsi="宋体" w:cs="宋体"/>
                <w:szCs w:val="21"/>
                <w:highlight w:val="none"/>
              </w:rPr>
              <w:t>2</w:t>
            </w:r>
          </w:p>
        </w:tc>
        <w:tc>
          <w:tcPr>
            <w:tcW w:w="2985" w:type="dxa"/>
            <w:shd w:val="clear" w:color="auto" w:fill="auto"/>
            <w:vAlign w:val="center"/>
          </w:tcPr>
          <w:p w14:paraId="59474F27">
            <w:pPr>
              <w:spacing w:line="240" w:lineRule="auto"/>
              <w:jc w:val="left"/>
              <w:rPr>
                <w:rFonts w:ascii="宋体" w:hAnsi="宋体" w:cs="宋体"/>
                <w:szCs w:val="21"/>
                <w:highlight w:val="none"/>
              </w:rPr>
            </w:pPr>
            <w:r>
              <w:rPr>
                <w:rFonts w:hint="eastAsia" w:ascii="宋体" w:hAnsi="宋体" w:cs="宋体"/>
                <w:szCs w:val="21"/>
                <w:highlight w:val="none"/>
                <w:lang w:val="en-US" w:eastAsia="zh-CN"/>
              </w:rPr>
              <w:t>配合申请软件著作权</w:t>
            </w:r>
            <w:r>
              <w:rPr>
                <w:rFonts w:hint="eastAsia" w:ascii="宋体" w:hAnsi="宋体" w:cs="宋体"/>
                <w:szCs w:val="21"/>
                <w:highlight w:val="none"/>
              </w:rPr>
              <w:t>1项。</w:t>
            </w:r>
          </w:p>
        </w:tc>
        <w:tc>
          <w:tcPr>
            <w:tcW w:w="2363" w:type="dxa"/>
            <w:shd w:val="clear" w:color="auto" w:fill="auto"/>
            <w:vAlign w:val="center"/>
          </w:tcPr>
          <w:p w14:paraId="1FB4684E">
            <w:pPr>
              <w:spacing w:line="240" w:lineRule="auto"/>
              <w:jc w:val="center"/>
              <w:rPr>
                <w:rFonts w:ascii="宋体" w:hAnsi="宋体" w:cs="宋体"/>
                <w:szCs w:val="21"/>
                <w:highlight w:val="none"/>
              </w:rPr>
            </w:pPr>
            <w:r>
              <w:rPr>
                <w:rFonts w:hint="eastAsia" w:ascii="宋体" w:hAnsi="宋体" w:cs="宋体"/>
                <w:szCs w:val="21"/>
                <w:highlight w:val="none"/>
                <w:lang w:val="en-US" w:eastAsia="zh-CN"/>
              </w:rPr>
              <w:t>软件著作权</w:t>
            </w:r>
            <w:r>
              <w:rPr>
                <w:rFonts w:hint="eastAsia" w:ascii="宋体" w:hAnsi="宋体" w:cs="宋体"/>
                <w:szCs w:val="21"/>
                <w:highlight w:val="none"/>
              </w:rPr>
              <w:t>1项（受理阶段）</w:t>
            </w:r>
          </w:p>
        </w:tc>
        <w:tc>
          <w:tcPr>
            <w:tcW w:w="2357" w:type="dxa"/>
            <w:vAlign w:val="center"/>
          </w:tcPr>
          <w:p w14:paraId="671249B5">
            <w:pPr>
              <w:spacing w:line="240" w:lineRule="auto"/>
              <w:jc w:val="center"/>
              <w:rPr>
                <w:rFonts w:asciiTheme="minorEastAsia" w:hAnsiTheme="minorEastAsia" w:eastAsiaTheme="minorEastAsia" w:cstheme="minorEastAsia"/>
                <w:szCs w:val="21"/>
                <w:highlight w:val="none"/>
              </w:rPr>
            </w:pPr>
            <w:r>
              <w:rPr>
                <w:rFonts w:hint="eastAsia" w:asciiTheme="minorEastAsia" w:hAnsiTheme="minorEastAsia" w:cstheme="minorEastAsia"/>
                <w:szCs w:val="21"/>
                <w:highlight w:val="none"/>
              </w:rPr>
              <w:t>2026年12月</w:t>
            </w:r>
          </w:p>
        </w:tc>
      </w:tr>
      <w:tr w14:paraId="5899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4D608D8F">
            <w:pPr>
              <w:spacing w:line="240" w:lineRule="auto"/>
              <w:jc w:val="center"/>
              <w:rPr>
                <w:rFonts w:ascii="宋体" w:hAnsi="宋体" w:cs="宋体"/>
                <w:szCs w:val="21"/>
              </w:rPr>
            </w:pPr>
            <w:r>
              <w:rPr>
                <w:rFonts w:hint="eastAsia" w:ascii="宋体" w:hAnsi="宋体" w:cs="宋体"/>
                <w:szCs w:val="21"/>
              </w:rPr>
              <w:t>3</w:t>
            </w:r>
          </w:p>
        </w:tc>
        <w:tc>
          <w:tcPr>
            <w:tcW w:w="2985" w:type="dxa"/>
            <w:shd w:val="clear" w:color="auto" w:fill="auto"/>
            <w:vAlign w:val="center"/>
          </w:tcPr>
          <w:p w14:paraId="0C239792">
            <w:pPr>
              <w:spacing w:line="240" w:lineRule="auto"/>
              <w:jc w:val="left"/>
              <w:rPr>
                <w:rFonts w:ascii="宋体" w:hAnsi="宋体" w:cs="宋体"/>
                <w:szCs w:val="21"/>
              </w:rPr>
            </w:pPr>
            <w:r>
              <w:rPr>
                <w:rFonts w:hint="eastAsia" w:ascii="宋体" w:hAnsi="宋体" w:cs="宋体"/>
                <w:szCs w:val="21"/>
              </w:rPr>
              <w:t>项目验收检查</w:t>
            </w:r>
          </w:p>
        </w:tc>
        <w:tc>
          <w:tcPr>
            <w:tcW w:w="2363" w:type="dxa"/>
            <w:shd w:val="clear" w:color="auto" w:fill="auto"/>
            <w:vAlign w:val="center"/>
          </w:tcPr>
          <w:p w14:paraId="4C7A6FBD">
            <w:pPr>
              <w:spacing w:line="240" w:lineRule="auto"/>
              <w:jc w:val="left"/>
              <w:rPr>
                <w:rFonts w:ascii="宋体" w:hAnsi="宋体" w:cs="宋体"/>
              </w:rPr>
            </w:pPr>
            <w:r>
              <w:rPr>
                <w:rFonts w:hint="eastAsia" w:ascii="宋体" w:hAnsi="宋体" w:cs="宋体"/>
              </w:rPr>
              <w:t>完成项目全部验收内容</w:t>
            </w:r>
          </w:p>
        </w:tc>
        <w:tc>
          <w:tcPr>
            <w:tcW w:w="2357" w:type="dxa"/>
            <w:vAlign w:val="center"/>
          </w:tcPr>
          <w:p w14:paraId="101D8C3E">
            <w:pPr>
              <w:spacing w:line="240" w:lineRule="auto"/>
              <w:jc w:val="center"/>
              <w:rPr>
                <w:rFonts w:asciiTheme="minorEastAsia" w:hAnsiTheme="minorEastAsia" w:eastAsiaTheme="minorEastAsia" w:cstheme="minorEastAsia"/>
                <w:szCs w:val="21"/>
              </w:rPr>
            </w:pPr>
            <w:r>
              <w:rPr>
                <w:rFonts w:hint="eastAsia" w:asciiTheme="minorEastAsia" w:hAnsiTheme="minorEastAsia" w:cstheme="minorEastAsia"/>
                <w:szCs w:val="21"/>
              </w:rPr>
              <w:t>2026年12月</w:t>
            </w:r>
          </w:p>
        </w:tc>
      </w:tr>
    </w:tbl>
    <w:p w14:paraId="1F6179CA">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1</w:t>
      </w:r>
      <w:r>
        <w:rPr>
          <w:rFonts w:hint="eastAsia" w:ascii="宋体" w:hAnsi="宋体" w:cs="宋体"/>
          <w:color w:val="000000"/>
          <w:sz w:val="24"/>
        </w:rPr>
        <w:t xml:space="preserve">.2 </w:t>
      </w:r>
      <w:r>
        <w:rPr>
          <w:rFonts w:hint="eastAsia" w:ascii="宋体" w:hAnsi="宋体" w:cs="宋体"/>
          <w:kern w:val="0"/>
          <w:sz w:val="24"/>
        </w:rPr>
        <w:t>基于南网智瞰的智能接地线展示界面开发及应用技术研究实施要求</w:t>
      </w:r>
    </w:p>
    <w:p w14:paraId="7989FB91">
      <w:pPr>
        <w:pStyle w:val="10"/>
        <w:spacing w:after="0" w:line="360" w:lineRule="auto"/>
        <w:ind w:left="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.2.1总体要求</w:t>
      </w:r>
    </w:p>
    <w:p w14:paraId="3D84EAED">
      <w:pPr>
        <w:pStyle w:val="10"/>
        <w:spacing w:after="0" w:line="360" w:lineRule="auto"/>
        <w:ind w:left="0"/>
        <w:rPr>
          <w:rFonts w:ascii="宋体" w:hAnsi="宋体" w:cs="宋体"/>
          <w:sz w:val="24"/>
        </w:rPr>
      </w:pPr>
      <w:r>
        <w:rPr>
          <w:rFonts w:hint="eastAsia" w:ascii="宋体" w:hAnsi="宋体" w:cs="宋体"/>
          <w:sz w:val="24"/>
        </w:rPr>
        <w:t>（1）稳定性和可靠性</w:t>
      </w:r>
    </w:p>
    <w:p w14:paraId="2F356CAD">
      <w:pPr>
        <w:pStyle w:val="10"/>
        <w:spacing w:after="0" w:line="360" w:lineRule="auto"/>
        <w:ind w:left="0" w:firstLine="480" w:firstLineChars="200"/>
        <w:rPr>
          <w:rFonts w:ascii="宋体" w:hAnsi="宋体" w:cs="宋体"/>
          <w:sz w:val="24"/>
        </w:rPr>
      </w:pPr>
      <w:r>
        <w:rPr>
          <w:rFonts w:hint="eastAsia" w:ascii="宋体" w:hAnsi="宋体" w:cs="宋体"/>
          <w:sz w:val="24"/>
        </w:rPr>
        <w:t>系统为独立运行的服务应用，具备完善的本地数据存储管理。</w:t>
      </w:r>
    </w:p>
    <w:p w14:paraId="2F96F5E0">
      <w:pPr>
        <w:pStyle w:val="10"/>
        <w:spacing w:after="0" w:line="360" w:lineRule="auto"/>
        <w:ind w:left="0"/>
        <w:rPr>
          <w:rFonts w:ascii="宋体" w:hAnsi="宋体" w:cs="宋体"/>
          <w:sz w:val="24"/>
        </w:rPr>
      </w:pPr>
      <w:r>
        <w:rPr>
          <w:rFonts w:hint="eastAsia" w:ascii="宋体" w:hAnsi="宋体" w:cs="宋体"/>
          <w:sz w:val="24"/>
        </w:rPr>
        <w:t>（2）易用性</w:t>
      </w:r>
    </w:p>
    <w:p w14:paraId="4D6361B9">
      <w:pPr>
        <w:pStyle w:val="10"/>
        <w:spacing w:after="0" w:line="360" w:lineRule="auto"/>
        <w:ind w:left="0"/>
        <w:rPr>
          <w:rFonts w:ascii="宋体" w:hAnsi="宋体" w:cs="宋体"/>
          <w:sz w:val="24"/>
        </w:rPr>
      </w:pPr>
      <w:r>
        <w:rPr>
          <w:rFonts w:hint="eastAsia" w:ascii="宋体" w:hAnsi="宋体" w:cs="宋体"/>
          <w:sz w:val="24"/>
        </w:rPr>
        <w:t xml:space="preserve">    </w:t>
      </w:r>
      <w:r>
        <w:rPr>
          <w:rFonts w:ascii="宋体" w:hAnsi="宋体" w:cs="宋体"/>
          <w:sz w:val="24"/>
        </w:rPr>
        <w:t>提供符合</w:t>
      </w:r>
      <w:r>
        <w:rPr>
          <w:rFonts w:hint="eastAsia" w:ascii="宋体" w:hAnsi="宋体" w:cs="宋体"/>
          <w:sz w:val="24"/>
        </w:rPr>
        <w:t>客户端</w:t>
      </w:r>
      <w:r>
        <w:rPr>
          <w:rFonts w:ascii="宋体" w:hAnsi="宋体" w:cs="宋体"/>
          <w:sz w:val="24"/>
        </w:rPr>
        <w:t>操作习惯的交互界面，支持</w:t>
      </w:r>
      <w:r>
        <w:rPr>
          <w:rFonts w:hint="eastAsia" w:ascii="宋体" w:hAnsi="宋体" w:cs="宋体"/>
          <w:sz w:val="24"/>
        </w:rPr>
        <w:t>状态、位置、电量等信息查看</w:t>
      </w:r>
      <w:r>
        <w:rPr>
          <w:rFonts w:ascii="宋体" w:hAnsi="宋体" w:cs="宋体"/>
          <w:sz w:val="24"/>
        </w:rPr>
        <w:t>操作；界面简洁直观。</w:t>
      </w:r>
    </w:p>
    <w:p w14:paraId="78A8DDC1">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.2.2系统实施要求</w:t>
      </w:r>
    </w:p>
    <w:p w14:paraId="0150365E">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.2.2.1 系统架构及技术</w:t>
      </w:r>
    </w:p>
    <w:p w14:paraId="7D42745C">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（1）采用</w:t>
      </w:r>
      <w:r>
        <w:rPr>
          <w:rFonts w:asciiTheme="minorEastAsia" w:hAnsiTheme="minorEastAsia" w:eastAsiaTheme="minorEastAsia" w:cstheme="minorEastAsia"/>
          <w:sz w:val="24"/>
        </w:rPr>
        <w:t>openEuler</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Anolis OS</w:t>
      </w:r>
      <w:r>
        <w:rPr>
          <w:rFonts w:hint="eastAsia" w:asciiTheme="minorEastAsia" w:hAnsiTheme="minorEastAsia" w:eastAsiaTheme="minorEastAsia" w:cstheme="minorEastAsia"/>
          <w:sz w:val="24"/>
        </w:rPr>
        <w:t>、红旗 Linux或其他非闭源平台框架开发</w:t>
      </w:r>
      <w:r>
        <w:rPr>
          <w:rFonts w:asciiTheme="minorEastAsia" w:hAnsiTheme="minorEastAsia" w:eastAsiaTheme="minorEastAsia" w:cstheme="minorEastAsia"/>
          <w:sz w:val="24"/>
        </w:rPr>
        <w:t>，系统为</w:t>
      </w:r>
      <w:r>
        <w:rPr>
          <w:rFonts w:hint="eastAsia" w:asciiTheme="minorEastAsia" w:hAnsiTheme="minorEastAsia" w:eastAsiaTheme="minorEastAsia" w:cstheme="minorEastAsia"/>
          <w:sz w:val="24"/>
        </w:rPr>
        <w:t>B</w:t>
      </w:r>
      <w:r>
        <w:rPr>
          <w:rFonts w:asciiTheme="minorEastAsia" w:hAnsiTheme="minorEastAsia" w:eastAsiaTheme="minorEastAsia" w:cstheme="minorEastAsia"/>
          <w:sz w:val="24"/>
        </w:rPr>
        <w:t>/S架构。</w:t>
      </w:r>
    </w:p>
    <w:p w14:paraId="7976E0CF">
      <w:pPr>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按照《中国南方电网统一物联网平台SDK使用指南》文件规范通信对接，实现智能接地线数据传输到南网物联网平台功能，数据通信使用MQTT协议，消息主题满足《中国南方电网自定义Topic命令下发操作指引》要求，消息payload满足《中国南方电网设备物模型》要求</w:t>
      </w:r>
      <w:r>
        <w:rPr>
          <w:rFonts w:asciiTheme="minorEastAsia" w:hAnsiTheme="minorEastAsia" w:eastAsiaTheme="minorEastAsia" w:cstheme="minorEastAsia"/>
          <w:sz w:val="24"/>
        </w:rPr>
        <w:t>。</w:t>
      </w:r>
    </w:p>
    <w:p w14:paraId="609B6673">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（3）按照南方电网数据安全要求，使用满足安全需求的系统、数据库、中间件开发应用系统，现场调试测试并实现应用系统与物联网平台的数据交互。</w:t>
      </w:r>
    </w:p>
    <w:p w14:paraId="44B6305B">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w:t>
      </w:r>
      <w:r>
        <w:rPr>
          <w:rFonts w:asciiTheme="minorEastAsia" w:hAnsiTheme="minorEastAsia" w:eastAsiaTheme="minorEastAsia" w:cstheme="minorEastAsia"/>
          <w:sz w:val="24"/>
        </w:rPr>
        <w:t>系统提供标准化本地</w:t>
      </w:r>
      <w:r>
        <w:rPr>
          <w:rFonts w:hint="eastAsia" w:asciiTheme="minorEastAsia" w:hAnsiTheme="minorEastAsia" w:eastAsiaTheme="minorEastAsia" w:cstheme="minorEastAsia"/>
          <w:sz w:val="24"/>
        </w:rPr>
        <w:t>化</w:t>
      </w:r>
      <w:r>
        <w:rPr>
          <w:rFonts w:asciiTheme="minorEastAsia" w:hAnsiTheme="minorEastAsia" w:eastAsiaTheme="minorEastAsia" w:cstheme="minorEastAsia"/>
          <w:sz w:val="24"/>
        </w:rPr>
        <w:t>支持</w:t>
      </w:r>
      <w:r>
        <w:rPr>
          <w:rFonts w:hint="eastAsia" w:asciiTheme="minorEastAsia" w:hAnsiTheme="minorEastAsia" w:eastAsiaTheme="minorEastAsia" w:cstheme="minorEastAsia"/>
          <w:sz w:val="24"/>
        </w:rPr>
        <w:t>。</w:t>
      </w:r>
    </w:p>
    <w:p w14:paraId="1C69E016">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w:t>
      </w:r>
      <w:r>
        <w:rPr>
          <w:rFonts w:asciiTheme="minorEastAsia" w:hAnsiTheme="minorEastAsia" w:eastAsiaTheme="minorEastAsia" w:cstheme="minorEastAsia"/>
          <w:sz w:val="24"/>
        </w:rPr>
        <w:t>具备业务功能操作的便捷性，符合</w:t>
      </w:r>
      <w:r>
        <w:rPr>
          <w:rFonts w:hint="eastAsia" w:asciiTheme="minorEastAsia" w:hAnsiTheme="minorEastAsia" w:eastAsiaTheme="minorEastAsia" w:cstheme="minorEastAsia"/>
          <w:sz w:val="24"/>
        </w:rPr>
        <w:t>鼠标和键盘的</w:t>
      </w:r>
      <w:r>
        <w:rPr>
          <w:rFonts w:asciiTheme="minorEastAsia" w:hAnsiTheme="minorEastAsia" w:eastAsiaTheme="minorEastAsia" w:cstheme="minorEastAsia"/>
          <w:sz w:val="24"/>
        </w:rPr>
        <w:t>操作习惯</w:t>
      </w:r>
      <w:r>
        <w:rPr>
          <w:rFonts w:hint="eastAsia" w:asciiTheme="minorEastAsia" w:hAnsiTheme="minorEastAsia" w:eastAsiaTheme="minorEastAsia" w:cstheme="minorEastAsia"/>
          <w:sz w:val="24"/>
        </w:rPr>
        <w:t>。</w:t>
      </w:r>
    </w:p>
    <w:p w14:paraId="24C67B58">
      <w:pPr>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（6）可靠性要求：系统</w:t>
      </w:r>
      <w:r>
        <w:rPr>
          <w:rFonts w:asciiTheme="minorEastAsia" w:hAnsiTheme="minorEastAsia" w:eastAsiaTheme="minorEastAsia" w:cstheme="minorEastAsia"/>
          <w:sz w:val="24"/>
        </w:rPr>
        <w:t>需支持长时间后台驻留与前台连续运行，本地核心数据不丢失</w:t>
      </w:r>
      <w:r>
        <w:rPr>
          <w:rFonts w:hint="eastAsia" w:asciiTheme="minorEastAsia" w:hAnsiTheme="minorEastAsia" w:eastAsiaTheme="minorEastAsia" w:cstheme="minorEastAsia"/>
          <w:sz w:val="24"/>
        </w:rPr>
        <w:t>。</w:t>
      </w:r>
    </w:p>
    <w:p w14:paraId="236F6473">
      <w:pPr>
        <w:pStyle w:val="1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.2.3系统功能</w:t>
      </w:r>
    </w:p>
    <w:tbl>
      <w:tblPr>
        <w:tblStyle w:val="12"/>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268"/>
        <w:gridCol w:w="5494"/>
      </w:tblGrid>
      <w:tr w14:paraId="26607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036D5CE2">
            <w:pPr>
              <w:jc w:val="center"/>
              <w:rPr>
                <w:rFonts w:ascii="Arial" w:hAnsi="Arial" w:cs="Arial"/>
              </w:rPr>
            </w:pPr>
            <w:r>
              <w:rPr>
                <w:rFonts w:hint="eastAsia" w:ascii="Arial" w:hAnsi="Arial" w:cs="Arial"/>
              </w:rPr>
              <w:t>序号</w:t>
            </w:r>
          </w:p>
        </w:tc>
        <w:tc>
          <w:tcPr>
            <w:tcW w:w="2268" w:type="dxa"/>
            <w:vAlign w:val="center"/>
          </w:tcPr>
          <w:p w14:paraId="1590FA0F">
            <w:pPr>
              <w:jc w:val="center"/>
              <w:rPr>
                <w:rFonts w:ascii="Arial" w:hAnsi="Arial" w:cs="Arial"/>
              </w:rPr>
            </w:pPr>
            <w:r>
              <w:rPr>
                <w:rFonts w:hint="eastAsia" w:ascii="Arial" w:hAnsi="Arial" w:cs="Arial"/>
              </w:rPr>
              <w:t>功能</w:t>
            </w:r>
          </w:p>
        </w:tc>
        <w:tc>
          <w:tcPr>
            <w:tcW w:w="5494" w:type="dxa"/>
            <w:vAlign w:val="center"/>
          </w:tcPr>
          <w:p w14:paraId="75D5CE83">
            <w:pPr>
              <w:jc w:val="center"/>
              <w:rPr>
                <w:rFonts w:ascii="Arial" w:hAnsi="Arial" w:cs="Arial"/>
              </w:rPr>
            </w:pPr>
            <w:r>
              <w:rPr>
                <w:rFonts w:hint="eastAsia" w:ascii="Arial" w:hAnsi="Arial" w:cs="Arial"/>
              </w:rPr>
              <w:t>描述</w:t>
            </w:r>
          </w:p>
        </w:tc>
      </w:tr>
      <w:tr w14:paraId="30B16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E17161C">
            <w:pPr>
              <w:jc w:val="center"/>
              <w:rPr>
                <w:rFonts w:ascii="Arial" w:hAnsi="Arial" w:cs="Arial"/>
              </w:rPr>
            </w:pPr>
            <w:r>
              <w:rPr>
                <w:rFonts w:hint="eastAsia" w:ascii="Arial" w:hAnsi="Arial" w:cs="Arial"/>
              </w:rPr>
              <w:t>1</w:t>
            </w:r>
          </w:p>
        </w:tc>
        <w:tc>
          <w:tcPr>
            <w:tcW w:w="2268" w:type="dxa"/>
            <w:vAlign w:val="center"/>
          </w:tcPr>
          <w:p w14:paraId="36B815ED">
            <w:pPr>
              <w:jc w:val="center"/>
              <w:rPr>
                <w:rFonts w:ascii="Arial" w:hAnsi="Arial" w:cs="Arial"/>
              </w:rPr>
            </w:pPr>
            <w:r>
              <w:rPr>
                <w:rFonts w:hint="eastAsia" w:ascii="Arial" w:hAnsi="Arial" w:cs="Arial"/>
              </w:rPr>
              <w:t>支持装置绑定操作</w:t>
            </w:r>
          </w:p>
        </w:tc>
        <w:tc>
          <w:tcPr>
            <w:tcW w:w="5494" w:type="dxa"/>
          </w:tcPr>
          <w:p w14:paraId="4F2DF233">
            <w:pPr>
              <w:rPr>
                <w:rFonts w:ascii="Arial" w:hAnsi="Arial" w:cs="Arial"/>
              </w:rPr>
            </w:pPr>
            <w:r>
              <w:rPr>
                <w:rFonts w:hint="eastAsia" w:ascii="Arial" w:hAnsi="Arial" w:cs="Arial"/>
              </w:rPr>
              <w:t>管理、维护人员可绑定指定接地线装置，接收该接地线装置物联网信息</w:t>
            </w:r>
            <w:r>
              <w:rPr>
                <w:rFonts w:ascii="Arial" w:hAnsi="Arial" w:cs="Arial"/>
              </w:rPr>
              <w:t>。</w:t>
            </w:r>
          </w:p>
        </w:tc>
      </w:tr>
      <w:tr w14:paraId="1560C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207695E7">
            <w:pPr>
              <w:jc w:val="center"/>
              <w:rPr>
                <w:rFonts w:ascii="Arial" w:hAnsi="Arial" w:cs="Arial"/>
              </w:rPr>
            </w:pPr>
            <w:r>
              <w:rPr>
                <w:rFonts w:ascii="Arial" w:hAnsi="Arial" w:cs="Arial"/>
              </w:rPr>
              <w:t>2</w:t>
            </w:r>
          </w:p>
        </w:tc>
        <w:tc>
          <w:tcPr>
            <w:tcW w:w="2268" w:type="dxa"/>
            <w:vAlign w:val="center"/>
          </w:tcPr>
          <w:p w14:paraId="006173D2">
            <w:pPr>
              <w:jc w:val="center"/>
              <w:rPr>
                <w:rFonts w:ascii="Arial" w:hAnsi="Arial" w:cs="Arial"/>
              </w:rPr>
            </w:pPr>
            <w:r>
              <w:rPr>
                <w:rFonts w:hint="eastAsia" w:ascii="Arial" w:hAnsi="Arial" w:cs="Arial"/>
              </w:rPr>
              <w:t>支持装置解绑操作</w:t>
            </w:r>
          </w:p>
        </w:tc>
        <w:tc>
          <w:tcPr>
            <w:tcW w:w="5494" w:type="dxa"/>
          </w:tcPr>
          <w:p w14:paraId="35A4FBE8">
            <w:pPr>
              <w:rPr>
                <w:rFonts w:ascii="Arial" w:hAnsi="Arial" w:cs="Arial"/>
              </w:rPr>
            </w:pPr>
            <w:r>
              <w:rPr>
                <w:rFonts w:hint="eastAsia" w:ascii="Arial" w:hAnsi="Arial" w:cs="Arial"/>
              </w:rPr>
              <w:t>管理、维护人员可绑定指定接地线装置，接收该接地线装置物联网信息。</w:t>
            </w:r>
          </w:p>
        </w:tc>
      </w:tr>
      <w:tr w14:paraId="6888A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3D5C61D0">
            <w:pPr>
              <w:jc w:val="center"/>
              <w:rPr>
                <w:rFonts w:ascii="Arial" w:hAnsi="Arial" w:cs="Arial"/>
              </w:rPr>
            </w:pPr>
            <w:r>
              <w:rPr>
                <w:rFonts w:ascii="Arial" w:hAnsi="Arial" w:cs="Arial"/>
              </w:rPr>
              <w:t>3</w:t>
            </w:r>
          </w:p>
        </w:tc>
        <w:tc>
          <w:tcPr>
            <w:tcW w:w="2268" w:type="dxa"/>
            <w:vAlign w:val="center"/>
          </w:tcPr>
          <w:p w14:paraId="1C213956">
            <w:pPr>
              <w:jc w:val="center"/>
              <w:rPr>
                <w:rFonts w:ascii="Arial" w:hAnsi="Arial" w:cs="Arial"/>
              </w:rPr>
            </w:pPr>
            <w:r>
              <w:rPr>
                <w:rFonts w:hint="eastAsia" w:ascii="Arial" w:hAnsi="Arial" w:cs="Arial"/>
              </w:rPr>
              <w:t>装置信息推送功能</w:t>
            </w:r>
          </w:p>
        </w:tc>
        <w:tc>
          <w:tcPr>
            <w:tcW w:w="5494" w:type="dxa"/>
          </w:tcPr>
          <w:p w14:paraId="41A16ABD">
            <w:pPr>
              <w:rPr>
                <w:rFonts w:ascii="Arial" w:hAnsi="Arial" w:cs="Arial"/>
              </w:rPr>
            </w:pPr>
            <w:r>
              <w:rPr>
                <w:rFonts w:hint="eastAsia" w:ascii="Arial" w:hAnsi="Arial" w:cs="Arial"/>
              </w:rPr>
              <w:t>装置信息发送到物联网平台后，系统和物联网平台交互获取物联网数据并推送给管理、维护人员。</w:t>
            </w:r>
          </w:p>
        </w:tc>
      </w:tr>
      <w:tr w14:paraId="57BA6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E871713">
            <w:pPr>
              <w:jc w:val="center"/>
              <w:rPr>
                <w:rFonts w:ascii="Arial" w:hAnsi="Arial" w:cs="Arial"/>
              </w:rPr>
            </w:pPr>
            <w:r>
              <w:rPr>
                <w:rFonts w:hint="eastAsia" w:ascii="Arial" w:hAnsi="Arial" w:cs="Arial"/>
              </w:rPr>
              <w:t>4</w:t>
            </w:r>
          </w:p>
        </w:tc>
        <w:tc>
          <w:tcPr>
            <w:tcW w:w="2268" w:type="dxa"/>
            <w:vAlign w:val="center"/>
          </w:tcPr>
          <w:p w14:paraId="7F8D2A23">
            <w:pPr>
              <w:jc w:val="center"/>
              <w:rPr>
                <w:rFonts w:hint="eastAsia" w:ascii="Arial" w:hAnsi="Arial" w:cs="Arial"/>
              </w:rPr>
            </w:pPr>
            <w:r>
              <w:rPr>
                <w:rFonts w:hint="eastAsia" w:ascii="Arial" w:hAnsi="Arial" w:cs="Arial"/>
              </w:rPr>
              <w:t>历史数据查看功能</w:t>
            </w:r>
          </w:p>
        </w:tc>
        <w:tc>
          <w:tcPr>
            <w:tcW w:w="5494" w:type="dxa"/>
          </w:tcPr>
          <w:p w14:paraId="659672AE">
            <w:pPr>
              <w:rPr>
                <w:rFonts w:ascii="Arial" w:hAnsi="Arial" w:cs="Arial"/>
              </w:rPr>
            </w:pPr>
            <w:r>
              <w:rPr>
                <w:rFonts w:hint="eastAsia" w:ascii="Arial" w:hAnsi="Arial" w:cs="Arial"/>
              </w:rPr>
              <w:t>智瞰平台可查询智能接地线的挂拆状态、位置、电量等历史数据信息。</w:t>
            </w:r>
          </w:p>
        </w:tc>
      </w:tr>
    </w:tbl>
    <w:p w14:paraId="24428D08">
      <w:pPr>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.2.4实施要求</w:t>
      </w:r>
    </w:p>
    <w:p w14:paraId="28293B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提供完整的系统设计方案、</w:t>
      </w:r>
      <w:r>
        <w:rPr>
          <w:rFonts w:hint="eastAsia" w:asciiTheme="minorEastAsia" w:hAnsiTheme="minorEastAsia" w:eastAsiaTheme="minorEastAsia" w:cstheme="minorEastAsia"/>
          <w:sz w:val="24"/>
        </w:rPr>
        <w:t>系统架构说明，数据库设计说明</w:t>
      </w:r>
      <w:r>
        <w:rPr>
          <w:rFonts w:asciiTheme="minorEastAsia" w:hAnsiTheme="minorEastAsia" w:eastAsiaTheme="minorEastAsia" w:cstheme="minorEastAsia"/>
          <w:sz w:val="24"/>
        </w:rPr>
        <w:t>、数据流转逻辑及实施方案与计划。</w:t>
      </w:r>
    </w:p>
    <w:p w14:paraId="50DE93A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（2）系统需要在6个月内完成开发。</w:t>
      </w:r>
    </w:p>
    <w:p w14:paraId="05D311B6">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asciiTheme="minorEastAsia" w:hAnsiTheme="minorEastAsia" w:eastAsiaTheme="minorEastAsia" w:cstheme="minorEastAsia"/>
          <w:sz w:val="24"/>
        </w:rPr>
        <w:t>投标方需</w:t>
      </w:r>
      <w:r>
        <w:rPr>
          <w:rFonts w:hint="eastAsia" w:asciiTheme="minorEastAsia" w:hAnsiTheme="minorEastAsia" w:eastAsiaTheme="minorEastAsia" w:cstheme="minorEastAsia"/>
          <w:sz w:val="24"/>
          <w:lang w:val="en-US" w:eastAsia="zh-CN"/>
        </w:rPr>
        <w:t>了解并熟悉</w:t>
      </w:r>
      <w:r>
        <w:rPr>
          <w:rFonts w:hint="eastAsia" w:asciiTheme="minorEastAsia" w:hAnsiTheme="minorEastAsia" w:eastAsiaTheme="minorEastAsia" w:cstheme="minorEastAsia"/>
          <w:sz w:val="24"/>
        </w:rPr>
        <w:t>《中国南方电网统一物联网平台SDK使用指南》、《中国南方电网自定义Topic命令下发操作指引》、《中国南方电网设备物模型》及南方电网智能接地线设备物模型</w:t>
      </w:r>
      <w:r>
        <w:rPr>
          <w:rFonts w:asciiTheme="minorEastAsia" w:hAnsiTheme="minorEastAsia" w:eastAsiaTheme="minorEastAsia" w:cstheme="minorEastAsia"/>
          <w:sz w:val="24"/>
        </w:rPr>
        <w:t>，并提供兼容性说明。</w:t>
      </w:r>
    </w:p>
    <w:p w14:paraId="0D5B34C2">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.2.5技术服务要求</w:t>
      </w:r>
    </w:p>
    <w:p w14:paraId="7F03AE72">
      <w:pPr>
        <w:ind w:firstLine="480" w:firstLineChars="200"/>
        <w:rPr>
          <w:rFonts w:ascii="宋体" w:hAnsi="宋体" w:cs="宋体"/>
          <w:sz w:val="24"/>
        </w:rPr>
      </w:pPr>
      <w:r>
        <w:rPr>
          <w:rFonts w:hint="eastAsia" w:ascii="宋体" w:hAnsi="宋体" w:cs="宋体"/>
          <w:sz w:val="24"/>
        </w:rPr>
        <w:t>提供全方位、优质、高效的质量保证体系，以及技术支持和售后服务。投标方应充分考虑技术支持与售后服务，提供详细的售后服务计划，服务内容、服务方式及响应时间。要求如下：</w:t>
      </w:r>
    </w:p>
    <w:p w14:paraId="4B483F8D">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（1）验收合格后提供1年免费维护。</w:t>
      </w:r>
    </w:p>
    <w:p w14:paraId="2102290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（2）中标方在故障发生2小时响应处置。</w:t>
      </w:r>
    </w:p>
    <w:p w14:paraId="6630B6D2">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中标方对招标方提供技术培训和操作指导，中标方负责培训全部费用</w:t>
      </w:r>
      <w:r>
        <w:rPr>
          <w:rFonts w:hint="eastAsia" w:asciiTheme="minorEastAsia" w:hAnsiTheme="minorEastAsia" w:eastAsiaTheme="minorEastAsia" w:cstheme="minorEastAsia"/>
          <w:sz w:val="24"/>
          <w:lang w:eastAsia="zh-CN"/>
        </w:rPr>
        <w:t>。</w:t>
      </w:r>
    </w:p>
    <w:p w14:paraId="39F2779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不少于</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个工作日的现场</w:t>
      </w:r>
      <w:r>
        <w:rPr>
          <w:rFonts w:hint="eastAsia" w:asciiTheme="minorEastAsia" w:hAnsiTheme="minorEastAsia" w:eastAsiaTheme="minorEastAsia" w:cstheme="minorEastAsia"/>
          <w:sz w:val="24"/>
          <w:lang w:val="en-US" w:eastAsia="zh-CN"/>
        </w:rPr>
        <w:t>对接</w:t>
      </w:r>
      <w:r>
        <w:rPr>
          <w:rFonts w:hint="eastAsia" w:asciiTheme="minorEastAsia" w:hAnsiTheme="minorEastAsia" w:eastAsiaTheme="minorEastAsia" w:cstheme="minorEastAsia"/>
          <w:sz w:val="24"/>
        </w:rPr>
        <w:t>。中标方负责招标方人员的软件系统操作方面培训工作。</w:t>
      </w:r>
    </w:p>
    <w:p w14:paraId="1BC4D54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中标方应免费提供远程技术服务，远程技术服务项目期限不受限于保修期，远程技术服务在设备报废前有效。</w:t>
      </w:r>
    </w:p>
    <w:p w14:paraId="4E7288D2">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.2.6系统交付项</w:t>
      </w:r>
    </w:p>
    <w:p w14:paraId="1AF7CAC4">
      <w:pPr>
        <w:ind w:firstLine="480" w:firstLineChars="200"/>
        <w:rPr>
          <w:rFonts w:ascii="宋体" w:hAnsi="宋体" w:cs="宋体"/>
          <w:sz w:val="24"/>
        </w:rPr>
      </w:pPr>
      <w:r>
        <w:rPr>
          <w:rFonts w:hint="eastAsia" w:ascii="宋体" w:hAnsi="宋体" w:cs="宋体"/>
          <w:sz w:val="24"/>
        </w:rPr>
        <w:t>投标方应在合同规定时间内，向招标方提供相应资料，包括：</w:t>
      </w:r>
    </w:p>
    <w:p w14:paraId="2F2A78F3">
      <w:pPr>
        <w:rPr>
          <w:rFonts w:hint="eastAsia" w:ascii="宋体" w:hAnsi="宋体" w:eastAsia="宋体" w:cs="宋体"/>
          <w:sz w:val="24"/>
          <w:lang w:eastAsia="zh-CN"/>
        </w:rPr>
      </w:pPr>
      <w:r>
        <w:rPr>
          <w:rFonts w:hint="eastAsia" w:ascii="宋体" w:hAnsi="宋体" w:cs="宋体"/>
          <w:sz w:val="24"/>
        </w:rPr>
        <w:t>（1）用户操作手册</w:t>
      </w:r>
      <w:r>
        <w:rPr>
          <w:rFonts w:hint="eastAsia" w:ascii="宋体" w:hAnsi="宋体" w:cs="宋体"/>
          <w:sz w:val="24"/>
          <w:lang w:eastAsia="zh-CN"/>
        </w:rPr>
        <w:t>。</w:t>
      </w:r>
    </w:p>
    <w:p w14:paraId="0B6EE184">
      <w:pPr>
        <w:rPr>
          <w:rFonts w:hint="eastAsia" w:ascii="宋体" w:hAnsi="宋体" w:eastAsia="宋体" w:cs="宋体"/>
          <w:sz w:val="24"/>
          <w:lang w:eastAsia="zh-CN"/>
        </w:rPr>
      </w:pPr>
      <w:r>
        <w:rPr>
          <w:rFonts w:hint="eastAsia" w:ascii="宋体" w:hAnsi="宋体" w:cs="宋体"/>
          <w:sz w:val="24"/>
        </w:rPr>
        <w:t>（2）</w:t>
      </w:r>
      <w:r>
        <w:rPr>
          <w:rFonts w:ascii="宋体" w:hAnsi="宋体" w:cs="宋体"/>
          <w:sz w:val="24"/>
        </w:rPr>
        <w:t>可安装</w:t>
      </w:r>
      <w:r>
        <w:rPr>
          <w:rFonts w:hint="eastAsia" w:ascii="宋体" w:hAnsi="宋体" w:cs="宋体"/>
          <w:sz w:val="24"/>
        </w:rPr>
        <w:t>服务软件</w:t>
      </w:r>
      <w:r>
        <w:rPr>
          <w:rFonts w:hint="eastAsia" w:ascii="宋体" w:hAnsi="宋体" w:cs="宋体"/>
          <w:sz w:val="24"/>
          <w:lang w:eastAsia="zh-CN"/>
        </w:rPr>
        <w:t>。</w:t>
      </w:r>
    </w:p>
    <w:p w14:paraId="37CE3342">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2</w:t>
      </w:r>
      <w:r>
        <w:rPr>
          <w:rFonts w:hint="eastAsia" w:ascii="宋体" w:hAnsi="宋体" w:cs="宋体"/>
          <w:color w:val="000000"/>
          <w:sz w:val="24"/>
        </w:rPr>
        <w:t xml:space="preserve"> 项目组织。投标方需成立项目组</w:t>
      </w:r>
      <w:r>
        <w:rPr>
          <w:rFonts w:hint="eastAsia" w:ascii="宋体" w:hAnsi="宋体"/>
          <w:sz w:val="24"/>
        </w:rPr>
        <w:t>，具备良好的专业背景和经验。在与招标方协商的基础上确定，确保人员稳定。更换项目组成员的替代人选及更换时机需经双方协商认可，并保证工作的连续性和工作质量。</w:t>
      </w:r>
    </w:p>
    <w:bookmarkEnd w:id="15"/>
    <w:bookmarkEnd w:id="16"/>
    <w:bookmarkEnd w:id="17"/>
    <w:bookmarkEnd w:id="18"/>
    <w:bookmarkEnd w:id="19"/>
    <w:bookmarkEnd w:id="20"/>
    <w:bookmarkEnd w:id="21"/>
    <w:bookmarkEnd w:id="22"/>
    <w:bookmarkEnd w:id="23"/>
    <w:bookmarkEnd w:id="24"/>
    <w:bookmarkEnd w:id="25"/>
    <w:p w14:paraId="7C914E8E">
      <w:pPr>
        <w:rPr>
          <w:rFonts w:ascii="宋体" w:hAnsi="宋体" w:cs="宋体"/>
          <w:sz w:val="24"/>
        </w:rPr>
      </w:pPr>
      <w:bookmarkStart w:id="32"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2"/>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3" w:name="_Toc531004215"/>
      <w:bookmarkStart w:id="34" w:name="_Toc312827040"/>
      <w:bookmarkStart w:id="35" w:name="_Toc309805604"/>
      <w:bookmarkStart w:id="36" w:name="_Toc309593280"/>
      <w:bookmarkStart w:id="37" w:name="_Toc531004269"/>
      <w:bookmarkStart w:id="38" w:name="_Toc441483969"/>
      <w:bookmarkStart w:id="39" w:name="_Toc309593209"/>
      <w:bookmarkStart w:id="40" w:name="_Toc18633"/>
    </w:p>
    <w:p w14:paraId="6D7F86C8">
      <w:pPr>
        <w:pStyle w:val="8"/>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14:paraId="5062A7C2">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73CA961D">
      <w:pPr>
        <w:pStyle w:val="8"/>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3DEDD22B">
      <w:pPr>
        <w:pStyle w:val="8"/>
        <w:rPr>
          <w:rFonts w:hAnsi="宋体"/>
          <w:sz w:val="24"/>
        </w:rPr>
      </w:pPr>
      <w:r>
        <w:rPr>
          <w:rFonts w:hint="eastAsia" w:ascii="Times New Roman" w:hAnsi="Times New Roman"/>
          <w:sz w:val="24"/>
        </w:rPr>
        <w:t>（1）沟通项目所需资料的收集</w:t>
      </w:r>
      <w:r>
        <w:rPr>
          <w:rFonts w:hint="eastAsia" w:hAnsi="宋体"/>
          <w:sz w:val="24"/>
        </w:rPr>
        <w:t>。</w:t>
      </w:r>
    </w:p>
    <w:p w14:paraId="67A48A5E">
      <w:pPr>
        <w:pStyle w:val="8"/>
        <w:rPr>
          <w:rFonts w:hAnsi="宋体"/>
          <w:sz w:val="24"/>
        </w:rPr>
      </w:pPr>
      <w:r>
        <w:rPr>
          <w:rFonts w:hint="eastAsia" w:ascii="Times New Roman" w:hAnsi="Times New Roman"/>
          <w:sz w:val="24"/>
        </w:rPr>
        <w:t>（2）沟通项目进度信息。</w:t>
      </w:r>
    </w:p>
    <w:p w14:paraId="2E5D34AE">
      <w:pPr>
        <w:pStyle w:val="8"/>
        <w:rPr>
          <w:rFonts w:hAnsi="宋体"/>
          <w:sz w:val="24"/>
        </w:rPr>
      </w:pPr>
      <w:r>
        <w:rPr>
          <w:rFonts w:hint="eastAsia" w:ascii="Times New Roman" w:hAnsi="Times New Roman"/>
          <w:sz w:val="24"/>
        </w:rPr>
        <w:t>（3）协商解决项目执行过程中遇到的问题。</w:t>
      </w:r>
    </w:p>
    <w:p w14:paraId="48BACCB4">
      <w:pPr>
        <w:pStyle w:val="8"/>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414BF8E5">
      <w:pPr>
        <w:pStyle w:val="8"/>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A984B6D">
      <w:pPr>
        <w:pStyle w:val="8"/>
        <w:ind w:firstLine="240"/>
        <w:rPr>
          <w:rFonts w:hAnsi="宋体"/>
          <w:sz w:val="24"/>
        </w:rPr>
      </w:pPr>
      <w:r>
        <w:rPr>
          <w:rFonts w:hAnsi="宋体"/>
          <w:sz w:val="24"/>
        </w:rPr>
        <w:t xml:space="preserve">    </w:t>
      </w:r>
      <w:r>
        <w:rPr>
          <w:rFonts w:hint="eastAsia" w:hAnsi="宋体"/>
          <w:sz w:val="24"/>
        </w:rPr>
        <w:t>招标方</w:t>
      </w:r>
      <w:r>
        <w:rPr>
          <w:rFonts w:hAnsi="宋体"/>
          <w:sz w:val="24"/>
        </w:rPr>
        <w:t>：</w:t>
      </w:r>
    </w:p>
    <w:p w14:paraId="5F924D18">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0AA469EA">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607FE177">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24F9798F">
      <w:pPr>
        <w:pStyle w:val="8"/>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11B928EF">
      <w:pPr>
        <w:pStyle w:val="8"/>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14:paraId="07642554">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7F8CC74">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0EC835D1">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31C544D4">
      <w:pPr>
        <w:pStyle w:val="8"/>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F0E491E">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14:paraId="3B2BE2DA">
      <w:pPr>
        <w:spacing w:line="360" w:lineRule="auto"/>
        <w:ind w:left="6" w:leftChars="3" w:firstLine="480" w:firstLineChars="200"/>
        <w:rPr>
          <w:sz w:val="24"/>
        </w:rPr>
      </w:pPr>
      <w:r>
        <w:rPr>
          <w:rFonts w:hint="eastAsia"/>
          <w:sz w:val="24"/>
        </w:rPr>
        <w:t>投标方</w:t>
      </w:r>
      <w:r>
        <w:rPr>
          <w:sz w:val="24"/>
        </w:rPr>
        <w:t>技术文件应包括：</w:t>
      </w:r>
    </w:p>
    <w:p w14:paraId="1AEDD50F">
      <w:pPr>
        <w:spacing w:line="360" w:lineRule="auto"/>
        <w:ind w:left="6" w:leftChars="3" w:firstLine="480" w:firstLineChars="200"/>
        <w:rPr>
          <w:sz w:val="24"/>
        </w:rPr>
      </w:pPr>
      <w:r>
        <w:rPr>
          <w:sz w:val="24"/>
        </w:rPr>
        <w:t>（1）</w:t>
      </w:r>
      <w:r>
        <w:rPr>
          <w:rFonts w:ascii="宋体" w:hAnsi="宋体" w:cs="宋体"/>
          <w:sz w:val="24"/>
        </w:rPr>
        <w:t>提供完整的系统设计方案、</w:t>
      </w:r>
      <w:r>
        <w:rPr>
          <w:rFonts w:hint="eastAsia" w:ascii="宋体" w:hAnsi="宋体" w:cs="宋体"/>
          <w:sz w:val="24"/>
        </w:rPr>
        <w:t>系统架构说明，数据库设计说明</w:t>
      </w:r>
      <w:r>
        <w:rPr>
          <w:rFonts w:ascii="宋体" w:hAnsi="宋体" w:cs="宋体"/>
          <w:sz w:val="24"/>
        </w:rPr>
        <w:t>、数据流转逻辑及实施方案与计划</w:t>
      </w:r>
      <w:r>
        <w:rPr>
          <w:rFonts w:hint="eastAsia" w:ascii="宋体" w:hAnsi="宋体" w:cs="宋体"/>
          <w:sz w:val="24"/>
          <w:lang w:eastAsia="zh-CN"/>
        </w:rPr>
        <w:t>；</w:t>
      </w:r>
    </w:p>
    <w:p w14:paraId="43B1C038">
      <w:pPr>
        <w:spacing w:line="360" w:lineRule="auto"/>
        <w:ind w:left="6" w:leftChars="3" w:firstLine="480" w:firstLineChars="200"/>
        <w:rPr>
          <w:rFonts w:hint="eastAsia" w:eastAsia="宋体"/>
          <w:sz w:val="24"/>
          <w:lang w:eastAsia="zh-CN"/>
        </w:rPr>
      </w:pPr>
      <w:r>
        <w:rPr>
          <w:sz w:val="24"/>
        </w:rPr>
        <w:t>（2）预期目标和成果，主要技术难点、创新点及解决措施</w:t>
      </w:r>
      <w:r>
        <w:rPr>
          <w:rFonts w:hint="eastAsia"/>
          <w:sz w:val="24"/>
          <w:lang w:eastAsia="zh-CN"/>
        </w:rPr>
        <w:t>。</w:t>
      </w:r>
    </w:p>
    <w:p w14:paraId="644A5040">
      <w:pPr>
        <w:pStyle w:val="4"/>
        <w:numPr>
          <w:ilvl w:val="0"/>
          <w:numId w:val="0"/>
        </w:numPr>
        <w:rPr>
          <w:rFonts w:hint="eastAsia" w:ascii="黑体" w:hAnsi="黑体" w:eastAsia="黑体" w:cs="黑体"/>
          <w:b/>
          <w:bCs/>
          <w:kern w:val="2"/>
          <w:sz w:val="28"/>
          <w:szCs w:val="36"/>
          <w:lang w:val="en-US" w:eastAsia="zh-CN" w:bidi="ar-SA"/>
        </w:rPr>
      </w:pPr>
      <w:bookmarkStart w:id="41" w:name="_Toc14774"/>
      <w:bookmarkStart w:id="42" w:name="_Toc309593208"/>
      <w:bookmarkStart w:id="43" w:name="_Toc312827039"/>
      <w:bookmarkStart w:id="44" w:name="_Toc26448179"/>
      <w:bookmarkStart w:id="45" w:name="_Toc12192"/>
      <w:bookmarkStart w:id="46" w:name="_Toc309593279"/>
      <w:bookmarkStart w:id="47" w:name="_Toc23520"/>
      <w:bookmarkStart w:id="48" w:name="_Toc309805603"/>
      <w:bookmarkStart w:id="49" w:name="_Toc12135"/>
      <w:r>
        <w:rPr>
          <w:rFonts w:hint="eastAsia" w:ascii="黑体" w:hAnsi="黑体" w:eastAsia="黑体" w:cs="黑体"/>
          <w:b/>
          <w:bCs/>
          <w:kern w:val="2"/>
          <w:sz w:val="28"/>
          <w:szCs w:val="36"/>
          <w:lang w:val="en-US" w:eastAsia="zh-CN" w:bidi="ar-SA"/>
        </w:rPr>
        <w:t>6.※工期进度要求</w:t>
      </w:r>
      <w:bookmarkEnd w:id="41"/>
      <w:bookmarkEnd w:id="42"/>
      <w:bookmarkEnd w:id="43"/>
      <w:bookmarkEnd w:id="44"/>
      <w:bookmarkEnd w:id="45"/>
      <w:bookmarkEnd w:id="46"/>
      <w:bookmarkEnd w:id="47"/>
      <w:bookmarkEnd w:id="48"/>
      <w:bookmarkEnd w:id="49"/>
    </w:p>
    <w:p w14:paraId="5BD3C678">
      <w:pPr>
        <w:spacing w:line="360" w:lineRule="auto"/>
        <w:ind w:left="6" w:leftChars="3" w:firstLine="480" w:firstLineChars="200"/>
        <w:rPr>
          <w:sz w:val="24"/>
        </w:rPr>
      </w:pPr>
      <w:r>
        <w:rPr>
          <w:sz w:val="24"/>
        </w:rPr>
        <w:t>本项目应按照下表所示进度安排开展试验工作：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14:paraId="3A26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08BBD23B">
            <w:pPr>
              <w:jc w:val="center"/>
              <w:rPr>
                <w:b/>
                <w:sz w:val="24"/>
              </w:rPr>
            </w:pPr>
            <w:r>
              <w:rPr>
                <w:b/>
                <w:sz w:val="24"/>
              </w:rPr>
              <w:t>任务名称</w:t>
            </w:r>
          </w:p>
        </w:tc>
        <w:tc>
          <w:tcPr>
            <w:tcW w:w="1734" w:type="dxa"/>
            <w:noWrap w:val="0"/>
            <w:vAlign w:val="center"/>
          </w:tcPr>
          <w:p w14:paraId="516846AB">
            <w:pPr>
              <w:jc w:val="center"/>
              <w:rPr>
                <w:b/>
                <w:sz w:val="24"/>
              </w:rPr>
            </w:pPr>
            <w:r>
              <w:rPr>
                <w:b/>
                <w:sz w:val="24"/>
              </w:rPr>
              <w:t>工作时间</w:t>
            </w:r>
          </w:p>
        </w:tc>
        <w:tc>
          <w:tcPr>
            <w:tcW w:w="5358" w:type="dxa"/>
            <w:noWrap w:val="0"/>
            <w:vAlign w:val="center"/>
          </w:tcPr>
          <w:p w14:paraId="0FB0BFA4">
            <w:pPr>
              <w:tabs>
                <w:tab w:val="left" w:pos="859"/>
              </w:tabs>
              <w:ind w:left="111" w:leftChars="53" w:firstLine="7" w:firstLineChars="3"/>
              <w:jc w:val="center"/>
              <w:rPr>
                <w:b/>
                <w:sz w:val="24"/>
              </w:rPr>
            </w:pPr>
            <w:r>
              <w:rPr>
                <w:b/>
                <w:sz w:val="24"/>
              </w:rPr>
              <w:t>主要内容及交付项</w:t>
            </w:r>
          </w:p>
        </w:tc>
      </w:tr>
      <w:tr w14:paraId="59E1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center"/>
          </w:tcPr>
          <w:p w14:paraId="71CE3849">
            <w:pPr>
              <w:pStyle w:val="54"/>
              <w:snapToGrid w:val="0"/>
              <w:rPr>
                <w:rFonts w:hint="eastAsia" w:ascii="Times New Roman" w:eastAsia="宋体"/>
                <w:kern w:val="2"/>
                <w:sz w:val="21"/>
                <w:szCs w:val="21"/>
                <w:lang w:eastAsia="zh-CN"/>
              </w:rPr>
            </w:pPr>
            <w:r>
              <w:rPr>
                <w:rFonts w:hint="eastAsia" w:ascii="Times New Roman" w:eastAsia="宋体"/>
                <w:kern w:val="2"/>
                <w:sz w:val="21"/>
                <w:szCs w:val="21"/>
                <w:lang w:eastAsia="zh-CN"/>
              </w:rPr>
              <w:t>需求调研与系统设计</w:t>
            </w:r>
          </w:p>
        </w:tc>
        <w:tc>
          <w:tcPr>
            <w:tcW w:w="1734" w:type="dxa"/>
            <w:noWrap w:val="0"/>
            <w:vAlign w:val="center"/>
          </w:tcPr>
          <w:p w14:paraId="4E19A742">
            <w:pPr>
              <w:adjustRightInd w:val="0"/>
              <w:snapToGrid w:val="0"/>
              <w:spacing w:line="400" w:lineRule="exact"/>
              <w:ind w:right="72"/>
              <w:jc w:val="center"/>
              <w:textAlignment w:val="center"/>
              <w:rPr>
                <w:szCs w:val="21"/>
              </w:rPr>
            </w:pPr>
            <w:r>
              <w:rPr>
                <w:rFonts w:hint="eastAsia"/>
                <w:szCs w:val="21"/>
              </w:rPr>
              <w:t>采购结果确定后</w:t>
            </w:r>
            <w:r>
              <w:rPr>
                <w:rFonts w:hint="eastAsia"/>
                <w:szCs w:val="21"/>
                <w:lang w:val="en-US" w:eastAsia="zh-CN"/>
              </w:rPr>
              <w:t>1</w:t>
            </w:r>
            <w:r>
              <w:rPr>
                <w:rFonts w:hint="eastAsia"/>
                <w:szCs w:val="21"/>
              </w:rPr>
              <w:t>月内</w:t>
            </w:r>
          </w:p>
        </w:tc>
        <w:tc>
          <w:tcPr>
            <w:tcW w:w="5358" w:type="dxa"/>
            <w:noWrap w:val="0"/>
            <w:vAlign w:val="center"/>
          </w:tcPr>
          <w:p w14:paraId="4E51ADAD">
            <w:pPr>
              <w:pStyle w:val="54"/>
              <w:snapToGrid w:val="0"/>
              <w:rPr>
                <w:rFonts w:hint="eastAsia" w:ascii="宋体" w:hAnsi="宋体" w:eastAsia="宋体" w:cs="宋体"/>
                <w:b/>
                <w:kern w:val="2"/>
                <w:sz w:val="21"/>
                <w:szCs w:val="21"/>
              </w:rPr>
            </w:pPr>
            <w:r>
              <w:rPr>
                <w:rFonts w:hint="eastAsia" w:ascii="宋体" w:hAnsi="宋体" w:eastAsia="宋体" w:cs="宋体"/>
                <w:b/>
                <w:kern w:val="2"/>
                <w:sz w:val="21"/>
                <w:szCs w:val="21"/>
              </w:rPr>
              <w:t>主要内容：</w:t>
            </w:r>
          </w:p>
          <w:p w14:paraId="5F85C1B6">
            <w:pPr>
              <w:pStyle w:val="54"/>
              <w:snapToGrid w:val="0"/>
              <w:rPr>
                <w:rFonts w:hint="eastAsia" w:ascii="Times New Roman" w:eastAsia="宋体" w:cs="Times New Roman"/>
                <w:kern w:val="2"/>
                <w:sz w:val="21"/>
                <w:szCs w:val="21"/>
              </w:rPr>
            </w:pPr>
            <w:r>
              <w:rPr>
                <w:rFonts w:hint="eastAsia" w:ascii="Times New Roman" w:eastAsia="宋体" w:cs="Times New Roman"/>
                <w:kern w:val="2"/>
                <w:sz w:val="21"/>
                <w:szCs w:val="21"/>
              </w:rPr>
              <w:t>（1）调研智能接地线设备现状及南网智瞰平台接口规范；</w:t>
            </w:r>
            <w:r>
              <w:rPr>
                <w:rFonts w:hint="eastAsia" w:ascii="Times New Roman" w:eastAsia="宋体" w:cs="Times New Roman"/>
                <w:kern w:val="2"/>
                <w:sz w:val="21"/>
                <w:szCs w:val="21"/>
              </w:rPr>
              <w:br w:type="textWrapping"/>
            </w:r>
            <w:r>
              <w:rPr>
                <w:rFonts w:hint="eastAsia" w:ascii="Times New Roman" w:eastAsia="宋体" w:cs="Times New Roman"/>
                <w:kern w:val="2"/>
                <w:sz w:val="21"/>
                <w:szCs w:val="21"/>
              </w:rPr>
              <w:t>（2）分析生产指挥中心与现场作业人员业务需求；</w:t>
            </w:r>
            <w:r>
              <w:rPr>
                <w:rFonts w:hint="eastAsia" w:ascii="Times New Roman" w:eastAsia="宋体" w:cs="Times New Roman"/>
                <w:kern w:val="2"/>
                <w:sz w:val="21"/>
                <w:szCs w:val="21"/>
              </w:rPr>
              <w:br w:type="textWrapping"/>
            </w:r>
            <w:r>
              <w:rPr>
                <w:rFonts w:hint="eastAsia" w:ascii="Times New Roman" w:eastAsia="宋体" w:cs="Times New Roman"/>
                <w:kern w:val="2"/>
                <w:sz w:val="21"/>
                <w:szCs w:val="21"/>
              </w:rPr>
              <w:t>（3）完成系统总体架构设计、数据库设计及接口设计方案；</w:t>
            </w:r>
            <w:r>
              <w:rPr>
                <w:rFonts w:hint="eastAsia" w:ascii="Times New Roman" w:eastAsia="宋体" w:cs="Times New Roman"/>
                <w:kern w:val="2"/>
                <w:sz w:val="21"/>
                <w:szCs w:val="21"/>
              </w:rPr>
              <w:br w:type="textWrapping"/>
            </w:r>
            <w:r>
              <w:rPr>
                <w:rFonts w:hint="eastAsia" w:ascii="Times New Roman" w:eastAsia="宋体" w:cs="Times New Roman"/>
                <w:kern w:val="2"/>
                <w:sz w:val="21"/>
                <w:szCs w:val="21"/>
              </w:rPr>
              <w:t>（4）组织设计方案评审。</w:t>
            </w:r>
          </w:p>
          <w:p w14:paraId="7CBD870C">
            <w:pPr>
              <w:pStyle w:val="54"/>
              <w:snapToGrid w:val="0"/>
              <w:rPr>
                <w:rFonts w:ascii="Times New Roman" w:eastAsia="宋体"/>
                <w:b/>
                <w:kern w:val="2"/>
                <w:sz w:val="21"/>
                <w:szCs w:val="21"/>
              </w:rPr>
            </w:pPr>
            <w:r>
              <w:rPr>
                <w:rFonts w:hint="eastAsia" w:ascii="宋体" w:hAnsi="宋体" w:eastAsia="宋体" w:cs="宋体"/>
                <w:b/>
                <w:kern w:val="2"/>
                <w:sz w:val="21"/>
                <w:szCs w:val="21"/>
              </w:rPr>
              <w:t>交付项</w:t>
            </w:r>
            <w:r>
              <w:rPr>
                <w:rFonts w:hint="eastAsia" w:ascii="宋体" w:hAnsi="宋体" w:eastAsia="宋体" w:cs="宋体"/>
                <w:kern w:val="2"/>
                <w:sz w:val="21"/>
                <w:szCs w:val="21"/>
              </w:rPr>
              <w:t>：系统设计方案1份。</w:t>
            </w:r>
          </w:p>
        </w:tc>
      </w:tr>
      <w:tr w14:paraId="2C4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center"/>
          </w:tcPr>
          <w:p w14:paraId="0CF2D0E4">
            <w:pPr>
              <w:pStyle w:val="54"/>
              <w:snapToGrid w:val="0"/>
              <w:rPr>
                <w:rFonts w:ascii="Times New Roman" w:eastAsia="宋体" w:cs="Times New Roman"/>
                <w:kern w:val="2"/>
                <w:sz w:val="21"/>
                <w:szCs w:val="21"/>
                <w:highlight w:val="none"/>
              </w:rPr>
            </w:pPr>
            <w:r>
              <w:rPr>
                <w:rFonts w:ascii="Times New Roman" w:eastAsia="宋体" w:cs="Times New Roman"/>
                <w:kern w:val="2"/>
                <w:sz w:val="21"/>
                <w:szCs w:val="21"/>
                <w:highlight w:val="none"/>
              </w:rPr>
              <w:t>系统开发与物联网平台对接</w:t>
            </w:r>
          </w:p>
        </w:tc>
        <w:tc>
          <w:tcPr>
            <w:tcW w:w="1734" w:type="dxa"/>
            <w:noWrap w:val="0"/>
            <w:vAlign w:val="center"/>
          </w:tcPr>
          <w:p w14:paraId="310A5E4E">
            <w:pPr>
              <w:spacing w:line="264" w:lineRule="auto"/>
              <w:jc w:val="center"/>
              <w:rPr>
                <w:sz w:val="24"/>
              </w:rPr>
            </w:pPr>
            <w:r>
              <w:rPr>
                <w:rFonts w:hint="eastAsia"/>
                <w:szCs w:val="21"/>
              </w:rPr>
              <w:t>采购结果确定后</w:t>
            </w:r>
            <w:r>
              <w:rPr>
                <w:rFonts w:hint="eastAsia"/>
                <w:szCs w:val="21"/>
                <w:lang w:val="en-US" w:eastAsia="zh-CN"/>
              </w:rPr>
              <w:t>3</w:t>
            </w:r>
            <w:r>
              <w:rPr>
                <w:rFonts w:hint="eastAsia"/>
                <w:szCs w:val="21"/>
              </w:rPr>
              <w:t>月内</w:t>
            </w:r>
          </w:p>
        </w:tc>
        <w:tc>
          <w:tcPr>
            <w:tcW w:w="5358" w:type="dxa"/>
            <w:noWrap w:val="0"/>
            <w:vAlign w:val="center"/>
          </w:tcPr>
          <w:p w14:paraId="6239E6B1">
            <w:pPr>
              <w:pStyle w:val="54"/>
              <w:snapToGrid w:val="0"/>
              <w:rPr>
                <w:rFonts w:ascii="Times New Roman" w:eastAsia="宋体"/>
                <w:b/>
                <w:kern w:val="2"/>
                <w:sz w:val="21"/>
                <w:szCs w:val="21"/>
              </w:rPr>
            </w:pPr>
            <w:r>
              <w:rPr>
                <w:rFonts w:ascii="Times New Roman" w:eastAsia="宋体"/>
                <w:b/>
                <w:kern w:val="2"/>
                <w:sz w:val="21"/>
                <w:szCs w:val="21"/>
              </w:rPr>
              <w:t>主要内容：</w:t>
            </w:r>
          </w:p>
          <w:p w14:paraId="3B5C69FA">
            <w:pPr>
              <w:pStyle w:val="54"/>
              <w:snapToGrid w:val="0"/>
              <w:rPr>
                <w:rFonts w:hint="eastAsia" w:ascii="Times New Roman" w:eastAsia="宋体" w:cs="Times New Roman"/>
                <w:kern w:val="2"/>
                <w:sz w:val="21"/>
                <w:szCs w:val="21"/>
              </w:rPr>
            </w:pPr>
            <w:r>
              <w:rPr>
                <w:rFonts w:hint="eastAsia" w:ascii="Times New Roman" w:eastAsia="宋体" w:cs="Times New Roman"/>
                <w:kern w:val="2"/>
                <w:sz w:val="21"/>
                <w:szCs w:val="21"/>
              </w:rPr>
              <w:t>（1）基于B/S架构开发智能接地线展示界面系统；</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（2）按照《中国南方电网统一物联网平台SDK使用指南》完成物联网平台对接开发；</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（3）实现装置绑定/解绑、信息推送、历史数据查询等核心功能；</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（4）完成MQTT协议通信及消息主题开发。</w:t>
            </w:r>
          </w:p>
          <w:p w14:paraId="14896219">
            <w:pPr>
              <w:pStyle w:val="54"/>
              <w:snapToGrid w:val="0"/>
              <w:rPr>
                <w:rFonts w:ascii="Times New Roman" w:eastAsia="宋体"/>
                <w:b/>
                <w:kern w:val="2"/>
                <w:sz w:val="21"/>
                <w:szCs w:val="21"/>
              </w:rPr>
            </w:pPr>
            <w:r>
              <w:rPr>
                <w:rFonts w:ascii="Times New Roman" w:eastAsia="宋体"/>
                <w:b/>
                <w:kern w:val="2"/>
                <w:sz w:val="21"/>
                <w:szCs w:val="21"/>
              </w:rPr>
              <w:t>交付项：</w:t>
            </w:r>
          </w:p>
          <w:p w14:paraId="4CC168F9">
            <w:pPr>
              <w:pStyle w:val="54"/>
              <w:snapToGrid w:val="0"/>
              <w:rPr>
                <w:rFonts w:hint="eastAsia" w:ascii="Times New Roman" w:eastAsia="宋体"/>
              </w:rPr>
            </w:pPr>
            <w:r>
              <w:rPr>
                <w:rFonts w:hint="default" w:ascii="Times New Roman" w:eastAsia="宋体" w:cs="Times New Roman"/>
                <w:kern w:val="2"/>
                <w:sz w:val="21"/>
                <w:szCs w:val="21"/>
              </w:rPr>
              <w:t>（1）系统源代码及开发文档；</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（2）物联网平台对接测试报告1份。</w:t>
            </w:r>
            <w:r>
              <w:rPr>
                <w:rFonts w:hint="eastAsia" w:ascii="Times New Roman" w:eastAsia="宋体" w:cs="Times New Roman"/>
                <w:kern w:val="2"/>
                <w:sz w:val="21"/>
                <w:szCs w:val="21"/>
              </w:rPr>
              <w:t>。</w:t>
            </w:r>
          </w:p>
        </w:tc>
      </w:tr>
      <w:tr w14:paraId="248D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center"/>
          </w:tcPr>
          <w:p w14:paraId="18F89A74">
            <w:pPr>
              <w:pStyle w:val="54"/>
              <w:snapToGrid w:val="0"/>
              <w:rPr>
                <w:rFonts w:ascii="Times New Roman" w:eastAsia="宋体" w:cs="Times New Roman"/>
                <w:kern w:val="2"/>
                <w:sz w:val="21"/>
                <w:szCs w:val="21"/>
                <w:highlight w:val="none"/>
              </w:rPr>
            </w:pPr>
            <w:r>
              <w:rPr>
                <w:rFonts w:ascii="Times New Roman" w:eastAsia="宋体" w:cs="Times New Roman"/>
                <w:kern w:val="2"/>
                <w:sz w:val="21"/>
                <w:szCs w:val="21"/>
                <w:highlight w:val="none"/>
              </w:rPr>
              <w:t>系统集成测试与现场调试</w:t>
            </w:r>
          </w:p>
        </w:tc>
        <w:tc>
          <w:tcPr>
            <w:tcW w:w="1734" w:type="dxa"/>
            <w:noWrap w:val="0"/>
            <w:vAlign w:val="center"/>
          </w:tcPr>
          <w:p w14:paraId="35C52FF6">
            <w:pPr>
              <w:adjustRightInd w:val="0"/>
              <w:snapToGrid w:val="0"/>
              <w:spacing w:line="288" w:lineRule="auto"/>
              <w:ind w:right="72"/>
              <w:jc w:val="center"/>
              <w:rPr>
                <w:sz w:val="24"/>
              </w:rPr>
            </w:pPr>
            <w:r>
              <w:rPr>
                <w:rFonts w:hint="eastAsia"/>
                <w:szCs w:val="21"/>
              </w:rPr>
              <w:t>采购结果确定后</w:t>
            </w:r>
            <w:r>
              <w:rPr>
                <w:rFonts w:hint="eastAsia"/>
                <w:szCs w:val="21"/>
                <w:lang w:val="en-US" w:eastAsia="zh-CN"/>
              </w:rPr>
              <w:t>5</w:t>
            </w:r>
            <w:r>
              <w:rPr>
                <w:rFonts w:hint="eastAsia"/>
                <w:szCs w:val="21"/>
              </w:rPr>
              <w:t>月内</w:t>
            </w:r>
          </w:p>
        </w:tc>
        <w:tc>
          <w:tcPr>
            <w:tcW w:w="5358" w:type="dxa"/>
            <w:noWrap w:val="0"/>
            <w:vAlign w:val="center"/>
          </w:tcPr>
          <w:p w14:paraId="1D40E674">
            <w:pPr>
              <w:pStyle w:val="54"/>
              <w:snapToGrid w:val="0"/>
              <w:rPr>
                <w:rFonts w:ascii="Times New Roman" w:eastAsia="宋体"/>
                <w:b/>
                <w:kern w:val="2"/>
                <w:sz w:val="21"/>
                <w:szCs w:val="21"/>
              </w:rPr>
            </w:pPr>
            <w:r>
              <w:rPr>
                <w:rFonts w:ascii="Times New Roman" w:eastAsia="宋体"/>
                <w:b/>
                <w:kern w:val="2"/>
                <w:sz w:val="21"/>
                <w:szCs w:val="21"/>
              </w:rPr>
              <w:t>主要内容：</w:t>
            </w:r>
          </w:p>
          <w:p w14:paraId="60156997">
            <w:pPr>
              <w:pStyle w:val="54"/>
              <w:snapToGrid w:val="0"/>
              <w:rPr>
                <w:rFonts w:hint="eastAsia" w:ascii="Times New Roman" w:eastAsia="宋体" w:cs="Times New Roman"/>
                <w:kern w:val="2"/>
                <w:sz w:val="21"/>
                <w:szCs w:val="21"/>
              </w:rPr>
            </w:pPr>
            <w:r>
              <w:rPr>
                <w:rFonts w:hint="default" w:ascii="Times New Roman" w:eastAsia="宋体" w:cs="Times New Roman"/>
                <w:kern w:val="2"/>
                <w:sz w:val="21"/>
                <w:szCs w:val="21"/>
              </w:rPr>
              <w:t>（1）完成系统功能测试、性能测试及安全测试；</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（2）现场部署调试，验证智能接地线数据传输与展示功能；</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（3）优化系统稳定性与用户体验；</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（4）编写用户操作手册。</w:t>
            </w:r>
          </w:p>
          <w:p w14:paraId="0C383010">
            <w:pPr>
              <w:pStyle w:val="54"/>
              <w:snapToGrid w:val="0"/>
              <w:rPr>
                <w:rFonts w:ascii="Times New Roman" w:eastAsia="宋体"/>
                <w:kern w:val="2"/>
                <w:sz w:val="21"/>
                <w:szCs w:val="21"/>
              </w:rPr>
            </w:pPr>
            <w:r>
              <w:rPr>
                <w:rFonts w:ascii="Times New Roman" w:eastAsia="宋体"/>
                <w:b/>
                <w:kern w:val="2"/>
                <w:sz w:val="21"/>
                <w:szCs w:val="21"/>
              </w:rPr>
              <w:t>交付项：</w:t>
            </w:r>
          </w:p>
          <w:p w14:paraId="0775C4B8">
            <w:pPr>
              <w:pStyle w:val="54"/>
              <w:snapToGrid w:val="0"/>
              <w:rPr>
                <w:rFonts w:hint="default" w:ascii="Times New Roman" w:eastAsia="宋体"/>
                <w:kern w:val="2"/>
                <w:sz w:val="21"/>
                <w:szCs w:val="21"/>
                <w:lang w:val="en-US" w:eastAsia="zh-CN"/>
              </w:rPr>
            </w:pPr>
            <w:r>
              <w:rPr>
                <w:rFonts w:hint="eastAsia"/>
                <w:sz w:val="21"/>
                <w:szCs w:val="21"/>
              </w:rPr>
              <w:t>（</w:t>
            </w:r>
            <w:r>
              <w:rPr>
                <w:rFonts w:hint="eastAsia" w:ascii="Times New Roman" w:eastAsia="宋体"/>
                <w:kern w:val="2"/>
                <w:sz w:val="21"/>
                <w:szCs w:val="21"/>
              </w:rPr>
              <w:t>1）系统测试报告1份；</w:t>
            </w:r>
            <w:r>
              <w:rPr>
                <w:rFonts w:hint="eastAsia" w:ascii="Times New Roman" w:eastAsia="宋体"/>
                <w:kern w:val="2"/>
                <w:sz w:val="21"/>
                <w:szCs w:val="21"/>
              </w:rPr>
              <w:br w:type="textWrapping"/>
            </w:r>
            <w:r>
              <w:rPr>
                <w:rFonts w:hint="eastAsia" w:ascii="Times New Roman" w:eastAsia="宋体"/>
                <w:kern w:val="2"/>
                <w:sz w:val="21"/>
                <w:szCs w:val="21"/>
              </w:rPr>
              <w:t>（2）基于南网智瞰的智能接地线展示界面系统安装包1套；</w:t>
            </w:r>
            <w:r>
              <w:rPr>
                <w:rFonts w:hint="eastAsia" w:ascii="Times New Roman" w:eastAsia="宋体"/>
                <w:kern w:val="2"/>
                <w:sz w:val="21"/>
                <w:szCs w:val="21"/>
              </w:rPr>
              <w:br w:type="textWrapping"/>
            </w:r>
            <w:r>
              <w:rPr>
                <w:rFonts w:hint="eastAsia" w:ascii="Times New Roman" w:eastAsia="宋体"/>
                <w:kern w:val="2"/>
                <w:sz w:val="21"/>
                <w:szCs w:val="21"/>
              </w:rPr>
              <w:t>（3）用户操作手册1份。</w:t>
            </w:r>
          </w:p>
        </w:tc>
      </w:tr>
      <w:tr w14:paraId="4EE2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4A7FDAFE">
            <w:pPr>
              <w:pStyle w:val="54"/>
              <w:snapToGrid w:val="0"/>
              <w:rPr>
                <w:rFonts w:ascii="Times New Roman"/>
                <w:highlight w:val="none"/>
              </w:rPr>
            </w:pPr>
            <w:r>
              <w:rPr>
                <w:rFonts w:ascii="Times New Roman" w:eastAsia="宋体"/>
                <w:kern w:val="2"/>
                <w:sz w:val="21"/>
                <w:szCs w:val="21"/>
                <w:highlight w:val="none"/>
              </w:rPr>
              <w:t>项目验收</w:t>
            </w:r>
          </w:p>
        </w:tc>
        <w:tc>
          <w:tcPr>
            <w:tcW w:w="1734" w:type="dxa"/>
            <w:noWrap w:val="0"/>
            <w:vAlign w:val="center"/>
          </w:tcPr>
          <w:p w14:paraId="5A1B1BF1">
            <w:pPr>
              <w:adjustRightInd w:val="0"/>
              <w:snapToGrid w:val="0"/>
              <w:spacing w:line="400" w:lineRule="exact"/>
              <w:ind w:right="72"/>
              <w:jc w:val="center"/>
              <w:textAlignment w:val="center"/>
              <w:rPr>
                <w:sz w:val="24"/>
                <w:highlight w:val="none"/>
              </w:rPr>
            </w:pPr>
            <w:r>
              <w:rPr>
                <w:szCs w:val="21"/>
                <w:highlight w:val="none"/>
              </w:rPr>
              <w:t>202</w:t>
            </w:r>
            <w:r>
              <w:rPr>
                <w:rFonts w:hint="eastAsia"/>
                <w:szCs w:val="21"/>
                <w:highlight w:val="none"/>
                <w:lang w:val="en-US" w:eastAsia="zh-CN"/>
              </w:rPr>
              <w:t>6</w:t>
            </w:r>
            <w:r>
              <w:rPr>
                <w:szCs w:val="21"/>
                <w:highlight w:val="none"/>
              </w:rPr>
              <w:t>年</w:t>
            </w:r>
            <w:r>
              <w:rPr>
                <w:rFonts w:hint="eastAsia"/>
                <w:szCs w:val="21"/>
                <w:highlight w:val="none"/>
                <w:lang w:val="en-US" w:eastAsia="zh-CN"/>
              </w:rPr>
              <w:t>12</w:t>
            </w:r>
            <w:r>
              <w:rPr>
                <w:szCs w:val="21"/>
                <w:highlight w:val="none"/>
              </w:rPr>
              <w:t>月</w:t>
            </w:r>
          </w:p>
        </w:tc>
        <w:tc>
          <w:tcPr>
            <w:tcW w:w="5358" w:type="dxa"/>
            <w:noWrap w:val="0"/>
            <w:vAlign w:val="center"/>
          </w:tcPr>
          <w:p w14:paraId="7D9C9501">
            <w:pPr>
              <w:pStyle w:val="54"/>
              <w:snapToGrid w:val="0"/>
              <w:rPr>
                <w:rFonts w:ascii="Times New Roman" w:eastAsia="宋体"/>
                <w:kern w:val="2"/>
                <w:sz w:val="21"/>
                <w:szCs w:val="21"/>
                <w:highlight w:val="none"/>
              </w:rPr>
            </w:pPr>
            <w:r>
              <w:rPr>
                <w:rFonts w:ascii="Times New Roman" w:eastAsia="宋体"/>
                <w:b/>
                <w:kern w:val="2"/>
                <w:sz w:val="21"/>
                <w:szCs w:val="21"/>
                <w:highlight w:val="none"/>
              </w:rPr>
              <w:t>主要内容</w:t>
            </w:r>
            <w:r>
              <w:rPr>
                <w:rFonts w:ascii="Times New Roman" w:eastAsia="宋体"/>
                <w:kern w:val="2"/>
                <w:sz w:val="21"/>
                <w:szCs w:val="21"/>
                <w:highlight w:val="none"/>
              </w:rPr>
              <w:t>：项目结题验收。</w:t>
            </w:r>
          </w:p>
          <w:p w14:paraId="441287F4">
            <w:pPr>
              <w:pStyle w:val="54"/>
              <w:snapToGrid w:val="0"/>
              <w:rPr>
                <w:rFonts w:ascii="Times New Roman" w:eastAsia="宋体"/>
                <w:kern w:val="2"/>
                <w:sz w:val="21"/>
                <w:szCs w:val="21"/>
                <w:highlight w:val="none"/>
              </w:rPr>
            </w:pPr>
            <w:r>
              <w:rPr>
                <w:rFonts w:ascii="Times New Roman" w:eastAsia="宋体"/>
                <w:b/>
                <w:kern w:val="2"/>
                <w:sz w:val="21"/>
                <w:szCs w:val="21"/>
                <w:highlight w:val="none"/>
              </w:rPr>
              <w:t>交付项</w:t>
            </w:r>
            <w:r>
              <w:rPr>
                <w:rFonts w:ascii="Times New Roman" w:eastAsia="宋体"/>
                <w:kern w:val="2"/>
                <w:sz w:val="21"/>
                <w:szCs w:val="21"/>
                <w:highlight w:val="none"/>
              </w:rPr>
              <w:t>：</w:t>
            </w:r>
          </w:p>
          <w:p w14:paraId="14A56BB5">
            <w:pPr>
              <w:pStyle w:val="54"/>
              <w:snapToGrid w:val="0"/>
              <w:rPr>
                <w:rFonts w:ascii="Times New Roman"/>
                <w:highlight w:val="none"/>
              </w:rPr>
            </w:pPr>
            <w:r>
              <w:rPr>
                <w:rFonts w:hint="eastAsia" w:ascii="Times New Roman" w:eastAsia="宋体" w:cs="Times New Roman"/>
                <w:kern w:val="2"/>
                <w:sz w:val="21"/>
                <w:szCs w:val="21"/>
              </w:rPr>
              <w:t>（1）项目研究报告1份；</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w:t>
            </w:r>
            <w:r>
              <w:rPr>
                <w:rFonts w:hint="default" w:ascii="Times New Roman" w:eastAsia="宋体" w:cs="Times New Roman"/>
                <w:kern w:val="2"/>
                <w:sz w:val="21"/>
                <w:szCs w:val="21"/>
                <w:lang w:val="en-US" w:eastAsia="zh-CN"/>
              </w:rPr>
              <w:t>软件著作权</w:t>
            </w:r>
            <w:r>
              <w:rPr>
                <w:rFonts w:hint="default" w:ascii="Times New Roman" w:eastAsia="宋体" w:cs="Times New Roman"/>
                <w:kern w:val="2"/>
                <w:sz w:val="21"/>
                <w:szCs w:val="21"/>
              </w:rPr>
              <w:t>受理通知书1项；</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（3）项目验收材料全套。</w:t>
            </w:r>
          </w:p>
        </w:tc>
      </w:tr>
    </w:tbl>
    <w:p w14:paraId="77EE51CD">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3"/>
      <w:bookmarkEnd w:id="34"/>
      <w:bookmarkEnd w:id="35"/>
      <w:bookmarkEnd w:id="36"/>
      <w:bookmarkEnd w:id="37"/>
      <w:bookmarkEnd w:id="38"/>
      <w:bookmarkEnd w:id="39"/>
    </w:p>
    <w:p w14:paraId="0CC52F0B">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03AA7F5C">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0"/>
    </w:p>
    <w:p w14:paraId="21B31973">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6D27AF8"/>
    <w:rsid w:val="06F2484F"/>
    <w:rsid w:val="0A210078"/>
    <w:rsid w:val="0C030754"/>
    <w:rsid w:val="0CA05D46"/>
    <w:rsid w:val="0F966A31"/>
    <w:rsid w:val="10550F6F"/>
    <w:rsid w:val="128F30ED"/>
    <w:rsid w:val="12BD66DE"/>
    <w:rsid w:val="13132954"/>
    <w:rsid w:val="163A1216"/>
    <w:rsid w:val="166F3EB8"/>
    <w:rsid w:val="191A5617"/>
    <w:rsid w:val="1A0A5C1B"/>
    <w:rsid w:val="1BD511FB"/>
    <w:rsid w:val="1F8A11CF"/>
    <w:rsid w:val="20F20322"/>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6515C79"/>
    <w:rsid w:val="373C54BB"/>
    <w:rsid w:val="37643739"/>
    <w:rsid w:val="37E33064"/>
    <w:rsid w:val="3B016E25"/>
    <w:rsid w:val="3B4F326E"/>
    <w:rsid w:val="3C0F5DF2"/>
    <w:rsid w:val="3EF75647"/>
    <w:rsid w:val="3FC46A7B"/>
    <w:rsid w:val="40C512FC"/>
    <w:rsid w:val="428F0505"/>
    <w:rsid w:val="42C6746E"/>
    <w:rsid w:val="42EE5CD4"/>
    <w:rsid w:val="45D97826"/>
    <w:rsid w:val="45F20916"/>
    <w:rsid w:val="46927C50"/>
    <w:rsid w:val="48736764"/>
    <w:rsid w:val="48D82303"/>
    <w:rsid w:val="4D3F13B6"/>
    <w:rsid w:val="4DFF75F2"/>
    <w:rsid w:val="52420D12"/>
    <w:rsid w:val="56061A78"/>
    <w:rsid w:val="5643156F"/>
    <w:rsid w:val="57AF48B9"/>
    <w:rsid w:val="592823C4"/>
    <w:rsid w:val="592C035C"/>
    <w:rsid w:val="5981212C"/>
    <w:rsid w:val="5B187842"/>
    <w:rsid w:val="5D615387"/>
    <w:rsid w:val="61C27952"/>
    <w:rsid w:val="6212562E"/>
    <w:rsid w:val="62DB3950"/>
    <w:rsid w:val="62F53AC8"/>
    <w:rsid w:val="637B25C6"/>
    <w:rsid w:val="63D72C4E"/>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unhideWhenUsed/>
    <w:qFormat/>
    <w:uiPriority w:val="99"/>
    <w:pPr>
      <w:spacing w:after="120"/>
      <w:ind w:left="420" w:leftChars="200"/>
    </w:pPr>
  </w:style>
  <w:style w:type="paragraph" w:styleId="6">
    <w:name w:val="Body Text"/>
    <w:basedOn w:val="7"/>
    <w:next w:val="7"/>
    <w:qFormat/>
    <w:uiPriority w:val="99"/>
    <w:pPr>
      <w:ind w:firstLine="880" w:firstLineChars="200"/>
    </w:pPr>
    <w:rPr>
      <w:rFonts w:ascii="仿宋_GB2312" w:hAnsi="仿宋_GB2312" w:eastAsia="仿宋_GB2312" w:cs="Arial"/>
      <w:sz w:val="32"/>
      <w:szCs w:val="20"/>
    </w:rPr>
  </w:style>
  <w:style w:type="paragraph" w:styleId="7">
    <w:name w:val="Title"/>
    <w:basedOn w:val="1"/>
    <w:next w:val="1"/>
    <w:qFormat/>
    <w:uiPriority w:val="99"/>
    <w:pPr>
      <w:spacing w:before="240" w:after="60"/>
      <w:jc w:val="center"/>
      <w:outlineLvl w:val="0"/>
    </w:pPr>
    <w:rPr>
      <w:rFonts w:ascii="Arial" w:hAnsi="Arial"/>
      <w:b/>
      <w:bCs/>
      <w:sz w:val="32"/>
      <w:szCs w:val="32"/>
    </w:rPr>
  </w:style>
  <w:style w:type="paragraph" w:styleId="8">
    <w:name w:val="Plain Text"/>
    <w:basedOn w:val="1"/>
    <w:qFormat/>
    <w:uiPriority w:val="0"/>
    <w:rPr>
      <w:rFonts w:ascii="宋体" w:hAnsi="Courier New"/>
      <w:szCs w:val="21"/>
    </w:rPr>
  </w:style>
  <w:style w:type="paragraph" w:styleId="9">
    <w:name w:val="footer"/>
    <w:basedOn w:val="1"/>
    <w:qFormat/>
    <w:uiPriority w:val="99"/>
    <w:pPr>
      <w:tabs>
        <w:tab w:val="center" w:pos="4153"/>
        <w:tab w:val="right" w:pos="8306"/>
      </w:tabs>
      <w:snapToGrid w:val="0"/>
    </w:pPr>
    <w:rPr>
      <w:sz w:val="18"/>
      <w:szCs w:val="18"/>
    </w:rPr>
  </w:style>
  <w:style w:type="paragraph" w:styleId="10">
    <w:name w:val="toc 2"/>
    <w:basedOn w:val="1"/>
    <w:next w:val="1"/>
    <w:unhideWhenUsed/>
    <w:qFormat/>
    <w:uiPriority w:val="39"/>
    <w:pPr>
      <w:widowControl/>
      <w:spacing w:after="100" w:line="259" w:lineRule="auto"/>
      <w:ind w:left="220"/>
    </w:pPr>
    <w:rPr>
      <w:kern w:val="0"/>
      <w:sz w:val="22"/>
    </w:rPr>
  </w:style>
  <w:style w:type="paragraph" w:styleId="11">
    <w:name w:val="Normal (Web)"/>
    <w:basedOn w:val="1"/>
    <w:qFormat/>
    <w:uiPriority w:val="0"/>
    <w:pPr>
      <w:spacing w:beforeAutospacing="1" w:afterAutospacing="1"/>
    </w:pPr>
    <w:rPr>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5169</Words>
  <Characters>5407</Characters>
  <Lines>122</Lines>
  <Paragraphs>127</Paragraphs>
  <TotalTime>1</TotalTime>
  <ScaleCrop>false</ScaleCrop>
  <LinksUpToDate>false</LinksUpToDate>
  <CharactersWithSpaces>5494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LSX</cp:lastModifiedBy>
  <dcterms:modified xsi:type="dcterms:W3CDTF">2026-06-25T00:46:00Z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5873278687674BF091178BC59529CDEB_13</vt:lpwstr>
  </property>
  <property fmtid="{D5CDD505-2E9C-101B-9397-08002B2CF9AE}" pid="4" name="KSOTemplateDocerSaveRecord">
    <vt:lpwstr>eyJoZGlkIjoiNmY3MTJkMmE3Zjc0ZDdmZWZhMmM3NDVjMjU0NDU1NjMiLCJ1c2VySWQiOiI0Mzk0MDkwMTkifQ==</vt:lpwstr>
  </property>
</Properties>
</file>