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F2B95">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14:paraId="2A27A15C">
      <w:pPr>
        <w:adjustRightInd w:val="0"/>
        <w:snapToGrid w:val="0"/>
        <w:rPr>
          <w:sz w:val="28"/>
          <w:szCs w:val="36"/>
        </w:rPr>
      </w:pPr>
    </w:p>
    <w:p w14:paraId="4D662308">
      <w:pPr>
        <w:adjustRightInd w:val="0"/>
        <w:snapToGrid w:val="0"/>
        <w:rPr>
          <w:sz w:val="28"/>
          <w:szCs w:val="36"/>
        </w:rPr>
      </w:pPr>
    </w:p>
    <w:p w14:paraId="625AD73A">
      <w:pPr>
        <w:adjustRightInd w:val="0"/>
        <w:snapToGrid w:val="0"/>
        <w:rPr>
          <w:sz w:val="28"/>
          <w:szCs w:val="36"/>
        </w:rPr>
      </w:pPr>
    </w:p>
    <w:p w14:paraId="51FFA66F">
      <w:pPr>
        <w:adjustRightInd w:val="0"/>
        <w:snapToGrid w:val="0"/>
        <w:rPr>
          <w:sz w:val="28"/>
          <w:szCs w:val="36"/>
        </w:rPr>
      </w:pPr>
    </w:p>
    <w:p w14:paraId="57A0CC69">
      <w:pPr>
        <w:adjustRightInd w:val="0"/>
        <w:snapToGrid w:val="0"/>
        <w:rPr>
          <w:sz w:val="28"/>
          <w:szCs w:val="36"/>
        </w:rPr>
      </w:pPr>
    </w:p>
    <w:p w14:paraId="4ECEBB0D">
      <w:pPr>
        <w:adjustRightInd w:val="0"/>
        <w:snapToGrid w:val="0"/>
        <w:rPr>
          <w:sz w:val="28"/>
          <w:szCs w:val="36"/>
        </w:rPr>
      </w:pPr>
    </w:p>
    <w:p w14:paraId="6BEAB291">
      <w:pPr>
        <w:adjustRightInd w:val="0"/>
        <w:snapToGrid w:val="0"/>
        <w:rPr>
          <w:sz w:val="28"/>
          <w:szCs w:val="36"/>
        </w:rPr>
      </w:pPr>
    </w:p>
    <w:p w14:paraId="43552071">
      <w:pPr>
        <w:adjustRightInd w:val="0"/>
        <w:snapToGrid w:val="0"/>
        <w:jc w:val="center"/>
        <w:rPr>
          <w:rFonts w:hint="eastAsia" w:eastAsia="黑体"/>
          <w:b/>
          <w:sz w:val="52"/>
        </w:rPr>
      </w:pPr>
      <w:r>
        <w:rPr>
          <w:rFonts w:hint="eastAsia" w:eastAsia="黑体"/>
          <w:b/>
          <w:sz w:val="52"/>
        </w:rPr>
        <w:t>特高压过联板金具辅助工具</w:t>
      </w:r>
    </w:p>
    <w:p w14:paraId="25D16481">
      <w:pPr>
        <w:adjustRightInd w:val="0"/>
        <w:snapToGrid w:val="0"/>
        <w:jc w:val="center"/>
        <w:rPr>
          <w:rFonts w:eastAsia="黑体"/>
          <w:b/>
          <w:sz w:val="52"/>
        </w:rPr>
      </w:pPr>
      <w:r>
        <w:rPr>
          <w:rFonts w:eastAsia="黑体"/>
          <w:b/>
          <w:sz w:val="52"/>
        </w:rPr>
        <w:t>技术规范书</w:t>
      </w:r>
    </w:p>
    <w:p w14:paraId="6D097E34">
      <w:pPr>
        <w:adjustRightInd w:val="0"/>
        <w:snapToGrid w:val="0"/>
        <w:rPr>
          <w:sz w:val="28"/>
          <w:szCs w:val="36"/>
        </w:rPr>
      </w:pPr>
    </w:p>
    <w:p w14:paraId="24228B6F">
      <w:pPr>
        <w:pStyle w:val="11"/>
      </w:pPr>
    </w:p>
    <w:p w14:paraId="622D7099">
      <w:pPr>
        <w:adjustRightInd w:val="0"/>
        <w:snapToGrid w:val="0"/>
        <w:rPr>
          <w:sz w:val="28"/>
          <w:szCs w:val="36"/>
        </w:rPr>
      </w:pPr>
    </w:p>
    <w:p w14:paraId="5031AAA0">
      <w:pPr>
        <w:pStyle w:val="11"/>
        <w:rPr>
          <w:sz w:val="28"/>
          <w:szCs w:val="36"/>
        </w:rPr>
      </w:pPr>
    </w:p>
    <w:p w14:paraId="44932D83">
      <w:pPr>
        <w:pStyle w:val="11"/>
        <w:rPr>
          <w:sz w:val="28"/>
          <w:szCs w:val="36"/>
        </w:rPr>
      </w:pPr>
    </w:p>
    <w:p w14:paraId="125B6D53">
      <w:pPr>
        <w:pStyle w:val="11"/>
        <w:rPr>
          <w:sz w:val="28"/>
          <w:szCs w:val="36"/>
        </w:rPr>
      </w:pPr>
    </w:p>
    <w:p w14:paraId="78B573E3">
      <w:pPr>
        <w:adjustRightInd w:val="0"/>
        <w:snapToGrid w:val="0"/>
        <w:rPr>
          <w:sz w:val="28"/>
          <w:szCs w:val="36"/>
        </w:rPr>
      </w:pPr>
    </w:p>
    <w:p w14:paraId="642BB1E4">
      <w:pPr>
        <w:adjustRightInd w:val="0"/>
        <w:snapToGrid w:val="0"/>
        <w:rPr>
          <w:sz w:val="28"/>
          <w:szCs w:val="36"/>
        </w:rPr>
      </w:pPr>
    </w:p>
    <w:p w14:paraId="7B545D5A">
      <w:pPr>
        <w:adjustRightInd w:val="0"/>
        <w:snapToGrid w:val="0"/>
        <w:jc w:val="center"/>
        <w:rPr>
          <w:rFonts w:ascii="黑体" w:hAnsi="黑体" w:eastAsia="黑体" w:cs="黑体"/>
          <w:sz w:val="32"/>
          <w:szCs w:val="32"/>
        </w:rPr>
      </w:pPr>
      <w:r>
        <w:rPr>
          <w:rFonts w:hint="eastAsia" w:ascii="黑体" w:hAnsi="黑体" w:eastAsia="黑体" w:cs="黑体"/>
          <w:sz w:val="32"/>
          <w:szCs w:val="32"/>
        </w:rPr>
        <w:t>中国南方电网超高压输电公司南宁局</w:t>
      </w:r>
    </w:p>
    <w:p w14:paraId="6E8E4A9E">
      <w:pPr>
        <w:adjustRightInd w:val="0"/>
        <w:snapToGrid w:val="0"/>
        <w:jc w:val="center"/>
        <w:rPr>
          <w:rFonts w:hint="default" w:ascii="黑体" w:hAnsi="黑体" w:eastAsia="黑体" w:cs="黑体"/>
          <w:sz w:val="32"/>
          <w:szCs w:val="32"/>
          <w:lang w:val="en-US" w:eastAsia="zh-CN"/>
        </w:rPr>
      </w:pPr>
      <w:r>
        <w:rPr>
          <w:rFonts w:hint="eastAsia" w:ascii="黑体" w:hAnsi="黑体" w:eastAsia="黑体" w:cs="黑体"/>
          <w:sz w:val="32"/>
          <w:szCs w:val="32"/>
        </w:rPr>
        <w:t>2026年</w:t>
      </w:r>
      <w:r>
        <w:rPr>
          <w:rFonts w:hint="eastAsia" w:ascii="黑体" w:hAnsi="黑体" w:eastAsia="黑体" w:cs="黑体"/>
          <w:sz w:val="32"/>
          <w:szCs w:val="32"/>
          <w:lang w:val="en-US" w:eastAsia="zh-CN"/>
        </w:rPr>
        <w:t>6月</w:t>
      </w:r>
    </w:p>
    <w:p w14:paraId="63D1723A">
      <w:pPr>
        <w:adjustRightInd w:val="0"/>
        <w:snapToGrid w:val="0"/>
        <w:jc w:val="center"/>
        <w:rPr>
          <w:rFonts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14:paraId="75180B63">
      <w:pPr>
        <w:snapToGrid w:val="0"/>
        <w:spacing w:before="120"/>
        <w:rPr>
          <w:rFonts w:ascii="黑体" w:hAnsi="黑体" w:eastAsia="黑体" w:cs="黑体"/>
          <w:b/>
          <w:bCs/>
          <w:sz w:val="28"/>
          <w:szCs w:val="28"/>
        </w:rPr>
      </w:pPr>
      <w:r>
        <w:rPr>
          <w:rFonts w:hint="eastAsia" w:ascii="黑体" w:hAnsi="黑体" w:eastAsia="黑体" w:cs="黑体"/>
          <w:b/>
          <w:bCs/>
          <w:sz w:val="28"/>
          <w:szCs w:val="36"/>
        </w:rPr>
        <w:t>1 总则</w:t>
      </w:r>
    </w:p>
    <w:p w14:paraId="3679B985">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本技术规范书适用于</w:t>
      </w:r>
      <w:r>
        <w:rPr>
          <w:sz w:val="24"/>
        </w:rPr>
        <w:t>中国南方电网超高压输电公司</w:t>
      </w:r>
      <w:r>
        <w:rPr>
          <w:rFonts w:hint="eastAsia"/>
          <w:sz w:val="24"/>
          <w:lang w:val="en-US" w:eastAsia="zh-CN"/>
        </w:rPr>
        <w:t>南宁</w:t>
      </w:r>
      <w:r>
        <w:rPr>
          <w:sz w:val="24"/>
        </w:rPr>
        <w:t>局</w:t>
      </w:r>
      <w:r>
        <w:rPr>
          <w:rFonts w:hint="eastAsia" w:asciiTheme="minorEastAsia" w:hAnsiTheme="minorEastAsia" w:eastAsiaTheme="minorEastAsia" w:cstheme="minorEastAsia"/>
          <w:sz w:val="24"/>
        </w:rPr>
        <w:t>《特高压过联板金具辅助工具》研发、试制、现场试验、验收及交付全过程，明确工具设计、材料、结构、性能、试验、交付、售后全维度最低技术要求，投标方需提供完全满足本规范要求的成套工具及配套技术资料。</w:t>
      </w:r>
    </w:p>
    <w:p w14:paraId="5B3D58C2">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本技术规范书提出的是最低限度的技术要求，并未对一切技术细节做出规定，投标方应提供符合本规范书的项目成果。</w:t>
      </w:r>
    </w:p>
    <w:p w14:paraId="33FE692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14:paraId="6D3CDFD6">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在根据本技术规范书签订协议之后，招标方有权提出因标准或规程规范发生变化而产生的一些补充，具体项目由招标方、投标方双方共同商定。</w:t>
      </w:r>
    </w:p>
    <w:p w14:paraId="38562D8F">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 本技术规范书所使用的标准如与投标方所执行的标准发生矛盾时，按较高标准执行，本技术规范书未全部引用应用标准，凡是本技术规范书牵涉的各项内容均按最新标准实施。</w:t>
      </w:r>
    </w:p>
    <w:p w14:paraId="5D1E9818">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 xml:space="preserve"> 本技术规范书未尽事宜，由招标方与投标方双方协商确定。</w:t>
      </w:r>
    </w:p>
    <w:p w14:paraId="79BDC60E">
      <w:pPr>
        <w:snapToGrid w:val="0"/>
        <w:spacing w:before="120"/>
        <w:rPr>
          <w:rFonts w:ascii="黑体" w:hAnsi="黑体" w:eastAsia="黑体" w:cs="黑体"/>
          <w:b/>
          <w:bCs/>
          <w:sz w:val="28"/>
          <w:szCs w:val="36"/>
        </w:rPr>
      </w:pPr>
      <w:bookmarkStart w:id="0" w:name="_Toc26376"/>
      <w:bookmarkStart w:id="1" w:name="_Toc155114607"/>
      <w:bookmarkStart w:id="2" w:name="_Toc241911995"/>
      <w:r>
        <w:rPr>
          <w:rFonts w:hint="eastAsia" w:ascii="黑体" w:hAnsi="黑体" w:eastAsia="黑体" w:cs="黑体"/>
          <w:b/>
          <w:bCs/>
          <w:sz w:val="28"/>
          <w:szCs w:val="36"/>
        </w:rPr>
        <w:t xml:space="preserve">2 </w:t>
      </w:r>
      <w:bookmarkEnd w:id="0"/>
      <w:bookmarkStart w:id="3" w:name="_Toc531004264"/>
      <w:bookmarkStart w:id="4" w:name="_Toc531004210"/>
      <w:bookmarkStart w:id="5" w:name="_Toc441483964"/>
      <w:r>
        <w:rPr>
          <w:rFonts w:hint="eastAsia" w:ascii="黑体" w:hAnsi="黑体" w:eastAsia="黑体" w:cs="黑体"/>
          <w:b/>
          <w:bCs/>
          <w:sz w:val="28"/>
          <w:szCs w:val="36"/>
        </w:rPr>
        <w:t>项目有关内容</w:t>
      </w:r>
      <w:bookmarkEnd w:id="3"/>
      <w:bookmarkEnd w:id="4"/>
      <w:bookmarkEnd w:id="5"/>
    </w:p>
    <w:p w14:paraId="5D9AFC14">
      <w:pPr>
        <w:rPr>
          <w:rFonts w:hint="eastAsia" w:asciiTheme="minorEastAsia" w:hAnsiTheme="minorEastAsia" w:eastAsiaTheme="minorEastAsia" w:cstheme="minorEastAsia"/>
          <w:sz w:val="24"/>
        </w:rPr>
      </w:pPr>
      <w:bookmarkStart w:id="6" w:name="_Toc312827019"/>
      <w:bookmarkStart w:id="7" w:name="_Toc309593188"/>
      <w:bookmarkStart w:id="8" w:name="_Toc309593259"/>
      <w:bookmarkStart w:id="9" w:name="_Toc309805583"/>
      <w:r>
        <w:rPr>
          <w:rFonts w:hint="eastAsia" w:asciiTheme="minorEastAsia" w:hAnsiTheme="minorEastAsia" w:eastAsiaTheme="minorEastAsia" w:cstheme="minorEastAsia"/>
          <w:sz w:val="24"/>
          <w:lang w:val="en-US" w:eastAsia="zh-CN"/>
        </w:rPr>
        <w:t>2.1</w:t>
      </w:r>
      <w:r>
        <w:rPr>
          <w:rFonts w:hint="eastAsia" w:asciiTheme="minorEastAsia" w:hAnsiTheme="minorEastAsia" w:eastAsiaTheme="minorEastAsia" w:cstheme="minorEastAsia"/>
          <w:sz w:val="24"/>
        </w:rPr>
        <w:t>项目名称</w:t>
      </w:r>
      <w:bookmarkEnd w:id="6"/>
      <w:bookmarkEnd w:id="7"/>
      <w:bookmarkEnd w:id="8"/>
      <w:bookmarkEnd w:id="9"/>
    </w:p>
    <w:p w14:paraId="14B6C47F">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特高压过联板金具辅助工具</w:t>
      </w:r>
    </w:p>
    <w:p w14:paraId="0063F22A">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项目</w:t>
      </w:r>
      <w:r>
        <w:rPr>
          <w:rFonts w:hint="eastAsia" w:asciiTheme="minorEastAsia" w:hAnsiTheme="minorEastAsia" w:eastAsiaTheme="minorEastAsia" w:cstheme="minorEastAsia"/>
          <w:sz w:val="24"/>
          <w:lang w:val="en-US" w:eastAsia="zh-CN"/>
        </w:rPr>
        <w:t>内容</w:t>
      </w:r>
    </w:p>
    <w:bookmarkEnd w:id="1"/>
    <w:bookmarkEnd w:id="2"/>
    <w:p w14:paraId="20DBEF13">
      <w:pPr>
        <w:spacing w:before="120" w:after="120" w:line="288" w:lineRule="auto"/>
        <w:ind w:left="0"/>
        <w:jc w:val="left"/>
        <w:rPr>
          <w:rFonts w:hint="eastAsia" w:ascii="宋体" w:hAnsi="宋体" w:eastAsia="宋体" w:cs="宋体"/>
          <w:color w:val="auto"/>
          <w:sz w:val="24"/>
          <w:szCs w:val="24"/>
        </w:rPr>
      </w:pPr>
      <w:bookmarkStart w:id="10" w:name="_Toc39753999"/>
      <w:bookmarkStart w:id="11" w:name="_Toc22304900"/>
      <w:bookmarkStart w:id="12" w:name="_Toc20556"/>
      <w:bookmarkStart w:id="13" w:name="_Toc384340980"/>
      <w:bookmarkStart w:id="14" w:name="_Toc39753342"/>
      <w:r>
        <w:rPr>
          <w:rFonts w:hint="eastAsia" w:ascii="宋体" w:hAnsi="宋体" w:eastAsia="宋体" w:cs="宋体"/>
          <w:sz w:val="24"/>
          <w:szCs w:val="24"/>
        </w:rPr>
        <w:t>本项目依托特高压藏粤直流工程现场作业需求，针对当前特高压塔身 — 绝缘子</w:t>
      </w:r>
      <w:r>
        <w:rPr>
          <w:rFonts w:hint="eastAsia" w:ascii="宋体" w:hAnsi="宋体" w:eastAsia="宋体" w:cs="宋体"/>
          <w:color w:val="auto"/>
          <w:sz w:val="24"/>
          <w:szCs w:val="24"/>
        </w:rPr>
        <w:t>区间作业三大核心痛点开展工具研发：</w:t>
      </w:r>
    </w:p>
    <w:p w14:paraId="1C946450">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sz w:val="24"/>
          <w:szCs w:val="24"/>
        </w:rPr>
        <w:t>高空跨距通行安全风险高：塔身角钢至首片绝缘子跨距约 3m，无专用过渡支撑，作业人员跨越联板金具进入等电位难度大，跨步电压、高空失稳坠落隐患突出，体力消耗大、作业效率低下。</w:t>
      </w:r>
    </w:p>
    <w:p w14:paraId="6851DC0E">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sz w:val="24"/>
          <w:szCs w:val="24"/>
        </w:rPr>
        <w:t>联板金具安装无稳定着力点：现有通用绝缘工具无专用夹持定位结构，安装刹车带等连接件时易偏移、固定不牢，需反复调整，延长高空作业时长，叠加人员疲劳风险。</w:t>
      </w:r>
    </w:p>
    <w:p w14:paraId="599F976C">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3.</w:t>
      </w:r>
      <w:r>
        <w:rPr>
          <w:rFonts w:hint="eastAsia" w:ascii="宋体" w:hAnsi="宋体" w:eastAsia="宋体" w:cs="宋体"/>
          <w:b w:val="0"/>
          <w:bCs/>
          <w:color w:val="auto"/>
          <w:sz w:val="24"/>
          <w:szCs w:val="24"/>
        </w:rPr>
        <w:t>传统工器具适配性差、便携性不足：行业无特高压联板专用辅助工具，传统绝缘杆重量大、不可伸缩，高空携带、塔上转运不便，无收纳结构，无法适配藏粤直流工程竣工验收、日常运维、检修多场景作业。</w:t>
      </w:r>
    </w:p>
    <w:p w14:paraId="6E719897">
      <w:pPr>
        <w:spacing w:before="300" w:after="120" w:line="288" w:lineRule="auto"/>
        <w:ind w:left="0"/>
        <w:jc w:val="left"/>
        <w:outlineLvl w:val="2"/>
        <w:rPr>
          <w:rFonts w:hint="eastAsia" w:ascii="宋体" w:hAnsi="宋体" w:eastAsia="宋体" w:cs="宋体"/>
          <w:b w:val="0"/>
          <w:bCs/>
          <w:color w:val="auto"/>
          <w:sz w:val="24"/>
          <w:szCs w:val="24"/>
        </w:rPr>
      </w:pPr>
      <w:bookmarkStart w:id="15" w:name="heading_9"/>
      <w:r>
        <w:rPr>
          <w:rFonts w:hint="eastAsia" w:ascii="宋体" w:hAnsi="宋体" w:eastAsia="宋体" w:cs="宋体"/>
          <w:b w:val="0"/>
          <w:bCs/>
          <w:color w:val="auto"/>
          <w:sz w:val="24"/>
          <w:szCs w:val="24"/>
        </w:rPr>
        <w:t>2.3 项目总体方案</w:t>
      </w:r>
      <w:bookmarkEnd w:id="15"/>
    </w:p>
    <w:p w14:paraId="44074F20">
      <w:pPr>
        <w:spacing w:before="120" w:after="120" w:line="288" w:lineRule="auto"/>
        <w:ind w:left="0"/>
        <w:jc w:val="left"/>
        <w:rPr>
          <w:rFonts w:asciiTheme="minorEastAsia" w:hAnsiTheme="minorEastAsia" w:eastAsiaTheme="minorEastAsia" w:cstheme="minorEastAsia"/>
          <w:sz w:val="24"/>
        </w:rPr>
      </w:pPr>
      <w:r>
        <w:rPr>
          <w:rFonts w:hint="eastAsia" w:ascii="宋体" w:hAnsi="宋体" w:eastAsia="宋体" w:cs="宋体"/>
          <w:b w:val="0"/>
          <w:bCs/>
          <w:color w:val="auto"/>
          <w:sz w:val="24"/>
          <w:szCs w:val="24"/>
        </w:rPr>
        <w:t>本工具以绝缘力学、伸缩传动力学、定位夹持力学、人体工学为设计核心，完全遵循特高压带电作业安全规范，集成3m 伸缩绝缘支撑、可调式联板夹持定位、轻量化便携收纳</w:t>
      </w:r>
      <w:r>
        <w:rPr>
          <w:rFonts w:hint="eastAsia" w:ascii="宋体" w:hAnsi="宋体" w:eastAsia="宋体" w:cs="宋体"/>
          <w:sz w:val="24"/>
          <w:szCs w:val="24"/>
        </w:rPr>
        <w:t>三大模块，实现高空跨距人员通行、等电位安全过渡、联板金具精准安装一体化作业。整体采用高强度轻量化绝缘主材，分级伸缩 + 单键快锁结构，收缩后可背包携带，一套工具兼顾人员过渡与金具安装双功能，从结构、材料、操作层面同步降低高空安全风险、压缩作业时长。</w:t>
      </w:r>
    </w:p>
    <w:p w14:paraId="6773497A">
      <w:pPr>
        <w:snapToGrid w:val="0"/>
        <w:spacing w:before="120"/>
        <w:rPr>
          <w:rFonts w:ascii="黑体" w:hAnsi="黑体" w:eastAsia="黑体" w:cs="黑体"/>
          <w:b/>
          <w:bCs/>
          <w:sz w:val="28"/>
          <w:szCs w:val="36"/>
        </w:rPr>
      </w:pPr>
      <w:r>
        <w:rPr>
          <w:rFonts w:hint="eastAsia" w:ascii="黑体" w:hAnsi="黑体" w:eastAsia="黑体" w:cs="黑体"/>
          <w:b/>
          <w:bCs/>
          <w:sz w:val="28"/>
          <w:szCs w:val="36"/>
        </w:rPr>
        <w:t xml:space="preserve">3 </w:t>
      </w:r>
      <w:bookmarkEnd w:id="10"/>
      <w:bookmarkEnd w:id="11"/>
      <w:bookmarkEnd w:id="12"/>
      <w:bookmarkEnd w:id="13"/>
      <w:bookmarkEnd w:id="14"/>
      <w:r>
        <w:rPr>
          <w:rFonts w:hint="eastAsia" w:ascii="黑体" w:hAnsi="黑体" w:eastAsia="黑体" w:cs="黑体"/>
          <w:b/>
          <w:bCs/>
          <w:sz w:val="28"/>
          <w:szCs w:val="36"/>
        </w:rPr>
        <w:t>总体要求</w:t>
      </w:r>
    </w:p>
    <w:p w14:paraId="4CD6B8C4">
      <w:pPr>
        <w:adjustRightInd w:val="0"/>
        <w:snapToGrid w:val="0"/>
        <w:rPr>
          <w:rFonts w:asciiTheme="minorEastAsia" w:hAnsiTheme="minorEastAsia" w:eastAsiaTheme="minorEastAsia" w:cstheme="minorEastAsia"/>
          <w:sz w:val="24"/>
        </w:rPr>
      </w:pPr>
      <w:bookmarkStart w:id="16" w:name="_Toc482581219"/>
      <w:bookmarkStart w:id="17" w:name="_Toc448828694"/>
      <w:bookmarkStart w:id="18" w:name="_Toc457986926"/>
      <w:bookmarkStart w:id="19" w:name="_Toc146182538"/>
      <w:bookmarkStart w:id="20" w:name="_Toc459534976"/>
      <w:bookmarkStart w:id="21" w:name="_Toc155114612"/>
      <w:bookmarkStart w:id="22" w:name="_Toc455373921"/>
      <w:bookmarkStart w:id="23" w:name="_Toc114253693"/>
      <w:bookmarkStart w:id="24" w:name="_Toc457979127"/>
      <w:bookmarkStart w:id="25" w:name="_Toc455543289"/>
      <w:bookmarkStart w:id="26" w:name="_Toc241912000"/>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14:paraId="647B232C">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14:paraId="4E3AB9C2">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GB/T 18037-2025《带电作业工具设备基本技术要求与设计导则》</w:t>
      </w:r>
    </w:p>
    <w:p w14:paraId="7E42A96B">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DL/T 976《带电作业工具、装置和设备预防性试验规程》</w:t>
      </w:r>
    </w:p>
    <w:p w14:paraId="0722A510">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GB 50790《±800kV 直流架空输电线路设计规范》</w:t>
      </w:r>
    </w:p>
    <w:p w14:paraId="2B65F39C">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Q/GDW 11675《±1100kV 直流架空输电线路设计规范》</w:t>
      </w:r>
    </w:p>
    <w:p w14:paraId="050E1142">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Q/CSG 1205008《南方电网带电作业安全工作规程》</w:t>
      </w:r>
    </w:p>
    <w:p w14:paraId="49F5CBD7">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Q/CSG 2153002《南方电网安全工器具管理细则》</w:t>
      </w:r>
    </w:p>
    <w:p w14:paraId="2BD44466">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GB/T 14268《带电作业工具设备术语》</w:t>
      </w:r>
    </w:p>
    <w:p w14:paraId="09D92778">
      <w:r>
        <w:rPr>
          <w:rFonts w:hint="eastAsia" w:ascii="Times New Roman" w:hAnsi="Times New Roman"/>
          <w:szCs w:val="21"/>
        </w:rPr>
        <w:t>注：上述标准是招标方</w:t>
      </w:r>
      <w:r>
        <w:rPr>
          <w:rFonts w:hint="eastAsia" w:ascii="Times New Roman" w:hAnsi="Times New Roman"/>
          <w:szCs w:val="21"/>
          <w:lang w:val="en-US" w:eastAsia="zh-CN"/>
        </w:rPr>
        <w:t>基本</w:t>
      </w:r>
      <w:r>
        <w:rPr>
          <w:rFonts w:hint="eastAsia" w:ascii="Times New Roman" w:hAnsi="Times New Roman"/>
          <w:szCs w:val="21"/>
        </w:rPr>
        <w:t>要求。除此标准以外，投标人可以推荐其他标准，但事先必须通过招标方认可，或选择其中较高标准。</w:t>
      </w:r>
    </w:p>
    <w:p w14:paraId="6ACBD1E7">
      <w:pPr>
        <w:snapToGrid w:val="0"/>
        <w:spacing w:before="120"/>
        <w:rPr>
          <w:rFonts w:ascii="黑体" w:hAnsi="黑体" w:eastAsia="黑体" w:cs="黑体"/>
          <w:b/>
          <w:bCs/>
          <w:sz w:val="28"/>
          <w:szCs w:val="36"/>
        </w:rPr>
      </w:pPr>
      <w:bookmarkStart w:id="27" w:name="_Toc39753345"/>
      <w:bookmarkStart w:id="28" w:name="_Toc32408"/>
      <w:bookmarkStart w:id="29" w:name="_Toc384340984"/>
      <w:bookmarkStart w:id="30" w:name="_Toc39754002"/>
      <w:bookmarkStart w:id="31" w:name="_Toc22304904"/>
      <w:bookmarkStart w:id="32" w:name="_Toc282993253"/>
      <w:r>
        <w:rPr>
          <w:rFonts w:hint="eastAsia" w:ascii="黑体" w:hAnsi="黑体" w:eastAsia="黑体" w:cs="黑体"/>
          <w:b/>
          <w:bCs/>
          <w:sz w:val="28"/>
          <w:szCs w:val="36"/>
        </w:rPr>
        <w:t>4 技术要求</w:t>
      </w:r>
      <w:bookmarkEnd w:id="27"/>
      <w:bookmarkEnd w:id="28"/>
      <w:bookmarkEnd w:id="29"/>
      <w:bookmarkEnd w:id="30"/>
      <w:bookmarkEnd w:id="31"/>
      <w:bookmarkEnd w:id="32"/>
    </w:p>
    <w:p w14:paraId="4CC7155C">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 xml:space="preserve"> 研究内容</w:t>
      </w:r>
    </w:p>
    <w:p w14:paraId="0C8B42D7">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.1 主要项目内容</w:t>
      </w:r>
    </w:p>
    <w:p w14:paraId="558FF278">
      <w:pPr>
        <w:adjustRightInd w:val="0"/>
        <w:snapToGrid w:val="0"/>
        <w:rPr>
          <w:rFonts w:ascii="宋体" w:hAnsi="宋体"/>
          <w:sz w:val="24"/>
        </w:rPr>
      </w:pPr>
      <w:r>
        <w:rPr>
          <w:rFonts w:hint="eastAsia" w:ascii="宋体" w:hAnsi="宋体"/>
          <w:sz w:val="24"/>
        </w:rPr>
        <w:t>主要项目内容按照以下工作内容及要求开展：</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14:paraId="4527D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14:paraId="0E55C08F">
            <w:pPr>
              <w:spacing w:line="240" w:lineRule="auto"/>
              <w:jc w:val="center"/>
              <w:rPr>
                <w:rFonts w:ascii="宋体" w:hAnsi="宋体" w:cs="宋体"/>
                <w:b/>
                <w:bCs/>
                <w:szCs w:val="21"/>
              </w:rPr>
            </w:pPr>
            <w:r>
              <w:rPr>
                <w:rFonts w:hint="eastAsia" w:ascii="宋体" w:hAnsi="宋体" w:cs="宋体"/>
                <w:b/>
                <w:bCs/>
                <w:szCs w:val="21"/>
              </w:rPr>
              <w:t>序号</w:t>
            </w:r>
          </w:p>
        </w:tc>
        <w:tc>
          <w:tcPr>
            <w:tcW w:w="2985" w:type="dxa"/>
            <w:vAlign w:val="center"/>
          </w:tcPr>
          <w:p w14:paraId="0AC8F50F">
            <w:pPr>
              <w:spacing w:line="240" w:lineRule="auto"/>
              <w:jc w:val="center"/>
              <w:rPr>
                <w:rFonts w:ascii="宋体" w:hAnsi="宋体" w:cs="宋体"/>
                <w:b/>
                <w:bCs/>
                <w:szCs w:val="21"/>
              </w:rPr>
            </w:pPr>
            <w:r>
              <w:rPr>
                <w:rFonts w:hint="eastAsia" w:ascii="宋体" w:hAnsi="宋体" w:cs="宋体"/>
                <w:b/>
                <w:bCs/>
                <w:szCs w:val="21"/>
              </w:rPr>
              <w:t>主要项目内容</w:t>
            </w:r>
          </w:p>
        </w:tc>
        <w:tc>
          <w:tcPr>
            <w:tcW w:w="2363" w:type="dxa"/>
            <w:vAlign w:val="center"/>
          </w:tcPr>
          <w:p w14:paraId="5A6E0263">
            <w:pPr>
              <w:spacing w:line="240" w:lineRule="auto"/>
              <w:jc w:val="center"/>
              <w:rPr>
                <w:rFonts w:ascii="宋体" w:hAnsi="宋体" w:cs="宋体"/>
                <w:b/>
                <w:bCs/>
                <w:szCs w:val="21"/>
              </w:rPr>
            </w:pPr>
            <w:r>
              <w:rPr>
                <w:rFonts w:hint="eastAsia" w:ascii="宋体" w:hAnsi="宋体" w:cs="宋体"/>
                <w:b/>
                <w:bCs/>
                <w:szCs w:val="21"/>
              </w:rPr>
              <w:t>交付物</w:t>
            </w:r>
          </w:p>
        </w:tc>
        <w:tc>
          <w:tcPr>
            <w:tcW w:w="2357" w:type="dxa"/>
            <w:vAlign w:val="center"/>
          </w:tcPr>
          <w:p w14:paraId="495E63CF">
            <w:pPr>
              <w:spacing w:line="240" w:lineRule="auto"/>
              <w:jc w:val="center"/>
              <w:rPr>
                <w:rFonts w:ascii="宋体" w:hAnsi="宋体" w:cs="宋体"/>
                <w:b/>
                <w:bCs/>
                <w:szCs w:val="21"/>
              </w:rPr>
            </w:pPr>
            <w:r>
              <w:rPr>
                <w:rFonts w:hint="eastAsia" w:ascii="宋体" w:hAnsi="宋体" w:cs="宋体"/>
                <w:b/>
                <w:bCs/>
                <w:szCs w:val="21"/>
              </w:rPr>
              <w:t>时间要求</w:t>
            </w:r>
          </w:p>
        </w:tc>
      </w:tr>
      <w:tr w14:paraId="358C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14:paraId="25C39E5D">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1</w:t>
            </w:r>
          </w:p>
        </w:tc>
        <w:tc>
          <w:tcPr>
            <w:tcW w:w="2985" w:type="dxa"/>
            <w:shd w:val="clear" w:color="auto" w:fill="auto"/>
            <w:vAlign w:val="top"/>
          </w:tcPr>
          <w:p w14:paraId="5C9F2C67">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成套特高压过联板金具辅助工具研发、样机试制、结构优化、全套图纸编制</w:t>
            </w:r>
          </w:p>
        </w:tc>
        <w:tc>
          <w:tcPr>
            <w:tcW w:w="2363" w:type="dxa"/>
            <w:shd w:val="clear" w:color="auto" w:fill="auto"/>
            <w:vAlign w:val="top"/>
          </w:tcPr>
          <w:p w14:paraId="6177445B">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完整成套工具 1 套、全套设计加工图纸</w:t>
            </w:r>
          </w:p>
        </w:tc>
        <w:tc>
          <w:tcPr>
            <w:tcW w:w="2357" w:type="dxa"/>
            <w:vAlign w:val="top"/>
          </w:tcPr>
          <w:p w14:paraId="37864833">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2026 年 1</w:t>
            </w:r>
            <w:r>
              <w:rPr>
                <w:rFonts w:hint="eastAsia" w:ascii="宋体" w:hAnsi="宋体" w:eastAsia="宋体" w:cs="宋体"/>
                <w:sz w:val="21"/>
                <w:szCs w:val="21"/>
                <w:lang w:val="en-US" w:eastAsia="zh-CN"/>
              </w:rPr>
              <w:t>0</w:t>
            </w:r>
            <w:r>
              <w:rPr>
                <w:rFonts w:hint="eastAsia" w:ascii="宋体" w:hAnsi="宋体" w:eastAsia="宋体" w:cs="宋体"/>
                <w:sz w:val="21"/>
                <w:szCs w:val="21"/>
              </w:rPr>
              <w:t xml:space="preserve"> 月</w:t>
            </w:r>
          </w:p>
        </w:tc>
      </w:tr>
      <w:tr w14:paraId="5899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14:paraId="4D608D8F">
            <w:pPr>
              <w:spacing w:before="120" w:after="120" w:line="288" w:lineRule="auto"/>
              <w:ind w:left="0" w:leftChars="0"/>
              <w:jc w:val="center"/>
              <w:rPr>
                <w:rFonts w:hint="eastAsia" w:ascii="宋体" w:hAnsi="宋体" w:eastAsia="宋体" w:cs="宋体"/>
                <w:sz w:val="21"/>
                <w:szCs w:val="21"/>
                <w:lang w:eastAsia="zh-CN"/>
              </w:rPr>
            </w:pPr>
            <w:r>
              <w:rPr>
                <w:rFonts w:hint="eastAsia" w:ascii="宋体" w:hAnsi="宋体" w:cs="宋体"/>
                <w:sz w:val="21"/>
                <w:szCs w:val="21"/>
                <w:lang w:val="en-US" w:eastAsia="zh-CN"/>
              </w:rPr>
              <w:t>2</w:t>
            </w:r>
          </w:p>
        </w:tc>
        <w:tc>
          <w:tcPr>
            <w:tcW w:w="2985" w:type="dxa"/>
            <w:shd w:val="clear" w:color="auto" w:fill="auto"/>
            <w:vAlign w:val="top"/>
          </w:tcPr>
          <w:p w14:paraId="0C239792">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配套技术成果申报：技术论文撰写、专利申报材料编制</w:t>
            </w:r>
          </w:p>
        </w:tc>
        <w:tc>
          <w:tcPr>
            <w:tcW w:w="2363" w:type="dxa"/>
            <w:shd w:val="clear" w:color="auto" w:fill="auto"/>
            <w:vAlign w:val="top"/>
          </w:tcPr>
          <w:p w14:paraId="4C7A6FBD">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专业技术论文 1 篇、专利受理通知书</w:t>
            </w:r>
          </w:p>
        </w:tc>
        <w:tc>
          <w:tcPr>
            <w:tcW w:w="2357" w:type="dxa"/>
            <w:vAlign w:val="top"/>
          </w:tcPr>
          <w:p w14:paraId="101D8C3E">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2026 年 1</w:t>
            </w:r>
            <w:r>
              <w:rPr>
                <w:rFonts w:hint="eastAsia" w:ascii="宋体" w:hAnsi="宋体" w:eastAsia="宋体" w:cs="宋体"/>
                <w:sz w:val="21"/>
                <w:szCs w:val="21"/>
                <w:lang w:val="en-US" w:eastAsia="zh-CN"/>
              </w:rPr>
              <w:t>1</w:t>
            </w:r>
            <w:r>
              <w:rPr>
                <w:rFonts w:hint="eastAsia" w:ascii="宋体" w:hAnsi="宋体" w:eastAsia="宋体" w:cs="宋体"/>
                <w:sz w:val="21"/>
                <w:szCs w:val="21"/>
              </w:rPr>
              <w:t xml:space="preserve"> 月</w:t>
            </w:r>
          </w:p>
        </w:tc>
      </w:tr>
      <w:tr w14:paraId="233C4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14:paraId="2A9CFB93">
            <w:pPr>
              <w:spacing w:before="120" w:after="120" w:line="288" w:lineRule="auto"/>
              <w:ind w:left="0" w:leftChars="0"/>
              <w:jc w:val="center"/>
              <w:rPr>
                <w:rFonts w:hint="eastAsia" w:ascii="宋体" w:hAnsi="宋体" w:eastAsia="宋体" w:cs="宋体"/>
                <w:sz w:val="21"/>
                <w:szCs w:val="21"/>
                <w:lang w:eastAsia="zh-CN"/>
              </w:rPr>
            </w:pPr>
            <w:r>
              <w:rPr>
                <w:rFonts w:hint="eastAsia" w:ascii="宋体" w:hAnsi="宋体" w:cs="宋体"/>
                <w:sz w:val="21"/>
                <w:szCs w:val="21"/>
                <w:lang w:val="en-US" w:eastAsia="zh-CN"/>
              </w:rPr>
              <w:t>3</w:t>
            </w:r>
          </w:p>
        </w:tc>
        <w:tc>
          <w:tcPr>
            <w:tcW w:w="2985" w:type="dxa"/>
            <w:shd w:val="clear" w:color="auto" w:fill="auto"/>
            <w:vAlign w:val="top"/>
          </w:tcPr>
          <w:p w14:paraId="567E9AB9">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项目全流程验收、人员实操培训</w:t>
            </w:r>
          </w:p>
        </w:tc>
        <w:tc>
          <w:tcPr>
            <w:tcW w:w="2363" w:type="dxa"/>
            <w:shd w:val="clear" w:color="auto" w:fill="auto"/>
            <w:vAlign w:val="top"/>
          </w:tcPr>
          <w:p w14:paraId="2AB2C982">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项目结题全套验收资料、作业人员实操培训、</w:t>
            </w:r>
          </w:p>
        </w:tc>
        <w:tc>
          <w:tcPr>
            <w:tcW w:w="2357" w:type="dxa"/>
            <w:vAlign w:val="top"/>
          </w:tcPr>
          <w:p w14:paraId="376FFA25">
            <w:pPr>
              <w:spacing w:before="120" w:after="120" w:line="288" w:lineRule="auto"/>
              <w:ind w:left="0" w:leftChars="0"/>
              <w:jc w:val="center"/>
              <w:rPr>
                <w:rFonts w:hint="eastAsia" w:ascii="宋体" w:hAnsi="宋体" w:eastAsia="宋体" w:cs="宋体"/>
                <w:sz w:val="21"/>
                <w:szCs w:val="21"/>
              </w:rPr>
            </w:pPr>
            <w:r>
              <w:rPr>
                <w:rFonts w:hint="eastAsia" w:ascii="宋体" w:hAnsi="宋体" w:eastAsia="宋体" w:cs="宋体"/>
                <w:sz w:val="21"/>
                <w:szCs w:val="21"/>
              </w:rPr>
              <w:t>2026 年 12 月</w:t>
            </w:r>
          </w:p>
        </w:tc>
      </w:tr>
    </w:tbl>
    <w:p w14:paraId="624F65C0">
      <w:pPr>
        <w:spacing w:before="300" w:after="120" w:line="288" w:lineRule="auto"/>
        <w:ind w:left="0"/>
        <w:jc w:val="left"/>
        <w:outlineLvl w:val="2"/>
        <w:rPr>
          <w:rFonts w:hint="eastAsia" w:ascii="宋体" w:hAnsi="宋体" w:eastAsia="宋体" w:cs="宋体"/>
          <w:b w:val="0"/>
          <w:bCs/>
          <w:color w:val="auto"/>
          <w:sz w:val="24"/>
          <w:szCs w:val="24"/>
        </w:rPr>
      </w:pPr>
      <w:bookmarkStart w:id="33" w:name="heading_15"/>
      <w:r>
        <w:rPr>
          <w:rFonts w:hint="eastAsia" w:ascii="宋体" w:hAnsi="宋体" w:eastAsia="宋体" w:cs="宋体"/>
          <w:b w:val="0"/>
          <w:bCs/>
          <w:color w:val="auto"/>
          <w:sz w:val="24"/>
          <w:szCs w:val="24"/>
        </w:rPr>
        <w:t>4.2 工具整体设计通用要求</w:t>
      </w:r>
      <w:bookmarkEnd w:id="33"/>
    </w:p>
    <w:p w14:paraId="5D46BA4E">
      <w:pPr>
        <w:spacing w:before="260" w:after="120" w:line="288" w:lineRule="auto"/>
        <w:ind w:left="0"/>
        <w:jc w:val="left"/>
        <w:outlineLvl w:val="3"/>
        <w:rPr>
          <w:rFonts w:hint="eastAsia" w:ascii="宋体" w:hAnsi="宋体" w:eastAsia="宋体" w:cs="宋体"/>
          <w:b w:val="0"/>
          <w:bCs/>
          <w:color w:val="auto"/>
          <w:sz w:val="24"/>
          <w:szCs w:val="24"/>
        </w:rPr>
      </w:pPr>
      <w:bookmarkStart w:id="34" w:name="heading_16"/>
      <w:r>
        <w:rPr>
          <w:rFonts w:hint="eastAsia" w:ascii="宋体" w:hAnsi="宋体" w:eastAsia="宋体" w:cs="宋体"/>
          <w:b w:val="0"/>
          <w:bCs/>
          <w:color w:val="auto"/>
          <w:sz w:val="24"/>
          <w:szCs w:val="24"/>
        </w:rPr>
        <w:t>4.2.1 可靠性与稳定性</w:t>
      </w:r>
      <w:bookmarkEnd w:id="34"/>
    </w:p>
    <w:p w14:paraId="685619A5">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sz w:val="24"/>
          <w:szCs w:val="24"/>
        </w:rPr>
        <w:t>伸缩锁止机构满载受力无打滑、无永久变形，长期户外高低温、潮湿、积污工况下结构不失效；</w:t>
      </w:r>
    </w:p>
    <w:p w14:paraId="316BDC4F">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sz w:val="24"/>
          <w:szCs w:val="24"/>
        </w:rPr>
        <w:t>绝缘杆整体绝缘性能长期稳定，防污闪、耐候，无导电隐患；</w:t>
      </w:r>
    </w:p>
    <w:p w14:paraId="05D7DA60">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3.</w:t>
      </w:r>
      <w:r>
        <w:rPr>
          <w:rFonts w:hint="eastAsia" w:ascii="宋体" w:hAnsi="宋体" w:eastAsia="宋体" w:cs="宋体"/>
          <w:b w:val="0"/>
          <w:bCs/>
          <w:color w:val="auto"/>
          <w:sz w:val="24"/>
          <w:szCs w:val="24"/>
        </w:rPr>
        <w:t>夹持模块长期反复开合无松动、间隙扩大，适配多规格联板不滑脱。</w:t>
      </w:r>
    </w:p>
    <w:p w14:paraId="088657B7">
      <w:pPr>
        <w:spacing w:before="260" w:after="120" w:line="288" w:lineRule="auto"/>
        <w:ind w:left="0"/>
        <w:jc w:val="left"/>
        <w:outlineLvl w:val="3"/>
        <w:rPr>
          <w:rFonts w:hint="eastAsia" w:ascii="宋体" w:hAnsi="宋体" w:eastAsia="宋体" w:cs="宋体"/>
          <w:b w:val="0"/>
          <w:bCs/>
          <w:color w:val="auto"/>
          <w:sz w:val="24"/>
          <w:szCs w:val="24"/>
        </w:rPr>
      </w:pPr>
      <w:bookmarkStart w:id="35" w:name="heading_17"/>
      <w:r>
        <w:rPr>
          <w:rFonts w:hint="eastAsia" w:ascii="宋体" w:hAnsi="宋体" w:eastAsia="宋体" w:cs="宋体"/>
          <w:b w:val="0"/>
          <w:bCs/>
          <w:color w:val="auto"/>
          <w:sz w:val="24"/>
          <w:szCs w:val="24"/>
        </w:rPr>
        <w:t>4.2.2 人机易用性</w:t>
      </w:r>
      <w:bookmarkEnd w:id="35"/>
    </w:p>
    <w:p w14:paraId="74FBD722">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sz w:val="24"/>
          <w:szCs w:val="24"/>
        </w:rPr>
        <w:t>单人高空可完成伸缩、锁止、夹持操作；</w:t>
      </w:r>
    </w:p>
    <w:p w14:paraId="5264402B">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sz w:val="24"/>
          <w:szCs w:val="24"/>
        </w:rPr>
        <w:t>整体轻量化设计，平衡承重与自重，降低高空手持、背负体力消耗；</w:t>
      </w:r>
    </w:p>
    <w:p w14:paraId="423373EA">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3.</w:t>
      </w:r>
      <w:r>
        <w:rPr>
          <w:rFonts w:hint="eastAsia" w:ascii="宋体" w:hAnsi="宋体" w:eastAsia="宋体" w:cs="宋体"/>
          <w:b w:val="0"/>
          <w:bCs/>
          <w:color w:val="auto"/>
          <w:sz w:val="24"/>
          <w:szCs w:val="24"/>
        </w:rPr>
        <w:t>端部防滑支撑头、夹持模块圆弧倒角，无尖锐棱角，避免划伤金具、划伤作业人员。</w:t>
      </w:r>
    </w:p>
    <w:p w14:paraId="4B2E3502">
      <w:pPr>
        <w:spacing w:before="260" w:after="120" w:line="288" w:lineRule="auto"/>
        <w:ind w:left="0"/>
        <w:jc w:val="left"/>
        <w:outlineLvl w:val="3"/>
        <w:rPr>
          <w:rFonts w:hint="eastAsia" w:ascii="宋体" w:hAnsi="宋体" w:eastAsia="宋体" w:cs="宋体"/>
          <w:b w:val="0"/>
          <w:bCs/>
          <w:color w:val="auto"/>
          <w:sz w:val="24"/>
          <w:szCs w:val="24"/>
        </w:rPr>
      </w:pPr>
      <w:bookmarkStart w:id="36" w:name="heading_18"/>
      <w:r>
        <w:rPr>
          <w:rFonts w:hint="eastAsia" w:ascii="宋体" w:hAnsi="宋体" w:eastAsia="宋体" w:cs="宋体"/>
          <w:b w:val="0"/>
          <w:bCs/>
          <w:color w:val="auto"/>
          <w:sz w:val="24"/>
          <w:szCs w:val="24"/>
        </w:rPr>
        <w:t>4.2.3 便携收纳要求</w:t>
      </w:r>
      <w:bookmarkEnd w:id="36"/>
    </w:p>
    <w:p w14:paraId="37CE3342">
      <w:pPr>
        <w:spacing w:before="120" w:after="120" w:line="288" w:lineRule="auto"/>
        <w:ind w:left="0"/>
        <w:jc w:val="left"/>
        <w:rPr>
          <w:rFonts w:ascii="宋体" w:hAnsi="宋体" w:cs="宋体"/>
          <w:color w:val="000000"/>
          <w:sz w:val="24"/>
        </w:rPr>
      </w:pPr>
      <w:r>
        <w:rPr>
          <w:rFonts w:hint="eastAsia" w:ascii="宋体" w:hAnsi="宋体" w:eastAsia="宋体" w:cs="宋体"/>
          <w:b w:val="0"/>
          <w:bCs/>
          <w:color w:val="auto"/>
          <w:sz w:val="24"/>
          <w:szCs w:val="24"/>
        </w:rPr>
        <w:t>采用分级分段伸缩结构，无需拆分大件，塔上快速展开，收纳、转运、存放便捷</w:t>
      </w:r>
      <w:r>
        <w:rPr>
          <w:rFonts w:hint="eastAsia" w:ascii="宋体" w:hAnsi="宋体"/>
          <w:sz w:val="24"/>
        </w:rPr>
        <w:t>。</w:t>
      </w:r>
    </w:p>
    <w:bookmarkEnd w:id="16"/>
    <w:bookmarkEnd w:id="17"/>
    <w:bookmarkEnd w:id="18"/>
    <w:bookmarkEnd w:id="19"/>
    <w:bookmarkEnd w:id="20"/>
    <w:bookmarkEnd w:id="21"/>
    <w:bookmarkEnd w:id="22"/>
    <w:bookmarkEnd w:id="23"/>
    <w:bookmarkEnd w:id="24"/>
    <w:bookmarkEnd w:id="25"/>
    <w:bookmarkEnd w:id="26"/>
    <w:p w14:paraId="7C914E8E">
      <w:pPr>
        <w:rPr>
          <w:rFonts w:ascii="宋体" w:hAnsi="宋体" w:cs="宋体"/>
          <w:sz w:val="24"/>
        </w:rPr>
      </w:pPr>
      <w:bookmarkStart w:id="37" w:name="_Toc20013"/>
      <w:r>
        <w:rPr>
          <w:rFonts w:hint="eastAsia" w:ascii="宋体" w:hAnsi="宋体" w:cs="宋体"/>
          <w:sz w:val="24"/>
        </w:rPr>
        <w:t>4.</w:t>
      </w:r>
      <w:r>
        <w:rPr>
          <w:rFonts w:hint="eastAsia" w:ascii="宋体" w:hAnsi="宋体" w:cs="宋体"/>
          <w:sz w:val="24"/>
          <w:lang w:val="en-US" w:eastAsia="zh-CN"/>
        </w:rPr>
        <w:t>3</w:t>
      </w:r>
      <w:r>
        <w:rPr>
          <w:rFonts w:hint="eastAsia" w:ascii="宋体" w:hAnsi="宋体" w:cs="宋体"/>
          <w:sz w:val="24"/>
        </w:rPr>
        <w:t xml:space="preserve"> 研究成果。</w:t>
      </w:r>
      <w:bookmarkEnd w:id="37"/>
      <w:r>
        <w:rPr>
          <w:rFonts w:hint="eastAsia" w:ascii="宋体" w:hAnsi="宋体" w:cs="宋体"/>
          <w:sz w:val="24"/>
        </w:rPr>
        <w:t>通过项目实施，制定符合超高压输电公司实际。投标方提供的图纸、资料、文件应使用国家法定单位制即国际单位制，语言为中文。资料的组织结构清晰、逻辑性强。资料内容要正确、准确、一致、清晰、完整。</w:t>
      </w:r>
      <w:bookmarkStart w:id="38" w:name="_Toc309805604"/>
      <w:bookmarkStart w:id="39" w:name="_Toc531004215"/>
      <w:bookmarkStart w:id="40" w:name="_Toc531004269"/>
      <w:bookmarkStart w:id="41" w:name="_Toc309593209"/>
      <w:bookmarkStart w:id="42" w:name="_Toc309593280"/>
      <w:bookmarkStart w:id="43" w:name="_Toc312827040"/>
      <w:bookmarkStart w:id="44" w:name="_Toc441483969"/>
      <w:bookmarkStart w:id="45" w:name="_Toc18633"/>
    </w:p>
    <w:p w14:paraId="6D7F86C8">
      <w:pPr>
        <w:pStyle w:val="7"/>
        <w:rPr>
          <w:rFonts w:hAnsi="宋体"/>
          <w:sz w:val="24"/>
        </w:rPr>
      </w:pPr>
      <w:r>
        <w:rPr>
          <w:rFonts w:hint="eastAsia" w:hAnsi="宋体" w:cs="宋体"/>
          <w:sz w:val="24"/>
          <w:szCs w:val="24"/>
        </w:rPr>
        <w:t>4.</w:t>
      </w:r>
      <w:r>
        <w:rPr>
          <w:rFonts w:hint="eastAsia" w:hAnsi="宋体" w:cs="宋体"/>
          <w:sz w:val="24"/>
          <w:szCs w:val="24"/>
          <w:lang w:val="en-US" w:eastAsia="zh-CN"/>
        </w:rPr>
        <w:t>4</w:t>
      </w:r>
      <w:r>
        <w:rPr>
          <w:rFonts w:hint="eastAsia" w:hAnsi="宋体" w:cs="宋体"/>
          <w:sz w:val="24"/>
          <w:szCs w:val="24"/>
        </w:rPr>
        <w:t xml:space="preserve"> </w:t>
      </w:r>
      <w:r>
        <w:rPr>
          <w:rFonts w:hint="eastAsia"/>
          <w:sz w:val="24"/>
        </w:rPr>
        <w:t>招标方技术团队有权对投标方研发制造全过程的技术工作进行检查监督，有权参与设备图纸设计、审核、主要原材料选用、重大技术变更等关键技术环节工作。投标方应在设备研发、制造主要技术节点通知招标方技术团队参与</w:t>
      </w:r>
      <w:r>
        <w:rPr>
          <w:rFonts w:hint="eastAsia" w:hAnsi="宋体"/>
          <w:sz w:val="24"/>
        </w:rPr>
        <w:t>。</w:t>
      </w:r>
    </w:p>
    <w:p w14:paraId="5062A7C2">
      <w:pPr>
        <w:autoSpaceDN w:val="0"/>
        <w:rPr>
          <w:rFonts w:ascii="宋体" w:hAnsi="宋体"/>
          <w:sz w:val="24"/>
          <w:szCs w:val="21"/>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rPr>
        <w:t xml:space="preserve"> </w:t>
      </w:r>
      <w:r>
        <w:rPr>
          <w:rFonts w:hint="eastAsia" w:ascii="宋体" w:hAnsi="宋体"/>
          <w:sz w:val="24"/>
          <w:szCs w:val="21"/>
        </w:rPr>
        <w:t>为保证投标方有效进行技术服务工作，招标方提供与项目有关的技术资料，并协助投标方协调项目实施过程中所需解决的事项。</w:t>
      </w:r>
    </w:p>
    <w:p w14:paraId="73CA961D">
      <w:pPr>
        <w:pStyle w:val="7"/>
        <w:rPr>
          <w:rFonts w:hAnsi="宋体"/>
          <w:sz w:val="24"/>
        </w:rPr>
      </w:pPr>
      <w:r>
        <w:rPr>
          <w:rFonts w:hint="eastAsia" w:hAnsi="宋体" w:cs="宋体"/>
          <w:sz w:val="24"/>
          <w:szCs w:val="24"/>
        </w:rPr>
        <w:t>4.</w:t>
      </w:r>
      <w:r>
        <w:rPr>
          <w:rFonts w:hint="eastAsia" w:hAnsi="宋体" w:cs="宋体"/>
          <w:sz w:val="24"/>
          <w:szCs w:val="24"/>
          <w:lang w:val="en-US" w:eastAsia="zh-CN"/>
        </w:rPr>
        <w:t>6</w:t>
      </w:r>
      <w:r>
        <w:rPr>
          <w:rFonts w:hint="eastAsia" w:hAnsi="宋体" w:cs="宋体"/>
          <w:sz w:val="24"/>
          <w:szCs w:val="24"/>
        </w:rPr>
        <w:t>双</w:t>
      </w:r>
      <w:r>
        <w:rPr>
          <w:rFonts w:hint="eastAsia" w:hAnsi="宋体"/>
          <w:sz w:val="24"/>
        </w:rPr>
        <w:t>方确定，在项目进行期内，双方均指定项目联系人。项目联系人承担以下责任：</w:t>
      </w:r>
    </w:p>
    <w:p w14:paraId="3DEDD22B">
      <w:pPr>
        <w:pStyle w:val="7"/>
        <w:rPr>
          <w:rFonts w:hAnsi="宋体"/>
          <w:sz w:val="24"/>
        </w:rPr>
      </w:pPr>
      <w:r>
        <w:rPr>
          <w:rFonts w:hint="eastAsia" w:ascii="Times New Roman" w:hAnsi="Times New Roman"/>
          <w:sz w:val="24"/>
        </w:rPr>
        <w:t>（1）沟通项目所需资料的收集</w:t>
      </w:r>
      <w:r>
        <w:rPr>
          <w:rFonts w:hint="eastAsia" w:hAnsi="宋体"/>
          <w:sz w:val="24"/>
        </w:rPr>
        <w:t>。</w:t>
      </w:r>
    </w:p>
    <w:p w14:paraId="67A48A5E">
      <w:pPr>
        <w:pStyle w:val="7"/>
        <w:rPr>
          <w:rFonts w:hAnsi="宋体"/>
          <w:sz w:val="24"/>
        </w:rPr>
      </w:pPr>
      <w:r>
        <w:rPr>
          <w:rFonts w:hint="eastAsia" w:ascii="Times New Roman" w:hAnsi="Times New Roman"/>
          <w:sz w:val="24"/>
        </w:rPr>
        <w:t>（2）沟通项目进度信息。</w:t>
      </w:r>
    </w:p>
    <w:p w14:paraId="2E5D34AE">
      <w:pPr>
        <w:pStyle w:val="7"/>
        <w:rPr>
          <w:rFonts w:hAnsi="宋体"/>
          <w:sz w:val="24"/>
        </w:rPr>
      </w:pPr>
      <w:r>
        <w:rPr>
          <w:rFonts w:hint="eastAsia" w:ascii="Times New Roman" w:hAnsi="Times New Roman"/>
          <w:sz w:val="24"/>
        </w:rPr>
        <w:t>（3）协商解决项目执行过程中遇到的问题。</w:t>
      </w:r>
    </w:p>
    <w:p w14:paraId="48BACCB4">
      <w:pPr>
        <w:pStyle w:val="7"/>
        <w:ind w:firstLine="480" w:firstLineChars="200"/>
        <w:rPr>
          <w:rFonts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14:paraId="414BF8E5">
      <w:pPr>
        <w:pStyle w:val="7"/>
        <w:rPr>
          <w:rFonts w:hAnsi="宋体"/>
          <w:sz w:val="24"/>
        </w:rPr>
      </w:pPr>
      <w:r>
        <w:rPr>
          <w:rFonts w:hint="eastAsia" w:hAnsi="宋体" w:cs="宋体"/>
          <w:sz w:val="24"/>
          <w:szCs w:val="24"/>
        </w:rPr>
        <w:t>4.</w:t>
      </w:r>
      <w:r>
        <w:rPr>
          <w:rFonts w:hint="eastAsia" w:hAnsi="宋体" w:cs="宋体"/>
          <w:sz w:val="24"/>
          <w:szCs w:val="24"/>
          <w:lang w:val="en-US" w:eastAsia="zh-CN"/>
        </w:rPr>
        <w:t>7</w:t>
      </w:r>
      <w:r>
        <w:rPr>
          <w:rFonts w:hint="eastAsia" w:hAnsi="宋体" w:cs="宋体"/>
          <w:sz w:val="24"/>
          <w:szCs w:val="24"/>
        </w:rPr>
        <w:t>双</w:t>
      </w:r>
      <w:r>
        <w:rPr>
          <w:rFonts w:hAnsi="宋体"/>
          <w:sz w:val="24"/>
        </w:rPr>
        <w:t>方确定</w:t>
      </w:r>
      <w:r>
        <w:rPr>
          <w:rFonts w:hint="eastAsia" w:hAnsi="宋体"/>
          <w:sz w:val="24"/>
        </w:rPr>
        <w:t>项目有关</w:t>
      </w:r>
      <w:r>
        <w:rPr>
          <w:rFonts w:hAnsi="宋体"/>
          <w:sz w:val="24"/>
        </w:rPr>
        <w:t>保密义务如下：</w:t>
      </w:r>
    </w:p>
    <w:p w14:paraId="1A984B6D">
      <w:pPr>
        <w:pStyle w:val="7"/>
        <w:ind w:firstLine="240"/>
        <w:rPr>
          <w:rFonts w:hAnsi="宋体"/>
          <w:sz w:val="24"/>
        </w:rPr>
      </w:pPr>
      <w:r>
        <w:rPr>
          <w:rFonts w:hAnsi="宋体"/>
          <w:sz w:val="24"/>
        </w:rPr>
        <w:t xml:space="preserve">    </w:t>
      </w:r>
      <w:r>
        <w:rPr>
          <w:rFonts w:hint="eastAsia" w:hAnsi="宋体"/>
          <w:sz w:val="24"/>
        </w:rPr>
        <w:t>招标方</w:t>
      </w:r>
      <w:r>
        <w:rPr>
          <w:rFonts w:hAnsi="宋体"/>
          <w:sz w:val="24"/>
        </w:rPr>
        <w:t>：</w:t>
      </w:r>
    </w:p>
    <w:p w14:paraId="5F924D18">
      <w:pPr>
        <w:pStyle w:val="7"/>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0AA469EA">
      <w:pPr>
        <w:pStyle w:val="7"/>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607FE177">
      <w:pPr>
        <w:pStyle w:val="7"/>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24F9798F">
      <w:pPr>
        <w:pStyle w:val="7"/>
        <w:ind w:firstLine="720" w:firstLineChars="300"/>
        <w:rPr>
          <w:rFonts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14:paraId="11B928EF">
      <w:pPr>
        <w:pStyle w:val="7"/>
        <w:ind w:firstLine="240"/>
        <w:rPr>
          <w:rFonts w:hAnsi="宋体"/>
          <w:sz w:val="24"/>
        </w:rPr>
      </w:pPr>
      <w:r>
        <w:rPr>
          <w:rFonts w:hAnsi="宋体"/>
          <w:sz w:val="24"/>
        </w:rPr>
        <w:t xml:space="preserve">    </w:t>
      </w:r>
      <w:r>
        <w:rPr>
          <w:rFonts w:hint="eastAsia" w:hAnsi="宋体"/>
          <w:sz w:val="24"/>
        </w:rPr>
        <w:t>投标方</w:t>
      </w:r>
      <w:r>
        <w:rPr>
          <w:rFonts w:hAnsi="宋体"/>
          <w:sz w:val="24"/>
        </w:rPr>
        <w:t xml:space="preserve">：  </w:t>
      </w:r>
    </w:p>
    <w:p w14:paraId="07642554">
      <w:pPr>
        <w:pStyle w:val="7"/>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27F8CC74">
      <w:pPr>
        <w:pStyle w:val="7"/>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0EC835D1">
      <w:pPr>
        <w:pStyle w:val="7"/>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31C544D4">
      <w:pPr>
        <w:pStyle w:val="7"/>
        <w:ind w:firstLine="720" w:firstLineChars="300"/>
        <w:rPr>
          <w:rFonts w:hint="eastAsia" w:ascii="Times New Roman" w:hAnsi="Times New Roman"/>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14:paraId="5F0E491E">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5.投标方技术文件编制要求</w:t>
      </w:r>
    </w:p>
    <w:p w14:paraId="3B2BE2DA">
      <w:pPr>
        <w:spacing w:line="360" w:lineRule="auto"/>
        <w:ind w:left="6" w:leftChars="3" w:firstLine="480" w:firstLineChars="200"/>
        <w:rPr>
          <w:sz w:val="24"/>
        </w:rPr>
      </w:pPr>
      <w:r>
        <w:rPr>
          <w:rFonts w:hint="eastAsia"/>
          <w:sz w:val="24"/>
        </w:rPr>
        <w:t>投标方</w:t>
      </w:r>
      <w:r>
        <w:rPr>
          <w:sz w:val="24"/>
        </w:rPr>
        <w:t>技术文件应包括：</w:t>
      </w:r>
    </w:p>
    <w:p w14:paraId="1AEDD50F">
      <w:pPr>
        <w:spacing w:line="360" w:lineRule="auto"/>
        <w:ind w:left="6" w:leftChars="3" w:firstLine="480" w:firstLineChars="200"/>
        <w:rPr>
          <w:sz w:val="24"/>
        </w:rPr>
      </w:pPr>
      <w:r>
        <w:rPr>
          <w:sz w:val="24"/>
        </w:rPr>
        <w:t>（1）</w:t>
      </w:r>
      <w:r>
        <w:rPr>
          <w:rFonts w:ascii="宋体" w:hAnsi="宋体" w:cs="宋体"/>
          <w:sz w:val="24"/>
        </w:rPr>
        <w:t>提供完整的系统设计方案及实施方案与计划</w:t>
      </w:r>
      <w:r>
        <w:rPr>
          <w:rFonts w:hint="eastAsia" w:ascii="宋体" w:hAnsi="宋体" w:cs="宋体"/>
          <w:sz w:val="24"/>
          <w:lang w:eastAsia="zh-CN"/>
        </w:rPr>
        <w:t>；</w:t>
      </w:r>
    </w:p>
    <w:p w14:paraId="644A5040">
      <w:pPr>
        <w:pStyle w:val="2"/>
        <w:numPr>
          <w:ilvl w:val="0"/>
          <w:numId w:val="0"/>
        </w:numPr>
        <w:rPr>
          <w:rFonts w:hint="eastAsia" w:ascii="黑体" w:hAnsi="黑体" w:eastAsia="黑体" w:cs="黑体"/>
          <w:b/>
          <w:bCs/>
          <w:kern w:val="2"/>
          <w:sz w:val="28"/>
          <w:szCs w:val="36"/>
          <w:lang w:val="en-US" w:eastAsia="zh-CN" w:bidi="ar-SA"/>
        </w:rPr>
      </w:pPr>
      <w:bookmarkStart w:id="46" w:name="_Toc14774"/>
      <w:bookmarkStart w:id="47" w:name="_Toc23520"/>
      <w:bookmarkStart w:id="48" w:name="_Toc12192"/>
      <w:bookmarkStart w:id="49" w:name="_Toc309593279"/>
      <w:bookmarkStart w:id="50" w:name="_Toc309805603"/>
      <w:bookmarkStart w:id="51" w:name="_Toc312827039"/>
      <w:bookmarkStart w:id="52" w:name="_Toc12135"/>
      <w:bookmarkStart w:id="53" w:name="_Toc309593208"/>
      <w:bookmarkStart w:id="54" w:name="_Toc26448179"/>
      <w:r>
        <w:rPr>
          <w:rFonts w:hint="eastAsia" w:ascii="黑体" w:hAnsi="黑体" w:eastAsia="黑体" w:cs="黑体"/>
          <w:b/>
          <w:bCs/>
          <w:kern w:val="2"/>
          <w:sz w:val="28"/>
          <w:szCs w:val="36"/>
          <w:lang w:val="en-US" w:eastAsia="zh-CN" w:bidi="ar-SA"/>
        </w:rPr>
        <w:t>6.※工期进度要求</w:t>
      </w:r>
      <w:bookmarkEnd w:id="46"/>
      <w:bookmarkEnd w:id="47"/>
      <w:bookmarkEnd w:id="48"/>
      <w:bookmarkEnd w:id="49"/>
      <w:bookmarkEnd w:id="50"/>
      <w:bookmarkEnd w:id="51"/>
      <w:bookmarkEnd w:id="52"/>
      <w:bookmarkEnd w:id="53"/>
      <w:bookmarkEnd w:id="54"/>
    </w:p>
    <w:p w14:paraId="5BD3C678">
      <w:pPr>
        <w:spacing w:line="360" w:lineRule="auto"/>
        <w:ind w:left="6" w:leftChars="3" w:firstLine="480" w:firstLineChars="200"/>
        <w:rPr>
          <w:sz w:val="24"/>
        </w:rPr>
      </w:pPr>
      <w:r>
        <w:rPr>
          <w:sz w:val="24"/>
        </w:rPr>
        <w:t>本项目应按照下表所示进度安排开展试验工作：</w:t>
      </w:r>
    </w:p>
    <w:tbl>
      <w:tblPr>
        <w:tblStyle w:val="12"/>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7"/>
        <w:gridCol w:w="1734"/>
        <w:gridCol w:w="5358"/>
      </w:tblGrid>
      <w:tr w14:paraId="3A26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14:paraId="08BBD23B">
            <w:pPr>
              <w:jc w:val="center"/>
              <w:rPr>
                <w:b/>
                <w:sz w:val="24"/>
              </w:rPr>
            </w:pPr>
            <w:r>
              <w:rPr>
                <w:b/>
                <w:sz w:val="24"/>
              </w:rPr>
              <w:t>任务名称</w:t>
            </w:r>
          </w:p>
        </w:tc>
        <w:tc>
          <w:tcPr>
            <w:tcW w:w="1734" w:type="dxa"/>
            <w:noWrap w:val="0"/>
            <w:vAlign w:val="center"/>
          </w:tcPr>
          <w:p w14:paraId="516846AB">
            <w:pPr>
              <w:jc w:val="center"/>
              <w:rPr>
                <w:b/>
                <w:sz w:val="24"/>
              </w:rPr>
            </w:pPr>
            <w:r>
              <w:rPr>
                <w:b/>
                <w:sz w:val="24"/>
              </w:rPr>
              <w:t>工作时间</w:t>
            </w:r>
          </w:p>
        </w:tc>
        <w:tc>
          <w:tcPr>
            <w:tcW w:w="5358" w:type="dxa"/>
            <w:noWrap w:val="0"/>
            <w:vAlign w:val="center"/>
          </w:tcPr>
          <w:p w14:paraId="0FB0BFA4">
            <w:pPr>
              <w:tabs>
                <w:tab w:val="left" w:pos="859"/>
              </w:tabs>
              <w:ind w:left="111" w:leftChars="53" w:firstLine="7" w:firstLineChars="3"/>
              <w:jc w:val="center"/>
              <w:rPr>
                <w:b/>
                <w:sz w:val="24"/>
              </w:rPr>
            </w:pPr>
            <w:r>
              <w:rPr>
                <w:b/>
                <w:sz w:val="24"/>
              </w:rPr>
              <w:t>主要内容及交付项</w:t>
            </w:r>
          </w:p>
        </w:tc>
      </w:tr>
      <w:tr w14:paraId="59E10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1" w:hRule="atLeast"/>
          <w:jc w:val="center"/>
        </w:trPr>
        <w:tc>
          <w:tcPr>
            <w:tcW w:w="1737" w:type="dxa"/>
            <w:noWrap w:val="0"/>
            <w:vAlign w:val="top"/>
          </w:tcPr>
          <w:p w14:paraId="71CE3849">
            <w:pPr>
              <w:spacing w:before="120" w:after="120" w:line="288" w:lineRule="auto"/>
              <w:ind w:left="0" w:leftChars="0"/>
              <w:jc w:val="left"/>
              <w:rPr>
                <w:rFonts w:hint="eastAsia" w:ascii="宋体" w:hAnsi="宋体" w:eastAsia="宋体" w:cs="宋体"/>
                <w:kern w:val="2"/>
                <w:sz w:val="21"/>
                <w:szCs w:val="21"/>
                <w:lang w:eastAsia="zh-CN"/>
              </w:rPr>
            </w:pPr>
            <w:r>
              <w:rPr>
                <w:rFonts w:hint="eastAsia" w:ascii="宋体" w:hAnsi="宋体" w:eastAsia="宋体" w:cs="宋体"/>
                <w:sz w:val="22"/>
              </w:rPr>
              <w:t>需求调研与方案设计</w:t>
            </w:r>
          </w:p>
        </w:tc>
        <w:tc>
          <w:tcPr>
            <w:tcW w:w="1734" w:type="dxa"/>
            <w:noWrap w:val="0"/>
            <w:vAlign w:val="top"/>
          </w:tcPr>
          <w:p w14:paraId="4E19A742">
            <w:pPr>
              <w:spacing w:before="120" w:after="120" w:line="288" w:lineRule="auto"/>
              <w:ind w:left="0" w:leftChars="0"/>
              <w:jc w:val="left"/>
              <w:rPr>
                <w:rFonts w:hint="eastAsia" w:ascii="宋体" w:hAnsi="宋体" w:eastAsia="宋体" w:cs="宋体"/>
                <w:szCs w:val="21"/>
              </w:rPr>
            </w:pPr>
            <w:r>
              <w:rPr>
                <w:rFonts w:hint="eastAsia" w:ascii="宋体" w:hAnsi="宋体" w:eastAsia="宋体" w:cs="宋体"/>
                <w:sz w:val="22"/>
              </w:rPr>
              <w:t>采购结果确定后 1 个月内</w:t>
            </w:r>
          </w:p>
        </w:tc>
        <w:tc>
          <w:tcPr>
            <w:tcW w:w="5358" w:type="dxa"/>
            <w:noWrap w:val="0"/>
            <w:vAlign w:val="top"/>
          </w:tcPr>
          <w:p w14:paraId="7CBD870C">
            <w:pPr>
              <w:spacing w:before="120" w:after="120" w:line="288" w:lineRule="auto"/>
              <w:ind w:left="0" w:leftChars="0"/>
              <w:jc w:val="left"/>
              <w:rPr>
                <w:rFonts w:hint="eastAsia" w:ascii="宋体" w:hAnsi="宋体" w:eastAsia="宋体" w:cs="宋体"/>
                <w:b/>
                <w:kern w:val="2"/>
                <w:sz w:val="21"/>
                <w:szCs w:val="21"/>
              </w:rPr>
            </w:pPr>
            <w:r>
              <w:rPr>
                <w:rFonts w:hint="eastAsia" w:ascii="宋体" w:hAnsi="宋体" w:eastAsia="宋体" w:cs="宋体"/>
                <w:sz w:val="22"/>
              </w:rPr>
              <w:t>1. 现场调研特高压塔架、联板金具作业工况；</w:t>
            </w:r>
            <w:r>
              <w:rPr>
                <w:rFonts w:hint="eastAsia" w:ascii="宋体" w:hAnsi="宋体" w:eastAsia="宋体" w:cs="宋体"/>
                <w:sz w:val="22"/>
              </w:rPr>
              <w:br w:type="textWrapping"/>
            </w:r>
            <w:r>
              <w:rPr>
                <w:rFonts w:hint="eastAsia" w:ascii="宋体" w:hAnsi="宋体" w:eastAsia="宋体" w:cs="宋体"/>
                <w:sz w:val="22"/>
              </w:rPr>
              <w:t>2. 梳理带电作业安全标准、绝缘工具性能指标；</w:t>
            </w:r>
            <w:r>
              <w:rPr>
                <w:rFonts w:hint="eastAsia" w:ascii="宋体" w:hAnsi="宋体" w:eastAsia="宋体" w:cs="宋体"/>
                <w:sz w:val="22"/>
              </w:rPr>
              <w:br w:type="textWrapping"/>
            </w:r>
            <w:r>
              <w:rPr>
                <w:rFonts w:hint="eastAsia" w:ascii="宋体" w:hAnsi="宋体" w:eastAsia="宋体" w:cs="宋体"/>
                <w:sz w:val="22"/>
              </w:rPr>
              <w:t>3. 完成整体结构、伸缩机构、夹持模块方案设计；</w:t>
            </w:r>
            <w:r>
              <w:rPr>
                <w:rFonts w:hint="eastAsia" w:ascii="宋体" w:hAnsi="宋体" w:eastAsia="宋体" w:cs="宋体"/>
                <w:sz w:val="22"/>
              </w:rPr>
              <w:br w:type="textWrapping"/>
            </w:r>
            <w:r>
              <w:rPr>
                <w:rFonts w:hint="eastAsia" w:ascii="宋体" w:hAnsi="宋体" w:eastAsia="宋体" w:cs="宋体"/>
                <w:sz w:val="22"/>
              </w:rPr>
              <w:t>4. 组织内部 + 招标方技术方案评审</w:t>
            </w:r>
            <w:r>
              <w:rPr>
                <w:rFonts w:hint="eastAsia" w:ascii="宋体" w:hAnsi="宋体" w:eastAsia="宋体" w:cs="宋体"/>
                <w:sz w:val="22"/>
              </w:rPr>
              <w:br w:type="textWrapping"/>
            </w:r>
            <w:r>
              <w:rPr>
                <w:rFonts w:hint="eastAsia" w:ascii="宋体" w:hAnsi="宋体" w:eastAsia="宋体" w:cs="宋体"/>
                <w:sz w:val="22"/>
              </w:rPr>
              <w:t>交付：完整工具设计方案 1 份、初步结构图纸</w:t>
            </w:r>
          </w:p>
        </w:tc>
      </w:tr>
      <w:tr w14:paraId="2C45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7" w:hRule="atLeast"/>
          <w:jc w:val="center"/>
        </w:trPr>
        <w:tc>
          <w:tcPr>
            <w:tcW w:w="1737" w:type="dxa"/>
            <w:noWrap w:val="0"/>
            <w:vAlign w:val="top"/>
          </w:tcPr>
          <w:p w14:paraId="0CF2D0E4">
            <w:pPr>
              <w:spacing w:before="120" w:after="120" w:line="288" w:lineRule="auto"/>
              <w:ind w:left="0" w:leftChars="0"/>
              <w:jc w:val="left"/>
              <w:rPr>
                <w:rFonts w:hint="eastAsia" w:ascii="宋体" w:hAnsi="宋体" w:eastAsia="宋体" w:cs="宋体"/>
                <w:kern w:val="2"/>
                <w:sz w:val="21"/>
                <w:szCs w:val="21"/>
                <w:highlight w:val="none"/>
              </w:rPr>
            </w:pPr>
            <w:r>
              <w:rPr>
                <w:rFonts w:hint="eastAsia" w:ascii="宋体" w:hAnsi="宋体" w:eastAsia="宋体" w:cs="宋体"/>
                <w:sz w:val="22"/>
              </w:rPr>
              <w:t>样机试制</w:t>
            </w:r>
          </w:p>
        </w:tc>
        <w:tc>
          <w:tcPr>
            <w:tcW w:w="1734" w:type="dxa"/>
            <w:noWrap w:val="0"/>
            <w:vAlign w:val="top"/>
          </w:tcPr>
          <w:p w14:paraId="310A5E4E">
            <w:pPr>
              <w:spacing w:before="120" w:after="120" w:line="288" w:lineRule="auto"/>
              <w:ind w:left="0" w:leftChars="0"/>
              <w:jc w:val="left"/>
              <w:rPr>
                <w:rFonts w:hint="eastAsia" w:ascii="宋体" w:hAnsi="宋体" w:eastAsia="宋体" w:cs="宋体"/>
                <w:sz w:val="24"/>
              </w:rPr>
            </w:pPr>
            <w:r>
              <w:rPr>
                <w:rFonts w:hint="eastAsia" w:ascii="宋体" w:hAnsi="宋体" w:eastAsia="宋体" w:cs="宋体"/>
                <w:sz w:val="22"/>
              </w:rPr>
              <w:t>采购结果确定后 3 个月内</w:t>
            </w:r>
          </w:p>
        </w:tc>
        <w:tc>
          <w:tcPr>
            <w:tcW w:w="5358" w:type="dxa"/>
            <w:noWrap w:val="0"/>
            <w:vAlign w:val="top"/>
          </w:tcPr>
          <w:p w14:paraId="4CC168F9">
            <w:pPr>
              <w:spacing w:before="120" w:after="120" w:line="288" w:lineRule="auto"/>
              <w:ind w:left="0" w:leftChars="0"/>
              <w:jc w:val="left"/>
              <w:rPr>
                <w:rFonts w:hint="eastAsia" w:ascii="宋体" w:hAnsi="宋体" w:eastAsia="宋体" w:cs="宋体"/>
              </w:rPr>
            </w:pPr>
            <w:r>
              <w:rPr>
                <w:rFonts w:hint="eastAsia" w:ascii="宋体" w:hAnsi="宋体" w:eastAsia="宋体" w:cs="宋体"/>
                <w:sz w:val="22"/>
              </w:rPr>
              <w:t>1. 轻量化绝缘主材、合金配件采购加工；</w:t>
            </w:r>
            <w:r>
              <w:rPr>
                <w:rFonts w:hint="eastAsia" w:ascii="宋体" w:hAnsi="宋体" w:eastAsia="宋体" w:cs="宋体"/>
                <w:sz w:val="22"/>
              </w:rPr>
              <w:br w:type="textWrapping"/>
            </w:r>
            <w:r>
              <w:rPr>
                <w:rFonts w:hint="eastAsia" w:ascii="宋体" w:hAnsi="宋体" w:eastAsia="宋体" w:cs="宋体"/>
                <w:sz w:val="22"/>
              </w:rPr>
              <w:t>2. 首版样机加工装配、伸缩锁止结构调试；</w:t>
            </w:r>
            <w:r>
              <w:rPr>
                <w:rFonts w:hint="eastAsia" w:ascii="宋体" w:hAnsi="宋体" w:eastAsia="宋体" w:cs="宋体"/>
                <w:sz w:val="22"/>
              </w:rPr>
              <w:br w:type="textWrapping"/>
            </w:r>
            <w:r>
              <w:rPr>
                <w:rFonts w:hint="eastAsia" w:ascii="宋体" w:hAnsi="宋体" w:eastAsia="宋体" w:cs="宋体"/>
                <w:sz w:val="22"/>
              </w:rPr>
              <w:t>3. 绝缘耐压、机械承重室内基础性能测试；</w:t>
            </w:r>
            <w:r>
              <w:rPr>
                <w:rFonts w:hint="eastAsia" w:ascii="宋体" w:hAnsi="宋体" w:eastAsia="宋体" w:cs="宋体"/>
                <w:sz w:val="22"/>
              </w:rPr>
              <w:br w:type="textWrapping"/>
            </w:r>
            <w:r>
              <w:rPr>
                <w:rFonts w:hint="eastAsia" w:ascii="宋体" w:hAnsi="宋体" w:eastAsia="宋体" w:cs="宋体"/>
                <w:sz w:val="22"/>
              </w:rPr>
              <w:t>4. 迭代优化结构缺陷</w:t>
            </w:r>
            <w:r>
              <w:rPr>
                <w:rFonts w:hint="eastAsia" w:ascii="宋体" w:hAnsi="宋体" w:eastAsia="宋体" w:cs="宋体"/>
                <w:sz w:val="22"/>
              </w:rPr>
              <w:br w:type="textWrapping"/>
            </w:r>
            <w:r>
              <w:rPr>
                <w:rFonts w:hint="eastAsia" w:ascii="宋体" w:hAnsi="宋体" w:eastAsia="宋体" w:cs="宋体"/>
                <w:sz w:val="22"/>
              </w:rPr>
              <w:t>交付：首台样机 1 套、</w:t>
            </w:r>
            <w:r>
              <w:rPr>
                <w:rFonts w:hint="eastAsia" w:ascii="宋体" w:hAnsi="宋体" w:eastAsia="宋体" w:cs="宋体"/>
                <w:sz w:val="22"/>
                <w:lang w:val="en-US" w:eastAsia="zh-CN"/>
              </w:rPr>
              <w:t>出厂</w:t>
            </w:r>
            <w:r>
              <w:rPr>
                <w:rFonts w:hint="eastAsia" w:ascii="宋体" w:hAnsi="宋体" w:eastAsia="宋体" w:cs="宋体"/>
                <w:sz w:val="22"/>
              </w:rPr>
              <w:t>试验报告</w:t>
            </w:r>
          </w:p>
        </w:tc>
      </w:tr>
      <w:tr w14:paraId="248DF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9" w:hRule="atLeast"/>
          <w:jc w:val="center"/>
        </w:trPr>
        <w:tc>
          <w:tcPr>
            <w:tcW w:w="1737" w:type="dxa"/>
            <w:noWrap w:val="0"/>
            <w:vAlign w:val="top"/>
          </w:tcPr>
          <w:p w14:paraId="18F89A74">
            <w:pPr>
              <w:spacing w:before="120" w:after="120" w:line="288" w:lineRule="auto"/>
              <w:ind w:left="0" w:leftChars="0"/>
              <w:jc w:val="left"/>
              <w:rPr>
                <w:rFonts w:hint="eastAsia" w:ascii="宋体" w:hAnsi="宋体" w:eastAsia="宋体" w:cs="宋体"/>
                <w:kern w:val="2"/>
                <w:sz w:val="21"/>
                <w:szCs w:val="21"/>
                <w:highlight w:val="none"/>
              </w:rPr>
            </w:pPr>
            <w:r>
              <w:rPr>
                <w:rFonts w:hint="eastAsia" w:ascii="宋体" w:hAnsi="宋体" w:eastAsia="宋体" w:cs="宋体"/>
                <w:sz w:val="22"/>
              </w:rPr>
              <w:t>现场试用与优化</w:t>
            </w:r>
          </w:p>
        </w:tc>
        <w:tc>
          <w:tcPr>
            <w:tcW w:w="1734" w:type="dxa"/>
            <w:noWrap w:val="0"/>
            <w:vAlign w:val="top"/>
          </w:tcPr>
          <w:p w14:paraId="35C52FF6">
            <w:pPr>
              <w:spacing w:before="120" w:after="120" w:line="288" w:lineRule="auto"/>
              <w:ind w:left="0" w:leftChars="0"/>
              <w:jc w:val="left"/>
              <w:rPr>
                <w:rFonts w:hint="eastAsia" w:ascii="宋体" w:hAnsi="宋体" w:eastAsia="宋体" w:cs="宋体"/>
                <w:sz w:val="24"/>
              </w:rPr>
            </w:pPr>
            <w:r>
              <w:rPr>
                <w:rFonts w:hint="eastAsia" w:ascii="宋体" w:hAnsi="宋体" w:eastAsia="宋体" w:cs="宋体"/>
                <w:sz w:val="22"/>
              </w:rPr>
              <w:t>采购结果确定后 5 个月内</w:t>
            </w:r>
          </w:p>
        </w:tc>
        <w:tc>
          <w:tcPr>
            <w:tcW w:w="5358" w:type="dxa"/>
            <w:noWrap w:val="0"/>
            <w:vAlign w:val="top"/>
          </w:tcPr>
          <w:p w14:paraId="0775C4B8">
            <w:pPr>
              <w:spacing w:before="120" w:after="120" w:line="288" w:lineRule="auto"/>
              <w:ind w:left="0" w:leftChars="0"/>
              <w:jc w:val="left"/>
              <w:rPr>
                <w:rFonts w:hint="eastAsia" w:ascii="宋体" w:hAnsi="宋体" w:eastAsia="宋体" w:cs="宋体"/>
                <w:kern w:val="2"/>
                <w:sz w:val="21"/>
                <w:szCs w:val="21"/>
                <w:lang w:val="en-US" w:eastAsia="zh-CN"/>
              </w:rPr>
            </w:pPr>
            <w:r>
              <w:rPr>
                <w:rFonts w:hint="eastAsia" w:ascii="宋体" w:hAnsi="宋体" w:eastAsia="宋体" w:cs="宋体"/>
                <w:sz w:val="22"/>
              </w:rPr>
              <w:t xml:space="preserve">1. </w:t>
            </w:r>
            <w:bookmarkStart w:id="55" w:name="_GoBack"/>
            <w:bookmarkEnd w:id="55"/>
            <w:r>
              <w:rPr>
                <w:rFonts w:hint="eastAsia" w:ascii="宋体" w:hAnsi="宋体" w:eastAsia="宋体" w:cs="宋体"/>
                <w:sz w:val="22"/>
                <w:lang w:val="en-US" w:eastAsia="zh-CN"/>
              </w:rPr>
              <w:t>模拟实际工况</w:t>
            </w:r>
            <w:r>
              <w:rPr>
                <w:rFonts w:hint="eastAsia" w:ascii="宋体" w:hAnsi="宋体" w:eastAsia="宋体" w:cs="宋体"/>
                <w:sz w:val="22"/>
              </w:rPr>
              <w:t>试用；</w:t>
            </w:r>
            <w:r>
              <w:rPr>
                <w:rFonts w:hint="eastAsia" w:ascii="宋体" w:hAnsi="宋体" w:eastAsia="宋体" w:cs="宋体"/>
                <w:sz w:val="22"/>
              </w:rPr>
              <w:br w:type="textWrapping"/>
            </w:r>
            <w:r>
              <w:rPr>
                <w:rFonts w:hint="eastAsia" w:ascii="宋体" w:hAnsi="宋体" w:eastAsia="宋体" w:cs="宋体"/>
                <w:sz w:val="22"/>
              </w:rPr>
              <w:t>2. 收集运维人员操作反馈，优化指标；</w:t>
            </w:r>
            <w:r>
              <w:rPr>
                <w:rFonts w:hint="eastAsia" w:ascii="宋体" w:hAnsi="宋体" w:eastAsia="宋体" w:cs="宋体"/>
                <w:sz w:val="22"/>
              </w:rPr>
              <w:br w:type="textWrapping"/>
            </w:r>
            <w:r>
              <w:rPr>
                <w:rFonts w:hint="eastAsia" w:ascii="宋体" w:hAnsi="宋体" w:eastAsia="宋体" w:cs="宋体"/>
                <w:sz w:val="22"/>
              </w:rPr>
              <w:t>3. 完成最终定</w:t>
            </w:r>
            <w:r>
              <w:rPr>
                <w:rFonts w:hint="eastAsia" w:ascii="宋体" w:hAnsi="宋体" w:eastAsia="宋体" w:cs="宋体"/>
                <w:sz w:val="22"/>
                <w:lang w:val="en-US" w:eastAsia="zh-CN"/>
              </w:rPr>
              <w:t>工具</w:t>
            </w:r>
            <w:r>
              <w:rPr>
                <w:rFonts w:hint="eastAsia" w:ascii="宋体" w:hAnsi="宋体" w:eastAsia="宋体" w:cs="宋体"/>
                <w:sz w:val="22"/>
              </w:rPr>
              <w:t>；</w:t>
            </w:r>
            <w:r>
              <w:rPr>
                <w:rFonts w:hint="eastAsia" w:ascii="宋体" w:hAnsi="宋体" w:eastAsia="宋体" w:cs="宋体"/>
                <w:sz w:val="22"/>
              </w:rPr>
              <w:br w:type="textWrapping"/>
            </w:r>
            <w:r>
              <w:rPr>
                <w:rFonts w:hint="eastAsia" w:ascii="宋体" w:hAnsi="宋体" w:eastAsia="宋体" w:cs="宋体"/>
                <w:sz w:val="22"/>
              </w:rPr>
              <w:t>交付：定型成品工具 1 套</w:t>
            </w:r>
          </w:p>
        </w:tc>
      </w:tr>
      <w:tr w14:paraId="4EE26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top"/>
          </w:tcPr>
          <w:p w14:paraId="4A7FDAFE">
            <w:pPr>
              <w:spacing w:before="120" w:after="120" w:line="288" w:lineRule="auto"/>
              <w:ind w:left="0" w:leftChars="0"/>
              <w:jc w:val="left"/>
              <w:rPr>
                <w:rFonts w:hint="eastAsia" w:ascii="宋体" w:hAnsi="宋体" w:eastAsia="宋体" w:cs="宋体"/>
                <w:highlight w:val="none"/>
              </w:rPr>
            </w:pPr>
            <w:r>
              <w:rPr>
                <w:rFonts w:hint="eastAsia" w:ascii="宋体" w:hAnsi="宋体" w:eastAsia="宋体" w:cs="宋体"/>
                <w:sz w:val="22"/>
              </w:rPr>
              <w:t>试验与技术文件编制</w:t>
            </w:r>
          </w:p>
        </w:tc>
        <w:tc>
          <w:tcPr>
            <w:tcW w:w="1734" w:type="dxa"/>
            <w:noWrap w:val="0"/>
            <w:vAlign w:val="top"/>
          </w:tcPr>
          <w:p w14:paraId="5A1B1BF1">
            <w:pPr>
              <w:spacing w:before="120" w:after="120" w:line="288" w:lineRule="auto"/>
              <w:ind w:left="0" w:leftChars="0"/>
              <w:jc w:val="left"/>
              <w:rPr>
                <w:rFonts w:hint="eastAsia" w:ascii="宋体" w:hAnsi="宋体" w:eastAsia="宋体" w:cs="宋体"/>
                <w:sz w:val="24"/>
                <w:highlight w:val="none"/>
              </w:rPr>
            </w:pPr>
            <w:r>
              <w:rPr>
                <w:rFonts w:hint="eastAsia" w:ascii="宋体" w:hAnsi="宋体" w:eastAsia="宋体" w:cs="宋体"/>
                <w:sz w:val="22"/>
              </w:rPr>
              <w:t>采购结果确定后 10 个月内</w:t>
            </w:r>
          </w:p>
        </w:tc>
        <w:tc>
          <w:tcPr>
            <w:tcW w:w="5358" w:type="dxa"/>
            <w:noWrap w:val="0"/>
            <w:vAlign w:val="top"/>
          </w:tcPr>
          <w:p w14:paraId="14A56BB5">
            <w:pPr>
              <w:spacing w:before="120" w:after="120" w:line="288" w:lineRule="auto"/>
              <w:ind w:left="0" w:leftChars="0"/>
              <w:jc w:val="left"/>
              <w:rPr>
                <w:rFonts w:hint="eastAsia" w:ascii="宋体" w:hAnsi="宋体" w:eastAsia="宋体" w:cs="宋体"/>
                <w:highlight w:val="none"/>
              </w:rPr>
            </w:pPr>
            <w:r>
              <w:rPr>
                <w:rFonts w:hint="eastAsia" w:ascii="宋体" w:hAnsi="宋体" w:eastAsia="宋体" w:cs="宋体"/>
                <w:sz w:val="22"/>
              </w:rPr>
              <w:t xml:space="preserve">1. </w:t>
            </w:r>
            <w:r>
              <w:rPr>
                <w:rFonts w:hint="eastAsia" w:ascii="宋体" w:hAnsi="宋体" w:eastAsia="宋体" w:cs="宋体"/>
                <w:sz w:val="22"/>
                <w:lang w:val="en-US" w:eastAsia="zh-CN"/>
              </w:rPr>
              <w:t>提供产品的试验报告</w:t>
            </w:r>
            <w:r>
              <w:rPr>
                <w:rFonts w:hint="eastAsia" w:ascii="宋体" w:hAnsi="宋体" w:eastAsia="宋体" w:cs="宋体"/>
                <w:sz w:val="22"/>
              </w:rPr>
              <w:t>；</w:t>
            </w:r>
            <w:r>
              <w:rPr>
                <w:rFonts w:hint="eastAsia" w:ascii="宋体" w:hAnsi="宋体" w:eastAsia="宋体" w:cs="宋体"/>
                <w:sz w:val="22"/>
              </w:rPr>
              <w:br w:type="textWrapping"/>
            </w:r>
            <w:r>
              <w:rPr>
                <w:rFonts w:hint="eastAsia" w:ascii="宋体" w:hAnsi="宋体" w:eastAsia="宋体" w:cs="宋体"/>
                <w:sz w:val="22"/>
                <w:lang w:val="en-US" w:eastAsia="zh-CN"/>
              </w:rPr>
              <w:t>2</w:t>
            </w:r>
            <w:r>
              <w:rPr>
                <w:rFonts w:hint="eastAsia" w:ascii="宋体" w:hAnsi="宋体" w:eastAsia="宋体" w:cs="宋体"/>
                <w:sz w:val="22"/>
              </w:rPr>
              <w:t>. 撰写技术论文、编制专利申报材料</w:t>
            </w:r>
            <w:r>
              <w:rPr>
                <w:rFonts w:hint="eastAsia" w:ascii="宋体" w:hAnsi="宋体" w:eastAsia="宋体" w:cs="宋体"/>
                <w:sz w:val="22"/>
              </w:rPr>
              <w:br w:type="textWrapping"/>
            </w:r>
            <w:r>
              <w:rPr>
                <w:rFonts w:hint="eastAsia" w:ascii="宋体" w:hAnsi="宋体" w:eastAsia="宋体" w:cs="宋体"/>
                <w:sz w:val="22"/>
              </w:rPr>
              <w:t>交付：试验报告、技术资料、论文初稿、专利申报材料</w:t>
            </w:r>
          </w:p>
        </w:tc>
      </w:tr>
    </w:tbl>
    <w:p w14:paraId="77EE51CD">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7</w:t>
      </w:r>
      <w:r>
        <w:rPr>
          <w:rFonts w:hint="eastAsia" w:ascii="黑体" w:hAnsi="黑体" w:eastAsia="黑体" w:cs="黑体"/>
          <w:b/>
          <w:bCs/>
          <w:sz w:val="28"/>
          <w:szCs w:val="36"/>
        </w:rPr>
        <w:t>.项目验收</w:t>
      </w:r>
      <w:bookmarkEnd w:id="38"/>
      <w:bookmarkEnd w:id="39"/>
      <w:bookmarkEnd w:id="40"/>
      <w:bookmarkEnd w:id="41"/>
      <w:bookmarkEnd w:id="42"/>
      <w:bookmarkEnd w:id="43"/>
      <w:bookmarkEnd w:id="44"/>
    </w:p>
    <w:p w14:paraId="0CC52F0B">
      <w:pPr>
        <w:rPr>
          <w:rFonts w:ascii="宋体" w:hAnsi="宋体" w:cs="宋体"/>
          <w:sz w:val="24"/>
        </w:rPr>
      </w:pPr>
      <w:r>
        <w:rPr>
          <w:rFonts w:hint="eastAsia" w:ascii="宋体" w:hAnsi="宋体" w:cs="宋体"/>
          <w:sz w:val="24"/>
          <w:lang w:val="en-US" w:eastAsia="zh-CN"/>
        </w:rPr>
        <w:t>7</w:t>
      </w:r>
      <w:r>
        <w:rPr>
          <w:rFonts w:hint="eastAsia" w:ascii="宋体" w:hAnsi="宋体" w:cs="宋体"/>
          <w:sz w:val="24"/>
        </w:rPr>
        <w:t>.1项目验收。投标方在自评具备验收条件后提出验收申请，招标方在收到验收申请后组织专家对所有项目材料和相关成果进行评审，开展项目验收。项目验收后，验收人员将根据实际情况提出验收报告，如若有需要整改的内容，投标方在验收后应主动配合招标方严格按照整改意见进行整改完善。</w:t>
      </w:r>
    </w:p>
    <w:p w14:paraId="03AA7F5C">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8.</w:t>
      </w:r>
      <w:r>
        <w:rPr>
          <w:rFonts w:hint="eastAsia" w:ascii="黑体" w:hAnsi="黑体" w:eastAsia="黑体" w:cs="黑体"/>
          <w:b/>
          <w:bCs/>
          <w:sz w:val="28"/>
          <w:szCs w:val="36"/>
        </w:rPr>
        <w:t>其他要求</w:t>
      </w:r>
      <w:bookmarkEnd w:id="45"/>
    </w:p>
    <w:p w14:paraId="21B31973">
      <w:pPr>
        <w:rPr>
          <w:rFonts w:ascii="宋体" w:hAnsi="宋体" w:cs="宋体"/>
          <w:sz w:val="24"/>
        </w:rPr>
      </w:pPr>
      <w:r>
        <w:rPr>
          <w:rFonts w:hint="eastAsia" w:ascii="宋体" w:hAnsi="宋体" w:cs="宋体"/>
          <w:sz w:val="24"/>
        </w:rPr>
        <w:t>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2"/>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177AE"/>
    <w:rsid w:val="00082A13"/>
    <w:rsid w:val="000A3B84"/>
    <w:rsid w:val="000B5C76"/>
    <w:rsid w:val="00103E7B"/>
    <w:rsid w:val="00122F3E"/>
    <w:rsid w:val="00134895"/>
    <w:rsid w:val="00146961"/>
    <w:rsid w:val="00180D33"/>
    <w:rsid w:val="00216FE8"/>
    <w:rsid w:val="0028440A"/>
    <w:rsid w:val="00291379"/>
    <w:rsid w:val="002A457E"/>
    <w:rsid w:val="00385919"/>
    <w:rsid w:val="003A4DD8"/>
    <w:rsid w:val="00452C8A"/>
    <w:rsid w:val="004A72AF"/>
    <w:rsid w:val="004C0933"/>
    <w:rsid w:val="00513DAD"/>
    <w:rsid w:val="00531528"/>
    <w:rsid w:val="00533971"/>
    <w:rsid w:val="00536D1C"/>
    <w:rsid w:val="005641EA"/>
    <w:rsid w:val="00583545"/>
    <w:rsid w:val="0058678F"/>
    <w:rsid w:val="00595297"/>
    <w:rsid w:val="005C42BD"/>
    <w:rsid w:val="005C7AAE"/>
    <w:rsid w:val="00633F47"/>
    <w:rsid w:val="00640D75"/>
    <w:rsid w:val="006852F9"/>
    <w:rsid w:val="006D6C23"/>
    <w:rsid w:val="006F59F4"/>
    <w:rsid w:val="007157BD"/>
    <w:rsid w:val="007318D0"/>
    <w:rsid w:val="00746122"/>
    <w:rsid w:val="007C6002"/>
    <w:rsid w:val="007D39A6"/>
    <w:rsid w:val="0081520A"/>
    <w:rsid w:val="00825484"/>
    <w:rsid w:val="008806DD"/>
    <w:rsid w:val="009062CC"/>
    <w:rsid w:val="00921326"/>
    <w:rsid w:val="009622E8"/>
    <w:rsid w:val="009648F6"/>
    <w:rsid w:val="00975AE9"/>
    <w:rsid w:val="009B6782"/>
    <w:rsid w:val="009D048B"/>
    <w:rsid w:val="00A17398"/>
    <w:rsid w:val="00A34D7E"/>
    <w:rsid w:val="00A5073F"/>
    <w:rsid w:val="00A9312B"/>
    <w:rsid w:val="00AA6538"/>
    <w:rsid w:val="00AA7138"/>
    <w:rsid w:val="00B5473C"/>
    <w:rsid w:val="00B548A2"/>
    <w:rsid w:val="00C50F57"/>
    <w:rsid w:val="00CA3628"/>
    <w:rsid w:val="00CC1C57"/>
    <w:rsid w:val="00D235DA"/>
    <w:rsid w:val="00D620BA"/>
    <w:rsid w:val="00D70460"/>
    <w:rsid w:val="00DA4BCD"/>
    <w:rsid w:val="00DB19A9"/>
    <w:rsid w:val="00DD2B82"/>
    <w:rsid w:val="00DD609C"/>
    <w:rsid w:val="00E4648D"/>
    <w:rsid w:val="00E54E64"/>
    <w:rsid w:val="00EA1831"/>
    <w:rsid w:val="00F11A8A"/>
    <w:rsid w:val="00F71D64"/>
    <w:rsid w:val="00F73F8D"/>
    <w:rsid w:val="00FA086C"/>
    <w:rsid w:val="00FB4F1D"/>
    <w:rsid w:val="01543C57"/>
    <w:rsid w:val="04340829"/>
    <w:rsid w:val="06D27AF8"/>
    <w:rsid w:val="06F2484F"/>
    <w:rsid w:val="0A210078"/>
    <w:rsid w:val="0BA94C9D"/>
    <w:rsid w:val="0C030754"/>
    <w:rsid w:val="0CA05D46"/>
    <w:rsid w:val="0F966A31"/>
    <w:rsid w:val="10550F6F"/>
    <w:rsid w:val="128F30ED"/>
    <w:rsid w:val="12BD66DE"/>
    <w:rsid w:val="13132954"/>
    <w:rsid w:val="163A1216"/>
    <w:rsid w:val="166F3EB8"/>
    <w:rsid w:val="191A5617"/>
    <w:rsid w:val="1A0A5C1B"/>
    <w:rsid w:val="1BD511FB"/>
    <w:rsid w:val="1F6703E9"/>
    <w:rsid w:val="1F8A11CF"/>
    <w:rsid w:val="20F20322"/>
    <w:rsid w:val="22001714"/>
    <w:rsid w:val="22431066"/>
    <w:rsid w:val="23D05B4F"/>
    <w:rsid w:val="27FA20BD"/>
    <w:rsid w:val="28677108"/>
    <w:rsid w:val="2AEE2FCE"/>
    <w:rsid w:val="2C0D5456"/>
    <w:rsid w:val="2C4C628B"/>
    <w:rsid w:val="2D630FAE"/>
    <w:rsid w:val="2DB575CA"/>
    <w:rsid w:val="2E9A689E"/>
    <w:rsid w:val="2F036DE8"/>
    <w:rsid w:val="2F8649A3"/>
    <w:rsid w:val="30936BC2"/>
    <w:rsid w:val="319B592F"/>
    <w:rsid w:val="33A11AE7"/>
    <w:rsid w:val="33F27DDD"/>
    <w:rsid w:val="34574C85"/>
    <w:rsid w:val="35577297"/>
    <w:rsid w:val="36515C79"/>
    <w:rsid w:val="373C54BB"/>
    <w:rsid w:val="37643739"/>
    <w:rsid w:val="37E33064"/>
    <w:rsid w:val="3B016E25"/>
    <w:rsid w:val="3B4F326E"/>
    <w:rsid w:val="3C0F5DF2"/>
    <w:rsid w:val="3EF75647"/>
    <w:rsid w:val="3FC46A7B"/>
    <w:rsid w:val="403E1100"/>
    <w:rsid w:val="40C512FC"/>
    <w:rsid w:val="428F0505"/>
    <w:rsid w:val="42C6746E"/>
    <w:rsid w:val="42EE5CD4"/>
    <w:rsid w:val="45D97826"/>
    <w:rsid w:val="45F20916"/>
    <w:rsid w:val="46927C50"/>
    <w:rsid w:val="48736764"/>
    <w:rsid w:val="48D82303"/>
    <w:rsid w:val="4D3F13B6"/>
    <w:rsid w:val="4DFF75F2"/>
    <w:rsid w:val="52420D12"/>
    <w:rsid w:val="56061A78"/>
    <w:rsid w:val="5643156F"/>
    <w:rsid w:val="57AF48B9"/>
    <w:rsid w:val="592823C4"/>
    <w:rsid w:val="592C035C"/>
    <w:rsid w:val="5981212C"/>
    <w:rsid w:val="5A691DAF"/>
    <w:rsid w:val="5B187842"/>
    <w:rsid w:val="5D615387"/>
    <w:rsid w:val="61C27952"/>
    <w:rsid w:val="6212562E"/>
    <w:rsid w:val="62DB3950"/>
    <w:rsid w:val="62F53AC8"/>
    <w:rsid w:val="637B25C6"/>
    <w:rsid w:val="63D72C4E"/>
    <w:rsid w:val="661505CC"/>
    <w:rsid w:val="66FE4F15"/>
    <w:rsid w:val="69A41DA4"/>
    <w:rsid w:val="69BA736E"/>
    <w:rsid w:val="6A5A6906"/>
    <w:rsid w:val="6BCF0AA5"/>
    <w:rsid w:val="6BEF5D56"/>
    <w:rsid w:val="6C17004B"/>
    <w:rsid w:val="6E062826"/>
    <w:rsid w:val="6F0B1CE7"/>
    <w:rsid w:val="6F664872"/>
    <w:rsid w:val="6F942155"/>
    <w:rsid w:val="704439AD"/>
    <w:rsid w:val="74366DF1"/>
    <w:rsid w:val="74F35D39"/>
    <w:rsid w:val="75083064"/>
    <w:rsid w:val="75110011"/>
    <w:rsid w:val="76F24593"/>
    <w:rsid w:val="77C54214"/>
    <w:rsid w:val="7CCD3754"/>
    <w:rsid w:val="7D5140B3"/>
    <w:rsid w:val="7ECD2D40"/>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3">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w:basedOn w:val="5"/>
    <w:next w:val="5"/>
    <w:qFormat/>
    <w:uiPriority w:val="99"/>
    <w:pPr>
      <w:ind w:firstLine="880" w:firstLineChars="200"/>
    </w:pPr>
    <w:rPr>
      <w:rFonts w:ascii="仿宋_GB2312" w:hAnsi="仿宋_GB2312" w:eastAsia="仿宋_GB2312" w:cs="Arial"/>
      <w:sz w:val="32"/>
      <w:szCs w:val="20"/>
    </w:rPr>
  </w:style>
  <w:style w:type="paragraph" w:styleId="5">
    <w:name w:val="Title"/>
    <w:basedOn w:val="1"/>
    <w:next w:val="1"/>
    <w:qFormat/>
    <w:uiPriority w:val="99"/>
    <w:pPr>
      <w:spacing w:before="240" w:after="60"/>
      <w:jc w:val="center"/>
      <w:outlineLvl w:val="0"/>
    </w:pPr>
    <w:rPr>
      <w:rFonts w:ascii="Arial" w:hAnsi="Arial"/>
      <w:b/>
      <w:bCs/>
      <w:sz w:val="32"/>
      <w:szCs w:val="32"/>
    </w:rPr>
  </w:style>
  <w:style w:type="paragraph" w:styleId="6">
    <w:name w:val="Body Text Indent"/>
    <w:basedOn w:val="1"/>
    <w:unhideWhenUsed/>
    <w:qFormat/>
    <w:uiPriority w:val="99"/>
    <w:pPr>
      <w:spacing w:after="120"/>
      <w:ind w:left="420" w:leftChars="200"/>
    </w:pPr>
  </w:style>
  <w:style w:type="paragraph" w:styleId="7">
    <w:name w:val="Plain Text"/>
    <w:basedOn w:val="1"/>
    <w:qFormat/>
    <w:uiPriority w:val="0"/>
    <w:rPr>
      <w:rFonts w:ascii="宋体" w:hAnsi="Courier New"/>
      <w:szCs w:val="21"/>
    </w:rPr>
  </w:style>
  <w:style w:type="paragraph" w:styleId="8">
    <w:name w:val="footer"/>
    <w:basedOn w:val="1"/>
    <w:qFormat/>
    <w:uiPriority w:val="99"/>
    <w:pPr>
      <w:tabs>
        <w:tab w:val="center" w:pos="4153"/>
        <w:tab w:val="right" w:pos="8306"/>
      </w:tabs>
      <w:snapToGrid w:val="0"/>
    </w:pPr>
    <w:rPr>
      <w:sz w:val="18"/>
      <w:szCs w:val="18"/>
    </w:rPr>
  </w:style>
  <w:style w:type="paragraph" w:styleId="9">
    <w:name w:val="toc 2"/>
    <w:basedOn w:val="1"/>
    <w:next w:val="1"/>
    <w:unhideWhenUsed/>
    <w:qFormat/>
    <w:uiPriority w:val="39"/>
    <w:pPr>
      <w:widowControl/>
      <w:spacing w:after="100" w:line="259" w:lineRule="auto"/>
      <w:ind w:left="220"/>
    </w:pPr>
    <w:rPr>
      <w:kern w:val="0"/>
      <w:sz w:val="22"/>
    </w:rPr>
  </w:style>
  <w:style w:type="paragraph" w:styleId="10">
    <w:name w:val="Normal (Web)"/>
    <w:basedOn w:val="1"/>
    <w:qFormat/>
    <w:uiPriority w:val="0"/>
    <w:pPr>
      <w:spacing w:beforeAutospacing="1" w:afterAutospacing="1"/>
    </w:pPr>
    <w:rPr>
      <w:kern w:val="0"/>
      <w:sz w:val="24"/>
    </w:rPr>
  </w:style>
  <w:style w:type="paragraph" w:styleId="11">
    <w:name w:val="Body Text First Indent 2"/>
    <w:basedOn w:val="6"/>
    <w:unhideWhenUsed/>
    <w:qFormat/>
    <w:uiPriority w:val="99"/>
    <w:pPr>
      <w:ind w:firstLine="42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FollowedHyperlink"/>
    <w:basedOn w:val="14"/>
    <w:qFormat/>
    <w:uiPriority w:val="0"/>
    <w:rPr>
      <w:color w:val="696969"/>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Variable"/>
    <w:basedOn w:val="14"/>
    <w:qFormat/>
    <w:uiPriority w:val="0"/>
  </w:style>
  <w:style w:type="character" w:styleId="20">
    <w:name w:val="Hyperlink"/>
    <w:basedOn w:val="14"/>
    <w:qFormat/>
    <w:uiPriority w:val="0"/>
    <w:rPr>
      <w:color w:val="696969"/>
      <w:u w:val="none"/>
    </w:rPr>
  </w:style>
  <w:style w:type="character" w:styleId="21">
    <w:name w:val="HTML Code"/>
    <w:basedOn w:val="14"/>
    <w:qFormat/>
    <w:uiPriority w:val="0"/>
    <w:rPr>
      <w:rFonts w:ascii="Courier New" w:hAnsi="Courier New"/>
      <w:sz w:val="20"/>
    </w:rPr>
  </w:style>
  <w:style w:type="character" w:styleId="22">
    <w:name w:val="HTML Cite"/>
    <w:basedOn w:val="14"/>
    <w:qFormat/>
    <w:uiPriority w:val="0"/>
    <w:rPr>
      <w:rFonts w:ascii="Helvetica" w:hAnsi="Helvetica" w:eastAsia="Helvetica" w:cs="Helvetica"/>
      <w:sz w:val="19"/>
      <w:szCs w:val="19"/>
    </w:rPr>
  </w:style>
  <w:style w:type="character" w:styleId="23">
    <w:name w:val="HTML Keyboard"/>
    <w:basedOn w:val="14"/>
    <w:qFormat/>
    <w:uiPriority w:val="0"/>
    <w:rPr>
      <w:rFonts w:ascii="Courier New" w:hAnsi="Courier New"/>
      <w:sz w:val="20"/>
    </w:rPr>
  </w:style>
  <w:style w:type="character" w:styleId="24">
    <w:name w:val="HTML Sample"/>
    <w:basedOn w:val="14"/>
    <w:qFormat/>
    <w:uiPriority w:val="0"/>
    <w:rPr>
      <w:rFonts w:ascii="Courier New" w:hAnsi="Courier New"/>
    </w:rPr>
  </w:style>
  <w:style w:type="character" w:customStyle="1" w:styleId="25">
    <w:name w:val="hover2"/>
    <w:basedOn w:val="14"/>
    <w:qFormat/>
    <w:uiPriority w:val="0"/>
    <w:rPr>
      <w:color w:val="333333"/>
      <w:u w:val="single"/>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7">
    <w:name w:val="after8"/>
    <w:basedOn w:val="14"/>
    <w:qFormat/>
    <w:uiPriority w:val="0"/>
    <w:rPr>
      <w:bdr w:val="dashed" w:color="auto" w:sz="48" w:space="0"/>
    </w:rPr>
  </w:style>
  <w:style w:type="character" w:customStyle="1" w:styleId="28">
    <w:name w:val="after9"/>
    <w:basedOn w:val="14"/>
    <w:qFormat/>
    <w:uiPriority w:val="0"/>
  </w:style>
  <w:style w:type="character" w:customStyle="1" w:styleId="29">
    <w:name w:val="hover52"/>
    <w:basedOn w:val="14"/>
    <w:qFormat/>
    <w:uiPriority w:val="0"/>
  </w:style>
  <w:style w:type="character" w:customStyle="1" w:styleId="30">
    <w:name w:val="hover53"/>
    <w:basedOn w:val="14"/>
    <w:qFormat/>
    <w:uiPriority w:val="0"/>
    <w:rPr>
      <w:shd w:val="clear" w:color="auto" w:fill="2590FF"/>
    </w:rPr>
  </w:style>
  <w:style w:type="character" w:customStyle="1" w:styleId="31">
    <w:name w:val="hover54"/>
    <w:basedOn w:val="14"/>
    <w:qFormat/>
    <w:uiPriority w:val="0"/>
    <w:rPr>
      <w:color w:val="4285F4"/>
    </w:rPr>
  </w:style>
  <w:style w:type="character" w:customStyle="1" w:styleId="32">
    <w:name w:val="hover55"/>
    <w:basedOn w:val="14"/>
    <w:qFormat/>
    <w:uiPriority w:val="0"/>
    <w:rPr>
      <w:color w:val="2590FF"/>
      <w:u w:val="none"/>
    </w:rPr>
  </w:style>
  <w:style w:type="character" w:customStyle="1" w:styleId="33">
    <w:name w:val="hover56"/>
    <w:basedOn w:val="14"/>
    <w:qFormat/>
    <w:uiPriority w:val="0"/>
    <w:rPr>
      <w:color w:val="2590FF"/>
    </w:rPr>
  </w:style>
  <w:style w:type="character" w:customStyle="1" w:styleId="34">
    <w:name w:val="hover57"/>
    <w:basedOn w:val="14"/>
    <w:qFormat/>
    <w:uiPriority w:val="0"/>
    <w:rPr>
      <w:color w:val="1A85D7"/>
    </w:rPr>
  </w:style>
  <w:style w:type="character" w:customStyle="1" w:styleId="35">
    <w:name w:val="empty"/>
    <w:basedOn w:val="14"/>
    <w:qFormat/>
    <w:uiPriority w:val="0"/>
  </w:style>
  <w:style w:type="character" w:customStyle="1" w:styleId="36">
    <w:name w:val="before"/>
    <w:basedOn w:val="14"/>
    <w:qFormat/>
    <w:uiPriority w:val="0"/>
    <w:rPr>
      <w:bdr w:val="single" w:color="auto" w:sz="48" w:space="0"/>
    </w:rPr>
  </w:style>
  <w:style w:type="character" w:customStyle="1" w:styleId="37">
    <w:name w:val="before1"/>
    <w:basedOn w:val="14"/>
    <w:qFormat/>
    <w:uiPriority w:val="0"/>
    <w:rPr>
      <w:shd w:val="clear" w:color="auto" w:fill="D8D8D8"/>
    </w:rPr>
  </w:style>
  <w:style w:type="character" w:customStyle="1" w:styleId="38">
    <w:name w:val="credit"/>
    <w:basedOn w:val="14"/>
    <w:qFormat/>
    <w:uiPriority w:val="0"/>
    <w:rPr>
      <w:sz w:val="18"/>
      <w:szCs w:val="18"/>
    </w:rPr>
  </w:style>
  <w:style w:type="character" w:customStyle="1" w:styleId="39">
    <w:name w:val="last-child1"/>
    <w:basedOn w:val="14"/>
    <w:qFormat/>
    <w:uiPriority w:val="0"/>
  </w:style>
  <w:style w:type="character" w:customStyle="1" w:styleId="40">
    <w:name w:val="active"/>
    <w:basedOn w:val="14"/>
    <w:qFormat/>
    <w:uiPriority w:val="0"/>
    <w:rPr>
      <w:color w:val="4285F4"/>
      <w:bdr w:val="single" w:color="4285F4" w:sz="6" w:space="0"/>
    </w:rPr>
  </w:style>
  <w:style w:type="character" w:customStyle="1" w:styleId="41">
    <w:name w:val="lui-classic-hidden"/>
    <w:basedOn w:val="14"/>
    <w:qFormat/>
    <w:uiPriority w:val="0"/>
    <w:rPr>
      <w:vanish/>
    </w:rPr>
  </w:style>
  <w:style w:type="character" w:customStyle="1" w:styleId="42">
    <w:name w:val="radio-label"/>
    <w:basedOn w:val="14"/>
    <w:qFormat/>
    <w:uiPriority w:val="0"/>
    <w:rPr>
      <w:sz w:val="24"/>
      <w:szCs w:val="24"/>
    </w:rPr>
  </w:style>
  <w:style w:type="character" w:customStyle="1" w:styleId="43">
    <w:name w:val="first-child"/>
    <w:basedOn w:val="14"/>
    <w:qFormat/>
    <w:uiPriority w:val="0"/>
  </w:style>
  <w:style w:type="character" w:customStyle="1" w:styleId="44">
    <w:name w:val="after"/>
    <w:basedOn w:val="14"/>
    <w:qFormat/>
    <w:uiPriority w:val="0"/>
    <w:rPr>
      <w:bdr w:val="dashed" w:color="auto" w:sz="48" w:space="0"/>
    </w:rPr>
  </w:style>
  <w:style w:type="character" w:customStyle="1" w:styleId="45">
    <w:name w:val="after1"/>
    <w:basedOn w:val="14"/>
    <w:qFormat/>
    <w:uiPriority w:val="0"/>
  </w:style>
  <w:style w:type="character" w:customStyle="1" w:styleId="46">
    <w:name w:val="hover"/>
    <w:basedOn w:val="14"/>
    <w:qFormat/>
    <w:uiPriority w:val="0"/>
    <w:rPr>
      <w:shd w:val="clear" w:color="auto" w:fill="2590FF"/>
    </w:rPr>
  </w:style>
  <w:style w:type="character" w:customStyle="1" w:styleId="47">
    <w:name w:val="hover1"/>
    <w:basedOn w:val="14"/>
    <w:qFormat/>
    <w:uiPriority w:val="0"/>
  </w:style>
  <w:style w:type="character" w:customStyle="1" w:styleId="48">
    <w:name w:val="hover3"/>
    <w:basedOn w:val="14"/>
    <w:qFormat/>
    <w:uiPriority w:val="0"/>
    <w:rPr>
      <w:color w:val="2590FF"/>
    </w:rPr>
  </w:style>
  <w:style w:type="character" w:customStyle="1" w:styleId="49">
    <w:name w:val="hover4"/>
    <w:basedOn w:val="14"/>
    <w:qFormat/>
    <w:uiPriority w:val="0"/>
    <w:rPr>
      <w:color w:val="2590FF"/>
      <w:u w:val="none"/>
    </w:rPr>
  </w:style>
  <w:style w:type="character" w:customStyle="1" w:styleId="50">
    <w:name w:val="hover5"/>
    <w:basedOn w:val="14"/>
    <w:qFormat/>
    <w:uiPriority w:val="0"/>
    <w:rPr>
      <w:color w:val="1A85D7"/>
    </w:rPr>
  </w:style>
  <w:style w:type="character" w:customStyle="1" w:styleId="51">
    <w:name w:val="last-child"/>
    <w:basedOn w:val="14"/>
    <w:qFormat/>
    <w:uiPriority w:val="0"/>
  </w:style>
  <w:style w:type="character" w:customStyle="1" w:styleId="52">
    <w:name w:val="active2"/>
    <w:basedOn w:val="14"/>
    <w:qFormat/>
    <w:uiPriority w:val="0"/>
    <w:rPr>
      <w:color w:val="4285F4"/>
      <w:bdr w:val="single" w:color="4285F4" w:sz="6" w:space="0"/>
    </w:rPr>
  </w:style>
  <w:style w:type="character" w:customStyle="1" w:styleId="53">
    <w:name w:val="qwen-markdown-text"/>
    <w:basedOn w:val="14"/>
    <w:qFormat/>
    <w:uiPriority w:val="0"/>
  </w:style>
  <w:style w:type="paragraph" w:customStyle="1" w:styleId="54">
    <w:name w:val="表格仿宋小四靠左"/>
    <w:basedOn w:val="1"/>
    <w:qFormat/>
    <w:uiPriority w:val="99"/>
    <w:rPr>
      <w:rFonts w:ascii="仿宋_GB2312" w:hAnsi="Times New Roman" w:eastAsia="仿宋_GB2312"/>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3094</Words>
  <Characters>3258</Characters>
  <Lines>122</Lines>
  <Paragraphs>127</Paragraphs>
  <TotalTime>2</TotalTime>
  <ScaleCrop>false</ScaleCrop>
  <LinksUpToDate>false</LinksUpToDate>
  <CharactersWithSpaces>3347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张三</cp:lastModifiedBy>
  <dcterms:modified xsi:type="dcterms:W3CDTF">2026-07-15T04:12:48Z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5873278687674BF091178BC59529CDEB_13</vt:lpwstr>
  </property>
  <property fmtid="{D5CDD505-2E9C-101B-9397-08002B2CF9AE}" pid="4" name="KSOTemplateDocerSaveRecord">
    <vt:lpwstr>eyJoZGlkIjoiMmZjNWUwM2E5NjM0YWZjMzUwZmFkZjg2MDhkYzM3MDIiLCJ1c2VySWQiOiIyNDc2OTQ2ODYifQ==</vt:lpwstr>
  </property>
</Properties>
</file>