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AF2B95">
      <w:pPr>
        <w:adjustRightInd w:val="0"/>
        <w:snapToGrid w:val="0"/>
        <w:rPr>
          <w:sz w:val="28"/>
          <w:szCs w:val="36"/>
        </w:rPr>
      </w:pPr>
      <w:r>
        <w:rPr>
          <w:rFonts w:eastAsia="黑体"/>
          <w:b/>
          <w:sz w:val="52"/>
        </w:rPr>
        <w:drawing>
          <wp:anchor distT="0" distB="0" distL="114300" distR="114300" simplePos="0" relativeHeight="251659264" behindDoc="0" locked="0" layoutInCell="1" allowOverlap="1">
            <wp:simplePos x="0" y="0"/>
            <wp:positionH relativeFrom="column">
              <wp:posOffset>-1158875</wp:posOffset>
            </wp:positionH>
            <wp:positionV relativeFrom="paragraph">
              <wp:posOffset>-1047115</wp:posOffset>
            </wp:positionV>
            <wp:extent cx="7609840" cy="2552700"/>
            <wp:effectExtent l="0" t="0" r="10160" b="0"/>
            <wp:wrapNone/>
            <wp:docPr id="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pic:cNvPicPr>
                      <a:picLocks noChangeAspect="1"/>
                    </pic:cNvPicPr>
                  </pic:nvPicPr>
                  <pic:blipFill>
                    <a:blip r:embed="rId6"/>
                    <a:stretch>
                      <a:fillRect/>
                    </a:stretch>
                  </pic:blipFill>
                  <pic:spPr>
                    <a:xfrm>
                      <a:off x="0" y="0"/>
                      <a:ext cx="7609840" cy="2552700"/>
                    </a:xfrm>
                    <a:prstGeom prst="rect">
                      <a:avLst/>
                    </a:prstGeom>
                    <a:noFill/>
                    <a:ln>
                      <a:noFill/>
                    </a:ln>
                  </pic:spPr>
                </pic:pic>
              </a:graphicData>
            </a:graphic>
          </wp:anchor>
        </w:drawing>
      </w:r>
      <w:r>
        <w:rPr>
          <w:rFonts w:eastAsia="黑体"/>
          <w:b/>
          <w:sz w:val="52"/>
        </w:rPr>
        <w:pict>
          <v:shape id="_x0000_s1030" o:spid="_x0000_s1030" o:spt="75" type="#_x0000_t75" style="position:absolute;left:0pt;margin-left:64.3pt;margin-top:131.45pt;height:40.9pt;width:198.4pt;mso-position-horizontal-relative:page;mso-position-vertical-relative:page;z-index:251660288;mso-width-relative:page;mso-height-relative:page;" o:ole="t" filled="f" o:preferrelative="t" stroked="f" coordsize="21600,21600">
            <v:path/>
            <v:fill on="f" focussize="0,0"/>
            <v:stroke on="f" joinstyle="miter"/>
            <v:imagedata r:id="rId8" o:title=""/>
            <o:lock v:ext="edit" aspectratio="f"/>
          </v:shape>
          <o:OLEObject Type="Embed" ProgID="PBrush" ShapeID="_x0000_s1030" DrawAspect="Content" ObjectID="_1468075725" r:id="rId7">
            <o:LockedField>false</o:LockedField>
          </o:OLEObject>
        </w:pict>
      </w:r>
    </w:p>
    <w:p w14:paraId="2A27A15C">
      <w:pPr>
        <w:adjustRightInd w:val="0"/>
        <w:snapToGrid w:val="0"/>
        <w:rPr>
          <w:sz w:val="28"/>
          <w:szCs w:val="36"/>
        </w:rPr>
      </w:pPr>
    </w:p>
    <w:p w14:paraId="4D662308">
      <w:pPr>
        <w:adjustRightInd w:val="0"/>
        <w:snapToGrid w:val="0"/>
        <w:rPr>
          <w:sz w:val="28"/>
          <w:szCs w:val="36"/>
        </w:rPr>
      </w:pPr>
    </w:p>
    <w:p w14:paraId="625AD73A">
      <w:pPr>
        <w:adjustRightInd w:val="0"/>
        <w:snapToGrid w:val="0"/>
        <w:rPr>
          <w:sz w:val="28"/>
          <w:szCs w:val="36"/>
        </w:rPr>
      </w:pPr>
    </w:p>
    <w:p w14:paraId="51FFA66F">
      <w:pPr>
        <w:adjustRightInd w:val="0"/>
        <w:snapToGrid w:val="0"/>
        <w:rPr>
          <w:sz w:val="28"/>
          <w:szCs w:val="36"/>
        </w:rPr>
      </w:pPr>
    </w:p>
    <w:p w14:paraId="57A0CC69">
      <w:pPr>
        <w:adjustRightInd w:val="0"/>
        <w:snapToGrid w:val="0"/>
        <w:rPr>
          <w:sz w:val="28"/>
          <w:szCs w:val="36"/>
        </w:rPr>
      </w:pPr>
    </w:p>
    <w:p w14:paraId="4ECEBB0D">
      <w:pPr>
        <w:adjustRightInd w:val="0"/>
        <w:snapToGrid w:val="0"/>
        <w:rPr>
          <w:sz w:val="28"/>
          <w:szCs w:val="36"/>
        </w:rPr>
      </w:pPr>
    </w:p>
    <w:p w14:paraId="6BEAB291">
      <w:pPr>
        <w:adjustRightInd w:val="0"/>
        <w:snapToGrid w:val="0"/>
        <w:rPr>
          <w:sz w:val="28"/>
          <w:szCs w:val="36"/>
        </w:rPr>
      </w:pPr>
    </w:p>
    <w:p w14:paraId="5FF96DB3">
      <w:pPr>
        <w:adjustRightInd w:val="0"/>
        <w:snapToGrid w:val="0"/>
        <w:jc w:val="center"/>
        <w:rPr>
          <w:rFonts w:hint="eastAsia" w:eastAsia="黑体"/>
          <w:b/>
          <w:sz w:val="52"/>
        </w:rPr>
      </w:pPr>
      <w:r>
        <w:rPr>
          <w:rFonts w:hint="eastAsia" w:eastAsia="黑体"/>
          <w:b/>
          <w:sz w:val="52"/>
        </w:rPr>
        <w:t>高空作业无极绳结可通适配滑车</w:t>
      </w:r>
    </w:p>
    <w:p w14:paraId="25D16481">
      <w:pPr>
        <w:adjustRightInd w:val="0"/>
        <w:snapToGrid w:val="0"/>
        <w:jc w:val="center"/>
        <w:rPr>
          <w:rFonts w:eastAsia="黑体"/>
          <w:b/>
          <w:sz w:val="52"/>
        </w:rPr>
      </w:pPr>
      <w:r>
        <w:rPr>
          <w:rFonts w:eastAsia="黑体"/>
          <w:b/>
          <w:sz w:val="52"/>
        </w:rPr>
        <w:t>技术规范书</w:t>
      </w:r>
    </w:p>
    <w:p w14:paraId="6D097E34">
      <w:pPr>
        <w:adjustRightInd w:val="0"/>
        <w:snapToGrid w:val="0"/>
        <w:rPr>
          <w:sz w:val="28"/>
          <w:szCs w:val="36"/>
        </w:rPr>
      </w:pPr>
    </w:p>
    <w:p w14:paraId="24228B6F">
      <w:pPr>
        <w:pStyle w:val="11"/>
      </w:pPr>
    </w:p>
    <w:p w14:paraId="622D7099">
      <w:pPr>
        <w:adjustRightInd w:val="0"/>
        <w:snapToGrid w:val="0"/>
        <w:rPr>
          <w:sz w:val="28"/>
          <w:szCs w:val="36"/>
        </w:rPr>
      </w:pPr>
    </w:p>
    <w:p w14:paraId="5031AAA0">
      <w:pPr>
        <w:pStyle w:val="11"/>
        <w:rPr>
          <w:sz w:val="28"/>
          <w:szCs w:val="36"/>
        </w:rPr>
      </w:pPr>
    </w:p>
    <w:p w14:paraId="44932D83">
      <w:pPr>
        <w:pStyle w:val="11"/>
        <w:rPr>
          <w:sz w:val="28"/>
          <w:szCs w:val="36"/>
        </w:rPr>
      </w:pPr>
    </w:p>
    <w:p w14:paraId="125B6D53">
      <w:pPr>
        <w:pStyle w:val="11"/>
        <w:rPr>
          <w:sz w:val="28"/>
          <w:szCs w:val="36"/>
        </w:rPr>
      </w:pPr>
    </w:p>
    <w:p w14:paraId="78B573E3">
      <w:pPr>
        <w:adjustRightInd w:val="0"/>
        <w:snapToGrid w:val="0"/>
        <w:rPr>
          <w:sz w:val="28"/>
          <w:szCs w:val="36"/>
        </w:rPr>
      </w:pPr>
    </w:p>
    <w:p w14:paraId="642BB1E4">
      <w:pPr>
        <w:adjustRightInd w:val="0"/>
        <w:snapToGrid w:val="0"/>
        <w:rPr>
          <w:sz w:val="28"/>
          <w:szCs w:val="36"/>
        </w:rPr>
      </w:pPr>
    </w:p>
    <w:p w14:paraId="7B545D5A">
      <w:pPr>
        <w:adjustRightInd w:val="0"/>
        <w:snapToGrid w:val="0"/>
        <w:jc w:val="center"/>
        <w:rPr>
          <w:rFonts w:ascii="黑体" w:hAnsi="黑体" w:eastAsia="黑体" w:cs="黑体"/>
          <w:sz w:val="32"/>
          <w:szCs w:val="32"/>
        </w:rPr>
      </w:pPr>
      <w:r>
        <w:rPr>
          <w:rFonts w:hint="eastAsia" w:ascii="黑体" w:hAnsi="黑体" w:eastAsia="黑体" w:cs="黑体"/>
          <w:sz w:val="32"/>
          <w:szCs w:val="32"/>
        </w:rPr>
        <w:t>中国南方电网超高压输电公司南宁局</w:t>
      </w:r>
    </w:p>
    <w:p w14:paraId="6E8E4A9E">
      <w:pPr>
        <w:adjustRightInd w:val="0"/>
        <w:snapToGrid w:val="0"/>
        <w:jc w:val="center"/>
        <w:rPr>
          <w:rFonts w:hint="default" w:ascii="黑体" w:hAnsi="黑体" w:eastAsia="黑体" w:cs="黑体"/>
          <w:sz w:val="32"/>
          <w:szCs w:val="32"/>
          <w:lang w:val="en-US" w:eastAsia="zh-CN"/>
        </w:rPr>
      </w:pPr>
      <w:r>
        <w:rPr>
          <w:rFonts w:hint="eastAsia" w:ascii="黑体" w:hAnsi="黑体" w:eastAsia="黑体" w:cs="黑体"/>
          <w:sz w:val="32"/>
          <w:szCs w:val="32"/>
        </w:rPr>
        <w:t>2026年</w:t>
      </w:r>
      <w:r>
        <w:rPr>
          <w:rFonts w:hint="eastAsia" w:ascii="黑体" w:hAnsi="黑体" w:eastAsia="黑体" w:cs="黑体"/>
          <w:sz w:val="32"/>
          <w:szCs w:val="32"/>
          <w:lang w:val="en-US" w:eastAsia="zh-CN"/>
        </w:rPr>
        <w:t>6月</w:t>
      </w:r>
    </w:p>
    <w:p w14:paraId="63D1723A">
      <w:pPr>
        <w:adjustRightInd w:val="0"/>
        <w:snapToGrid w:val="0"/>
        <w:jc w:val="center"/>
        <w:rPr>
          <w:rFonts w:ascii="黑体" w:hAnsi="黑体" w:eastAsia="黑体" w:cs="黑体"/>
          <w:sz w:val="32"/>
          <w:szCs w:val="32"/>
        </w:rPr>
        <w:sectPr>
          <w:pgSz w:w="11906" w:h="16838"/>
          <w:pgMar w:top="1440" w:right="1800" w:bottom="1440" w:left="1800" w:header="851" w:footer="992" w:gutter="0"/>
          <w:cols w:space="425" w:num="1"/>
          <w:docGrid w:type="lines" w:linePitch="312" w:charSpace="0"/>
        </w:sectPr>
      </w:pPr>
    </w:p>
    <w:p w14:paraId="75180B63">
      <w:pPr>
        <w:snapToGrid w:val="0"/>
        <w:spacing w:before="120"/>
        <w:rPr>
          <w:rFonts w:ascii="黑体" w:hAnsi="黑体" w:eastAsia="黑体" w:cs="黑体"/>
          <w:b/>
          <w:bCs/>
          <w:sz w:val="28"/>
          <w:szCs w:val="28"/>
        </w:rPr>
      </w:pPr>
      <w:r>
        <w:rPr>
          <w:rFonts w:hint="eastAsia" w:ascii="黑体" w:hAnsi="黑体" w:eastAsia="黑体" w:cs="黑体"/>
          <w:b/>
          <w:bCs/>
          <w:sz w:val="28"/>
          <w:szCs w:val="36"/>
        </w:rPr>
        <w:t>1 总则</w:t>
      </w:r>
    </w:p>
    <w:p w14:paraId="3679B985">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 本技术规范书适用于中国南方电网超高压输电公司南宁局职工技术创新项目《高空作业无极绳结可通适配滑车》研发、样机试制、室内力学与现场工况试验、出厂验收、现场交付及售后维保全流程，明确滑车结构、材料、力学性能、通结功能、夹持机构、挂载模式、试验、交付服务全部最低强制性技术要求，投标方须提供完全满足本规范全套滑车实物及配套完整技术资料。</w:t>
      </w:r>
    </w:p>
    <w:p w14:paraId="5B3D58C2">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1.2 本技术规范书提出的是最低限度的技术要求，并未对一切技术细节做出规定，投标方应提供符合本规范书的项目成果。</w:t>
      </w:r>
    </w:p>
    <w:p w14:paraId="33FE6929">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1.3 如投标方提供的技术服务或方案与本技术规范书要求有差异，即使是微小的差异，也应以书面形式言明，并说明原因。如投标方没有以书面形式对本技术规范书的条文提出异议，那么投标方提供的技术服务或方案应完全满足本技术规范书的要求。</w:t>
      </w:r>
    </w:p>
    <w:p w14:paraId="6D3CDFD6">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1.4 在根据本技术规范书签订协议之后，招标方有权提出因标准或规程规范发生变化而产生的一些补充，具体项目由招标方、投标方双方共同商定。</w:t>
      </w:r>
    </w:p>
    <w:p w14:paraId="38562D8F">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1.5 本技术规范书所使用的标准如与投标方所执行的标准发生矛盾时，按较高标准执行，本技术规范书未全部引用应用标准，凡是本技术规范书牵涉的各项内容均按最新标准实施。</w:t>
      </w:r>
    </w:p>
    <w:p w14:paraId="5D1E9818">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z w:val="24"/>
          <w:lang w:val="en-US" w:eastAsia="zh-CN"/>
        </w:rPr>
        <w:t>6</w:t>
      </w:r>
      <w:r>
        <w:rPr>
          <w:rFonts w:hint="eastAsia" w:asciiTheme="minorEastAsia" w:hAnsiTheme="minorEastAsia" w:eastAsiaTheme="minorEastAsia" w:cstheme="minorEastAsia"/>
          <w:sz w:val="24"/>
        </w:rPr>
        <w:t xml:space="preserve"> 本技术规范书未尽事宜，由招标方与投标方双方协商确定。</w:t>
      </w:r>
    </w:p>
    <w:p w14:paraId="79BDC60E">
      <w:pPr>
        <w:snapToGrid w:val="0"/>
        <w:spacing w:before="120"/>
        <w:rPr>
          <w:rFonts w:ascii="黑体" w:hAnsi="黑体" w:eastAsia="黑体" w:cs="黑体"/>
          <w:b/>
          <w:bCs/>
          <w:sz w:val="28"/>
          <w:szCs w:val="36"/>
        </w:rPr>
      </w:pPr>
      <w:bookmarkStart w:id="0" w:name="_Toc26376"/>
      <w:bookmarkStart w:id="1" w:name="_Toc155114607"/>
      <w:bookmarkStart w:id="2" w:name="_Toc241911995"/>
      <w:r>
        <w:rPr>
          <w:rFonts w:hint="eastAsia" w:ascii="黑体" w:hAnsi="黑体" w:eastAsia="黑体" w:cs="黑体"/>
          <w:b/>
          <w:bCs/>
          <w:sz w:val="28"/>
          <w:szCs w:val="36"/>
        </w:rPr>
        <w:t xml:space="preserve">2 </w:t>
      </w:r>
      <w:bookmarkEnd w:id="0"/>
      <w:bookmarkStart w:id="3" w:name="_Toc441483964"/>
      <w:bookmarkStart w:id="4" w:name="_Toc531004264"/>
      <w:bookmarkStart w:id="5" w:name="_Toc531004210"/>
      <w:r>
        <w:rPr>
          <w:rFonts w:hint="eastAsia" w:ascii="黑体" w:hAnsi="黑体" w:eastAsia="黑体" w:cs="黑体"/>
          <w:b/>
          <w:bCs/>
          <w:sz w:val="28"/>
          <w:szCs w:val="36"/>
        </w:rPr>
        <w:t>项目有关内容</w:t>
      </w:r>
      <w:bookmarkEnd w:id="3"/>
      <w:bookmarkEnd w:id="4"/>
      <w:bookmarkEnd w:id="5"/>
    </w:p>
    <w:p w14:paraId="5D9AFC14">
      <w:pPr>
        <w:rPr>
          <w:rFonts w:hint="eastAsia" w:asciiTheme="minorEastAsia" w:hAnsiTheme="minorEastAsia" w:eastAsiaTheme="minorEastAsia" w:cstheme="minorEastAsia"/>
          <w:sz w:val="24"/>
        </w:rPr>
      </w:pPr>
      <w:bookmarkStart w:id="6" w:name="_Toc309593259"/>
      <w:bookmarkStart w:id="7" w:name="_Toc309805583"/>
      <w:bookmarkStart w:id="8" w:name="_Toc309593188"/>
      <w:bookmarkStart w:id="9" w:name="_Toc312827019"/>
      <w:r>
        <w:rPr>
          <w:rFonts w:hint="eastAsia" w:asciiTheme="minorEastAsia" w:hAnsiTheme="minorEastAsia" w:eastAsiaTheme="minorEastAsia" w:cstheme="minorEastAsia"/>
          <w:sz w:val="24"/>
          <w:lang w:val="en-US" w:eastAsia="zh-CN"/>
        </w:rPr>
        <w:t>2.1</w:t>
      </w:r>
      <w:r>
        <w:rPr>
          <w:rFonts w:hint="eastAsia" w:asciiTheme="minorEastAsia" w:hAnsiTheme="minorEastAsia" w:eastAsiaTheme="minorEastAsia" w:cstheme="minorEastAsia"/>
          <w:sz w:val="24"/>
        </w:rPr>
        <w:t>项目名称</w:t>
      </w:r>
      <w:bookmarkEnd w:id="6"/>
      <w:bookmarkEnd w:id="7"/>
      <w:bookmarkEnd w:id="8"/>
      <w:bookmarkEnd w:id="9"/>
    </w:p>
    <w:p w14:paraId="4FD8E0D6">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高空作业无极绳结可通适配滑车</w:t>
      </w:r>
    </w:p>
    <w:p w14:paraId="0063F22A">
      <w:pP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2.</w:t>
      </w:r>
      <w:r>
        <w:rPr>
          <w:rFonts w:hint="eastAsia" w:asciiTheme="minorEastAsia" w:hAnsiTheme="minorEastAsia" w:eastAsiaTheme="minorEastAsia" w:cstheme="minorEastAsia"/>
          <w:sz w:val="24"/>
          <w:lang w:val="en-US" w:eastAsia="zh-CN"/>
        </w:rPr>
        <w:t>2</w:t>
      </w:r>
      <w:r>
        <w:rPr>
          <w:rFonts w:hint="eastAsia" w:asciiTheme="minorEastAsia" w:hAnsiTheme="minorEastAsia" w:eastAsiaTheme="minorEastAsia" w:cstheme="minorEastAsia"/>
          <w:sz w:val="24"/>
        </w:rPr>
        <w:t>项目</w:t>
      </w:r>
      <w:r>
        <w:rPr>
          <w:rFonts w:hint="eastAsia" w:asciiTheme="minorEastAsia" w:hAnsiTheme="minorEastAsia" w:eastAsiaTheme="minorEastAsia" w:cstheme="minorEastAsia"/>
          <w:sz w:val="24"/>
          <w:lang w:val="en-US" w:eastAsia="zh-CN"/>
        </w:rPr>
        <w:t>内容</w:t>
      </w:r>
    </w:p>
    <w:bookmarkEnd w:id="1"/>
    <w:bookmarkEnd w:id="2"/>
    <w:p w14:paraId="349BA707">
      <w:pPr>
        <w:numPr>
          <w:ilvl w:val="0"/>
          <w:numId w:val="0"/>
        </w:numPr>
        <w:spacing w:before="120" w:after="120" w:line="288" w:lineRule="auto"/>
        <w:ind w:left="0" w:leftChars="0"/>
        <w:jc w:val="left"/>
        <w:rPr>
          <w:rFonts w:hint="eastAsia" w:ascii="宋体" w:hAnsi="宋体" w:eastAsia="宋体" w:cs="宋体"/>
          <w:b w:val="0"/>
          <w:bCs/>
          <w:color w:val="auto"/>
          <w:sz w:val="24"/>
          <w:szCs w:val="24"/>
        </w:rPr>
      </w:pPr>
      <w:bookmarkStart w:id="10" w:name="_Toc39753342"/>
      <w:bookmarkStart w:id="11" w:name="_Toc20556"/>
      <w:bookmarkStart w:id="12" w:name="_Toc39753999"/>
      <w:bookmarkStart w:id="13" w:name="_Toc384340980"/>
      <w:bookmarkStart w:id="14" w:name="_Toc22304900"/>
      <w:r>
        <w:rPr>
          <w:rFonts w:hint="eastAsia" w:ascii="宋体" w:hAnsi="宋体" w:eastAsia="宋体" w:cs="宋体"/>
          <w:b w:val="0"/>
          <w:bCs/>
          <w:color w:val="auto"/>
          <w:sz w:val="24"/>
          <w:szCs w:val="24"/>
        </w:rPr>
        <w:t>本项目针对超、特高压输电线路高空架线、导线检修、工器具物料牵引作业四大行业痛点开展专用滑车研发：</w:t>
      </w:r>
    </w:p>
    <w:p w14:paraId="2B815D17">
      <w:pPr>
        <w:numPr>
          <w:ilvl w:val="0"/>
          <w:numId w:val="0"/>
        </w:numPr>
        <w:spacing w:before="120" w:after="120" w:line="288" w:lineRule="auto"/>
        <w:ind w:left="0" w:leftChars="0"/>
        <w:jc w:val="left"/>
        <w:rPr>
          <w:rFonts w:hint="eastAsia" w:ascii="宋体" w:hAnsi="宋体" w:eastAsia="宋体" w:cs="宋体"/>
          <w:b w:val="0"/>
          <w:bCs/>
          <w:color w:val="auto"/>
          <w:sz w:val="24"/>
          <w:szCs w:val="24"/>
        </w:rPr>
      </w:pPr>
      <w:r>
        <w:rPr>
          <w:rFonts w:hint="eastAsia" w:ascii="宋体" w:hAnsi="宋体" w:eastAsia="宋体" w:cs="宋体"/>
          <w:b w:val="0"/>
          <w:bCs/>
          <w:color w:val="auto"/>
          <w:kern w:val="2"/>
          <w:sz w:val="24"/>
          <w:szCs w:val="24"/>
          <w:lang w:val="en-US" w:eastAsia="zh-CN" w:bidi="ar-SA"/>
        </w:rPr>
        <w:t>1.</w:t>
      </w:r>
      <w:r>
        <w:rPr>
          <w:rFonts w:hint="eastAsia" w:ascii="宋体" w:hAnsi="宋体" w:eastAsia="宋体" w:cs="宋体"/>
          <w:b w:val="0"/>
          <w:bCs/>
          <w:color w:val="auto"/>
          <w:sz w:val="24"/>
          <w:szCs w:val="24"/>
        </w:rPr>
        <w:t>传统封闭式滑轮无法通行无极绳结，高空安全风险高</w:t>
      </w:r>
      <w:r>
        <w:rPr>
          <w:rFonts w:hint="eastAsia" w:ascii="宋体" w:hAnsi="宋体" w:eastAsia="宋体" w:cs="宋体"/>
          <w:b w:val="0"/>
          <w:bCs/>
          <w:color w:val="auto"/>
          <w:sz w:val="24"/>
          <w:szCs w:val="24"/>
        </w:rPr>
        <w:br w:type="textWrapping"/>
      </w:r>
      <w:r>
        <w:rPr>
          <w:rFonts w:hint="eastAsia" w:ascii="宋体" w:hAnsi="宋体" w:eastAsia="宋体" w:cs="宋体"/>
          <w:b w:val="0"/>
          <w:bCs/>
          <w:color w:val="auto"/>
          <w:sz w:val="24"/>
          <w:szCs w:val="24"/>
        </w:rPr>
        <w:t>传统滑车滑轮槽为固定封闭结构，无极绳结外径大于滑轮入口，作业人员必须在高塔高空拆解绳结、重新穿绳绑扎，单次作业额外增加 5～15 分钟高空操作；拆解过程绳索受力易滑脱，极易引发人员高空坠落、工器具坠物伤人事故。</w:t>
      </w:r>
    </w:p>
    <w:p w14:paraId="7F40D566">
      <w:pPr>
        <w:numPr>
          <w:ilvl w:val="0"/>
          <w:numId w:val="0"/>
        </w:numPr>
        <w:spacing w:before="120" w:after="120" w:line="288" w:lineRule="auto"/>
        <w:ind w:left="0" w:leftChars="0"/>
        <w:jc w:val="left"/>
        <w:rPr>
          <w:rFonts w:hint="eastAsia" w:ascii="宋体" w:hAnsi="宋体" w:eastAsia="宋体" w:cs="宋体"/>
          <w:b w:val="0"/>
          <w:bCs/>
          <w:color w:val="auto"/>
          <w:sz w:val="24"/>
          <w:szCs w:val="24"/>
        </w:rPr>
      </w:pPr>
      <w:r>
        <w:rPr>
          <w:rFonts w:hint="eastAsia" w:ascii="宋体" w:hAnsi="宋体" w:eastAsia="宋体" w:cs="宋体"/>
          <w:b w:val="0"/>
          <w:bCs/>
          <w:color w:val="auto"/>
          <w:kern w:val="2"/>
          <w:sz w:val="24"/>
          <w:szCs w:val="24"/>
          <w:lang w:val="en-US" w:eastAsia="zh-CN" w:bidi="ar-SA"/>
        </w:rPr>
        <w:t>2.</w:t>
      </w:r>
      <w:r>
        <w:rPr>
          <w:rFonts w:hint="eastAsia" w:ascii="宋体" w:hAnsi="宋体" w:eastAsia="宋体" w:cs="宋体"/>
          <w:b w:val="0"/>
          <w:bCs/>
          <w:color w:val="auto"/>
          <w:sz w:val="24"/>
          <w:szCs w:val="24"/>
        </w:rPr>
        <w:t>无双重自锁夹持机构，滑车晃动偏移损伤线路设备</w:t>
      </w:r>
      <w:r>
        <w:rPr>
          <w:rFonts w:hint="eastAsia" w:ascii="宋体" w:hAnsi="宋体" w:eastAsia="宋体" w:cs="宋体"/>
          <w:b w:val="0"/>
          <w:bCs/>
          <w:color w:val="auto"/>
          <w:sz w:val="24"/>
          <w:szCs w:val="24"/>
        </w:rPr>
        <w:br w:type="textWrapping"/>
      </w:r>
      <w:r>
        <w:rPr>
          <w:rFonts w:hint="eastAsia" w:ascii="宋体" w:hAnsi="宋体" w:eastAsia="宋体" w:cs="宋体"/>
          <w:b w:val="0"/>
          <w:bCs/>
          <w:color w:val="auto"/>
          <w:sz w:val="24"/>
          <w:szCs w:val="24"/>
        </w:rPr>
        <w:t>常规滑车仅依靠简易挂钩悬挂，无弹性锁舌、二次自锁卡扣；牵引受力不均、绳结卡阻时滑车大幅偏移翻转，持续撞击铁塔、导线、绝缘子，造成线路构件表面损伤，牵引轨迹偏移，作业精准度差。</w:t>
      </w:r>
    </w:p>
    <w:p w14:paraId="6FCCB2AA">
      <w:pPr>
        <w:numPr>
          <w:ilvl w:val="0"/>
          <w:numId w:val="0"/>
        </w:numPr>
        <w:spacing w:before="120" w:after="120" w:line="288" w:lineRule="auto"/>
        <w:ind w:left="0" w:leftChars="0"/>
        <w:jc w:val="left"/>
        <w:rPr>
          <w:rFonts w:hint="eastAsia" w:ascii="宋体" w:hAnsi="宋体" w:eastAsia="宋体" w:cs="宋体"/>
          <w:b w:val="0"/>
          <w:bCs/>
          <w:color w:val="auto"/>
          <w:sz w:val="24"/>
          <w:szCs w:val="24"/>
        </w:rPr>
      </w:pPr>
      <w:r>
        <w:rPr>
          <w:rFonts w:hint="eastAsia" w:ascii="宋体" w:hAnsi="宋体" w:eastAsia="宋体" w:cs="宋体"/>
          <w:b w:val="0"/>
          <w:bCs/>
          <w:color w:val="auto"/>
          <w:kern w:val="2"/>
          <w:sz w:val="24"/>
          <w:szCs w:val="24"/>
          <w:lang w:val="en-US" w:eastAsia="zh-CN" w:bidi="ar-SA"/>
        </w:rPr>
        <w:t>3.</w:t>
      </w:r>
      <w:r>
        <w:rPr>
          <w:rFonts w:hint="eastAsia" w:ascii="宋体" w:hAnsi="宋体" w:eastAsia="宋体" w:cs="宋体"/>
          <w:b w:val="0"/>
          <w:bCs/>
          <w:color w:val="auto"/>
          <w:sz w:val="24"/>
          <w:szCs w:val="24"/>
        </w:rPr>
        <w:t>铸铁厚重结构，便携性差、狭窄工况无法使用</w:t>
      </w:r>
      <w:r>
        <w:rPr>
          <w:rFonts w:hint="eastAsia" w:ascii="宋体" w:hAnsi="宋体" w:eastAsia="宋体" w:cs="宋体"/>
          <w:b w:val="0"/>
          <w:bCs/>
          <w:color w:val="auto"/>
          <w:sz w:val="24"/>
          <w:szCs w:val="24"/>
        </w:rPr>
        <w:br w:type="textWrapping"/>
      </w:r>
      <w:r>
        <w:rPr>
          <w:rFonts w:hint="eastAsia" w:ascii="宋体" w:hAnsi="宋体" w:eastAsia="宋体" w:cs="宋体"/>
          <w:b w:val="0"/>
          <w:bCs/>
          <w:color w:val="auto"/>
          <w:sz w:val="24"/>
          <w:szCs w:val="24"/>
        </w:rPr>
        <w:t>市面主流高空滑车采用实心铸铁、厚钢板一体成型，整机自重偏大；无轻量化优化结构，外形臃肿，杆塔横担、导线间隔等狭小作业空间难以安放，高空背负、手持大幅消耗作业人员体力。</w:t>
      </w:r>
    </w:p>
    <w:p w14:paraId="19FC592E">
      <w:pPr>
        <w:numPr>
          <w:ilvl w:val="0"/>
          <w:numId w:val="0"/>
        </w:numPr>
        <w:spacing w:before="120" w:after="120" w:line="288" w:lineRule="auto"/>
        <w:ind w:left="0" w:leftChars="0"/>
        <w:jc w:val="left"/>
        <w:rPr>
          <w:rFonts w:hint="eastAsia" w:ascii="宋体" w:hAnsi="宋体" w:eastAsia="宋体" w:cs="宋体"/>
          <w:b w:val="0"/>
          <w:bCs/>
          <w:sz w:val="24"/>
          <w:szCs w:val="24"/>
        </w:rPr>
      </w:pPr>
      <w:r>
        <w:rPr>
          <w:rFonts w:hint="eastAsia" w:ascii="宋体" w:hAnsi="宋体" w:eastAsia="宋体" w:cs="宋体"/>
          <w:b w:val="0"/>
          <w:bCs/>
          <w:color w:val="auto"/>
          <w:kern w:val="2"/>
          <w:sz w:val="24"/>
          <w:szCs w:val="24"/>
          <w:lang w:val="en-US" w:eastAsia="zh-CN" w:bidi="ar-SA"/>
        </w:rPr>
        <w:t>4.</w:t>
      </w:r>
      <w:r>
        <w:rPr>
          <w:rFonts w:hint="eastAsia" w:ascii="宋体" w:hAnsi="宋体" w:eastAsia="宋体" w:cs="宋体"/>
          <w:b w:val="0"/>
          <w:bCs/>
          <w:sz w:val="24"/>
          <w:szCs w:val="24"/>
        </w:rPr>
        <w:t>仅支持人工攀爬挂设，高风险区段作业难度大</w:t>
      </w:r>
      <w:r>
        <w:rPr>
          <w:rFonts w:hint="eastAsia" w:ascii="宋体" w:hAnsi="宋体" w:eastAsia="宋体" w:cs="宋体"/>
          <w:b w:val="0"/>
          <w:bCs/>
          <w:sz w:val="24"/>
          <w:szCs w:val="24"/>
        </w:rPr>
        <w:br w:type="textWrapping"/>
      </w:r>
      <w:r>
        <w:rPr>
          <w:rFonts w:hint="eastAsia" w:ascii="宋体" w:hAnsi="宋体" w:eastAsia="宋体" w:cs="宋体"/>
          <w:b w:val="0"/>
          <w:bCs/>
          <w:sz w:val="24"/>
          <w:szCs w:val="24"/>
        </w:rPr>
        <w:t>传统滑车仅预留人工握持挂点，作业人员必须攀爬至导线位置完成悬挂；山区大跨越高塔、冰区、高风险带电作业区段人员攀爬风险极高，无远程无人挂载结构，作业模式单一受限。</w:t>
      </w:r>
    </w:p>
    <w:p w14:paraId="01296468">
      <w:pPr>
        <w:spacing w:before="300" w:after="120" w:line="288" w:lineRule="auto"/>
        <w:ind w:left="0"/>
        <w:jc w:val="left"/>
        <w:outlineLvl w:val="2"/>
        <w:rPr>
          <w:rFonts w:hint="eastAsia" w:ascii="宋体" w:hAnsi="宋体" w:eastAsia="宋体" w:cs="宋体"/>
          <w:b w:val="0"/>
          <w:bCs/>
          <w:sz w:val="24"/>
          <w:szCs w:val="24"/>
        </w:rPr>
      </w:pPr>
      <w:bookmarkStart w:id="15" w:name="heading_9"/>
      <w:r>
        <w:rPr>
          <w:rFonts w:hint="eastAsia" w:ascii="宋体" w:hAnsi="宋体" w:eastAsia="宋体" w:cs="宋体"/>
          <w:b w:val="0"/>
          <w:bCs/>
          <w:sz w:val="24"/>
          <w:szCs w:val="24"/>
        </w:rPr>
        <w:t>2.3 项目总体方案</w:t>
      </w:r>
      <w:bookmarkEnd w:id="15"/>
    </w:p>
    <w:p w14:paraId="44074F20">
      <w:pPr>
        <w:spacing w:before="120" w:after="120" w:line="288" w:lineRule="auto"/>
        <w:ind w:left="0"/>
        <w:jc w:val="left"/>
        <w:rPr>
          <w:rFonts w:hint="eastAsia" w:ascii="宋体" w:hAnsi="宋体" w:eastAsia="宋体" w:cs="宋体"/>
          <w:b w:val="0"/>
          <w:bCs/>
          <w:sz w:val="24"/>
          <w:szCs w:val="24"/>
        </w:rPr>
      </w:pPr>
      <w:r>
        <w:rPr>
          <w:rFonts w:hint="eastAsia" w:ascii="宋体" w:hAnsi="宋体" w:eastAsia="宋体" w:cs="宋体"/>
          <w:b w:val="0"/>
          <w:bCs/>
          <w:sz w:val="24"/>
          <w:szCs w:val="24"/>
        </w:rPr>
        <w:t>本滑车以轻量化结构力学、自适应夹持力学、无障碍通绳传动力学为设计核心，完全遵循架空线路高空牵引安全作业规范，集成葫芦式镂空通结滑轮、自适应双重自锁夹持机构、航空铝合金轻量化承载框架、无人机 + 人工双模式挂载四大核心模块，将通结、防晃、轻量化、双挂载功能一体化集成。整机采用航空铝合金轻量化一体成型，搭配不</w:t>
      </w:r>
      <w:r>
        <w:rPr>
          <w:rFonts w:hint="eastAsia" w:ascii="宋体" w:hAnsi="宋体" w:eastAsia="宋体" w:cs="宋体"/>
          <w:b w:val="0"/>
          <w:bCs/>
          <w:sz w:val="24"/>
          <w:szCs w:val="24"/>
        </w:rPr>
        <w:t>锈钢弹性自锁组件、聚氨酯耐磨防护配件，一台滑车同步解决高空牵引绳结通行、滑车晃动、自重过大、挂设方式单一四大现场痛点，全面提升高空牵引作业安全性与施工效率。</w:t>
      </w:r>
    </w:p>
    <w:p w14:paraId="6773497A">
      <w:pPr>
        <w:snapToGrid w:val="0"/>
        <w:spacing w:before="120"/>
        <w:rPr>
          <w:rFonts w:ascii="黑体" w:hAnsi="黑体" w:eastAsia="黑体" w:cs="黑体"/>
          <w:b/>
          <w:bCs/>
          <w:sz w:val="28"/>
          <w:szCs w:val="36"/>
        </w:rPr>
      </w:pPr>
      <w:r>
        <w:rPr>
          <w:rFonts w:hint="eastAsia" w:ascii="黑体" w:hAnsi="黑体" w:eastAsia="黑体" w:cs="黑体"/>
          <w:b/>
          <w:bCs/>
          <w:sz w:val="28"/>
          <w:szCs w:val="36"/>
        </w:rPr>
        <w:t xml:space="preserve">3 </w:t>
      </w:r>
      <w:bookmarkEnd w:id="10"/>
      <w:bookmarkEnd w:id="11"/>
      <w:bookmarkEnd w:id="12"/>
      <w:bookmarkEnd w:id="13"/>
      <w:bookmarkEnd w:id="14"/>
      <w:r>
        <w:rPr>
          <w:rFonts w:hint="eastAsia" w:ascii="黑体" w:hAnsi="黑体" w:eastAsia="黑体" w:cs="黑体"/>
          <w:b/>
          <w:bCs/>
          <w:sz w:val="28"/>
          <w:szCs w:val="36"/>
        </w:rPr>
        <w:t>总体要求</w:t>
      </w:r>
    </w:p>
    <w:p w14:paraId="4CD6B8C4">
      <w:pPr>
        <w:adjustRightInd w:val="0"/>
        <w:snapToGrid w:val="0"/>
        <w:rPr>
          <w:rFonts w:asciiTheme="minorEastAsia" w:hAnsiTheme="minorEastAsia" w:eastAsiaTheme="minorEastAsia" w:cstheme="minorEastAsia"/>
          <w:sz w:val="24"/>
        </w:rPr>
      </w:pPr>
      <w:bookmarkStart w:id="16" w:name="_Toc457979127"/>
      <w:bookmarkStart w:id="17" w:name="_Toc448828694"/>
      <w:bookmarkStart w:id="18" w:name="_Toc457986926"/>
      <w:bookmarkStart w:id="19" w:name="_Toc455373921"/>
      <w:bookmarkStart w:id="20" w:name="_Toc155114612"/>
      <w:bookmarkStart w:id="21" w:name="_Toc482581219"/>
      <w:bookmarkStart w:id="22" w:name="_Toc459534976"/>
      <w:bookmarkStart w:id="23" w:name="_Toc146182538"/>
      <w:bookmarkStart w:id="24" w:name="_Toc455543289"/>
      <w:bookmarkStart w:id="25" w:name="_Toc241912000"/>
      <w:bookmarkStart w:id="26" w:name="_Toc114253693"/>
      <w:r>
        <w:rPr>
          <w:rFonts w:hint="eastAsia" w:asciiTheme="minorEastAsia" w:hAnsiTheme="minorEastAsia" w:eastAsiaTheme="minorEastAsia" w:cstheme="minorEastAsia"/>
          <w:sz w:val="24"/>
        </w:rPr>
        <w:t>3.1 除本规范专项条款外，滑车材料力学性能、整机载荷试验、防腐耐磨、操作规范、预防性试验全部采用现行有效最新版本标准；投标方选用替代材料、加工工艺标准，需提供第三方性能对比检测报告，经招标方书面认可后方可使用，所有标准文件统一提供中文版本。</w:t>
      </w:r>
    </w:p>
    <w:p w14:paraId="647B232C">
      <w:pPr>
        <w:adjustRightInd w:val="0"/>
        <w:snapToGrid w:val="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3.2 主要引用标准如下：</w:t>
      </w:r>
    </w:p>
    <w:p w14:paraId="4E3AB9C2">
      <w:pPr>
        <w:numPr>
          <w:ilvl w:val="0"/>
          <w:numId w:val="0"/>
        </w:numPr>
        <w:spacing w:before="120" w:after="120" w:line="288" w:lineRule="auto"/>
        <w:jc w:val="left"/>
        <w:rPr>
          <w:rFonts w:hint="eastAsia" w:ascii="宋体" w:hAnsi="宋体" w:eastAsia="宋体" w:cs="宋体"/>
          <w:sz w:val="24"/>
          <w:szCs w:val="24"/>
        </w:rPr>
      </w:pPr>
      <w:r>
        <w:rPr>
          <w:rFonts w:hint="eastAsia" w:ascii="宋体" w:hAnsi="宋体" w:eastAsia="宋体" w:cs="宋体"/>
          <w:sz w:val="24"/>
          <w:szCs w:val="24"/>
        </w:rPr>
        <w:t>GB/T 18037-2025《带电作业工具设备基本技术要求与设计导则》</w:t>
      </w:r>
    </w:p>
    <w:p w14:paraId="7E42A96B">
      <w:pPr>
        <w:numPr>
          <w:ilvl w:val="0"/>
          <w:numId w:val="0"/>
        </w:numPr>
        <w:spacing w:before="120" w:after="120" w:line="288" w:lineRule="auto"/>
        <w:jc w:val="left"/>
        <w:rPr>
          <w:rFonts w:hint="eastAsia" w:ascii="宋体" w:hAnsi="宋体" w:eastAsia="宋体" w:cs="宋体"/>
          <w:sz w:val="24"/>
          <w:szCs w:val="24"/>
        </w:rPr>
      </w:pPr>
      <w:r>
        <w:rPr>
          <w:rFonts w:hint="eastAsia" w:ascii="宋体" w:hAnsi="宋体" w:eastAsia="宋体" w:cs="宋体"/>
          <w:sz w:val="24"/>
          <w:szCs w:val="24"/>
        </w:rPr>
        <w:t>DL/T 976《带电作业工具、装置和设备预防性试验规程》</w:t>
      </w:r>
    </w:p>
    <w:p w14:paraId="0722A510">
      <w:pPr>
        <w:numPr>
          <w:ilvl w:val="0"/>
          <w:numId w:val="0"/>
        </w:numPr>
        <w:spacing w:before="120" w:after="120" w:line="288" w:lineRule="auto"/>
        <w:jc w:val="left"/>
        <w:rPr>
          <w:rFonts w:hint="eastAsia" w:ascii="宋体" w:hAnsi="宋体" w:eastAsia="宋体" w:cs="宋体"/>
          <w:sz w:val="24"/>
          <w:szCs w:val="24"/>
        </w:rPr>
      </w:pPr>
      <w:r>
        <w:rPr>
          <w:rFonts w:hint="eastAsia" w:ascii="宋体" w:hAnsi="宋体" w:eastAsia="宋体" w:cs="宋体"/>
          <w:sz w:val="24"/>
          <w:szCs w:val="24"/>
        </w:rPr>
        <w:t>GB 50790《±800kV 直流架空输电线路设计规范》</w:t>
      </w:r>
    </w:p>
    <w:p w14:paraId="2B65F39C">
      <w:pPr>
        <w:numPr>
          <w:ilvl w:val="0"/>
          <w:numId w:val="0"/>
        </w:numPr>
        <w:spacing w:before="120" w:after="120" w:line="288" w:lineRule="auto"/>
        <w:jc w:val="left"/>
        <w:rPr>
          <w:rFonts w:hint="eastAsia" w:ascii="宋体" w:hAnsi="宋体" w:eastAsia="宋体" w:cs="宋体"/>
          <w:sz w:val="24"/>
          <w:szCs w:val="24"/>
        </w:rPr>
      </w:pPr>
      <w:r>
        <w:rPr>
          <w:rFonts w:hint="eastAsia" w:ascii="宋体" w:hAnsi="宋体" w:eastAsia="宋体" w:cs="宋体"/>
          <w:sz w:val="24"/>
          <w:szCs w:val="24"/>
        </w:rPr>
        <w:t>Q/GDW 11675《±1100kV 直流架空输电线路设计规范》</w:t>
      </w:r>
    </w:p>
    <w:p w14:paraId="050E1142">
      <w:pPr>
        <w:numPr>
          <w:ilvl w:val="0"/>
          <w:numId w:val="0"/>
        </w:numPr>
        <w:spacing w:before="120" w:after="120" w:line="288" w:lineRule="auto"/>
        <w:jc w:val="left"/>
        <w:rPr>
          <w:rFonts w:hint="eastAsia" w:ascii="宋体" w:hAnsi="宋体" w:eastAsia="宋体" w:cs="宋体"/>
          <w:sz w:val="24"/>
          <w:szCs w:val="24"/>
        </w:rPr>
      </w:pPr>
      <w:r>
        <w:rPr>
          <w:rFonts w:hint="eastAsia" w:ascii="宋体" w:hAnsi="宋体" w:eastAsia="宋体" w:cs="宋体"/>
          <w:sz w:val="24"/>
          <w:szCs w:val="24"/>
        </w:rPr>
        <w:t>Q/CSG 1205008《南方电网带电作业安全工作规程》</w:t>
      </w:r>
    </w:p>
    <w:p w14:paraId="49F5CBD7">
      <w:pPr>
        <w:numPr>
          <w:ilvl w:val="0"/>
          <w:numId w:val="0"/>
        </w:numPr>
        <w:spacing w:before="120" w:after="120" w:line="288" w:lineRule="auto"/>
        <w:jc w:val="left"/>
        <w:rPr>
          <w:rFonts w:hint="eastAsia" w:ascii="宋体" w:hAnsi="宋体" w:eastAsia="宋体" w:cs="宋体"/>
          <w:sz w:val="24"/>
          <w:szCs w:val="24"/>
        </w:rPr>
      </w:pPr>
      <w:r>
        <w:rPr>
          <w:rFonts w:hint="eastAsia" w:ascii="宋体" w:hAnsi="宋体" w:eastAsia="宋体" w:cs="宋体"/>
          <w:sz w:val="24"/>
          <w:szCs w:val="24"/>
        </w:rPr>
        <w:t>Q/CSG 2153002《南方电网安全工器具管理细则》</w:t>
      </w:r>
    </w:p>
    <w:p w14:paraId="2BD44466">
      <w:pPr>
        <w:numPr>
          <w:ilvl w:val="0"/>
          <w:numId w:val="0"/>
        </w:numPr>
        <w:spacing w:before="120" w:after="120" w:line="288" w:lineRule="auto"/>
        <w:jc w:val="left"/>
        <w:rPr>
          <w:rFonts w:hint="eastAsia" w:ascii="宋体" w:hAnsi="宋体" w:eastAsia="宋体" w:cs="宋体"/>
          <w:sz w:val="24"/>
          <w:szCs w:val="24"/>
        </w:rPr>
      </w:pPr>
      <w:r>
        <w:rPr>
          <w:rFonts w:hint="eastAsia" w:ascii="宋体" w:hAnsi="宋体" w:eastAsia="宋体" w:cs="宋体"/>
          <w:sz w:val="24"/>
          <w:szCs w:val="24"/>
        </w:rPr>
        <w:t>GB/T 14268《带电作业工具设备术语》</w:t>
      </w:r>
    </w:p>
    <w:p w14:paraId="09D92778">
      <w:r>
        <w:rPr>
          <w:rFonts w:hint="eastAsia" w:ascii="Times New Roman" w:hAnsi="Times New Roman"/>
          <w:szCs w:val="21"/>
        </w:rPr>
        <w:t>注：上述标准是招标方</w:t>
      </w:r>
      <w:r>
        <w:rPr>
          <w:rFonts w:hint="eastAsia" w:ascii="Times New Roman" w:hAnsi="Times New Roman"/>
          <w:szCs w:val="21"/>
          <w:lang w:val="en-US" w:eastAsia="zh-CN"/>
        </w:rPr>
        <w:t>基本</w:t>
      </w:r>
      <w:r>
        <w:rPr>
          <w:rFonts w:hint="eastAsia" w:ascii="Times New Roman" w:hAnsi="Times New Roman"/>
          <w:szCs w:val="21"/>
        </w:rPr>
        <w:t>要求。除此标准以外，投标人可以推荐其他标准，但事先必须通过招标方认可，或选择其中较高标准。</w:t>
      </w:r>
    </w:p>
    <w:p w14:paraId="6ACBD1E7">
      <w:pPr>
        <w:snapToGrid w:val="0"/>
        <w:spacing w:before="120"/>
        <w:rPr>
          <w:rFonts w:ascii="黑体" w:hAnsi="黑体" w:eastAsia="黑体" w:cs="黑体"/>
          <w:b/>
          <w:bCs/>
          <w:sz w:val="28"/>
          <w:szCs w:val="36"/>
        </w:rPr>
      </w:pPr>
      <w:bookmarkStart w:id="27" w:name="_Toc384340984"/>
      <w:bookmarkStart w:id="28" w:name="_Toc39754002"/>
      <w:bookmarkStart w:id="29" w:name="_Toc282993253"/>
      <w:bookmarkStart w:id="30" w:name="_Toc22304904"/>
      <w:bookmarkStart w:id="31" w:name="_Toc39753345"/>
      <w:bookmarkStart w:id="32" w:name="_Toc32408"/>
      <w:r>
        <w:rPr>
          <w:rFonts w:hint="eastAsia" w:ascii="黑体" w:hAnsi="黑体" w:eastAsia="黑体" w:cs="黑体"/>
          <w:b/>
          <w:bCs/>
          <w:sz w:val="28"/>
          <w:szCs w:val="36"/>
        </w:rPr>
        <w:t>4 技术要求</w:t>
      </w:r>
      <w:bookmarkEnd w:id="27"/>
      <w:bookmarkEnd w:id="28"/>
      <w:bookmarkEnd w:id="29"/>
      <w:bookmarkEnd w:id="30"/>
      <w:bookmarkEnd w:id="31"/>
      <w:bookmarkEnd w:id="32"/>
    </w:p>
    <w:p w14:paraId="4CC7155C">
      <w:pPr>
        <w:adjustRightInd w:val="0"/>
        <w:snapToGrid w:val="0"/>
        <w:rPr>
          <w:rFonts w:ascii="宋体" w:hAnsi="宋体"/>
          <w:sz w:val="24"/>
        </w:rPr>
      </w:pPr>
      <w:r>
        <w:rPr>
          <w:rFonts w:hint="eastAsia" w:ascii="宋体" w:hAnsi="宋体"/>
          <w:sz w:val="24"/>
        </w:rPr>
        <w:t>4.</w:t>
      </w:r>
      <w:r>
        <w:rPr>
          <w:rFonts w:hint="eastAsia" w:ascii="宋体" w:hAnsi="宋体"/>
          <w:sz w:val="24"/>
          <w:lang w:val="en-US" w:eastAsia="zh-CN"/>
        </w:rPr>
        <w:t>1</w:t>
      </w:r>
      <w:r>
        <w:rPr>
          <w:rFonts w:hint="eastAsia" w:ascii="宋体" w:hAnsi="宋体"/>
          <w:sz w:val="24"/>
        </w:rPr>
        <w:t xml:space="preserve"> 研究内容</w:t>
      </w:r>
    </w:p>
    <w:p w14:paraId="0C8B42D7">
      <w:pPr>
        <w:adjustRightInd w:val="0"/>
        <w:snapToGrid w:val="0"/>
        <w:rPr>
          <w:rFonts w:ascii="宋体" w:hAnsi="宋体"/>
          <w:sz w:val="24"/>
        </w:rPr>
      </w:pPr>
      <w:r>
        <w:rPr>
          <w:rFonts w:hint="eastAsia" w:ascii="宋体" w:hAnsi="宋体"/>
          <w:sz w:val="24"/>
        </w:rPr>
        <w:t>4.</w:t>
      </w:r>
      <w:r>
        <w:rPr>
          <w:rFonts w:hint="eastAsia" w:ascii="宋体" w:hAnsi="宋体"/>
          <w:sz w:val="24"/>
          <w:lang w:val="en-US" w:eastAsia="zh-CN"/>
        </w:rPr>
        <w:t>1</w:t>
      </w:r>
      <w:r>
        <w:rPr>
          <w:rFonts w:hint="eastAsia" w:ascii="宋体" w:hAnsi="宋体"/>
          <w:sz w:val="24"/>
        </w:rPr>
        <w:t>.1 主要项目内容</w:t>
      </w:r>
    </w:p>
    <w:p w14:paraId="558FF278">
      <w:pPr>
        <w:adjustRightInd w:val="0"/>
        <w:snapToGrid w:val="0"/>
        <w:rPr>
          <w:rFonts w:ascii="宋体" w:hAnsi="宋体"/>
          <w:sz w:val="24"/>
        </w:rPr>
      </w:pPr>
      <w:r>
        <w:rPr>
          <w:rFonts w:hint="eastAsia" w:ascii="宋体" w:hAnsi="宋体"/>
          <w:sz w:val="24"/>
        </w:rPr>
        <w:t>主要项目内容按照以下工作内容及要求开展：</w:t>
      </w:r>
    </w:p>
    <w:tbl>
      <w:tblPr>
        <w:tblStyle w:val="13"/>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2985"/>
        <w:gridCol w:w="2363"/>
        <w:gridCol w:w="2357"/>
      </w:tblGrid>
      <w:tr w14:paraId="4527D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vAlign w:val="center"/>
          </w:tcPr>
          <w:p w14:paraId="0E55C08F">
            <w:pPr>
              <w:spacing w:line="240" w:lineRule="auto"/>
              <w:jc w:val="center"/>
              <w:rPr>
                <w:rFonts w:ascii="宋体" w:hAnsi="宋体" w:cs="宋体"/>
                <w:b/>
                <w:bCs/>
                <w:szCs w:val="21"/>
              </w:rPr>
            </w:pPr>
            <w:r>
              <w:rPr>
                <w:rFonts w:hint="eastAsia" w:ascii="宋体" w:hAnsi="宋体" w:cs="宋体"/>
                <w:b/>
                <w:bCs/>
                <w:szCs w:val="21"/>
              </w:rPr>
              <w:t>序号</w:t>
            </w:r>
          </w:p>
        </w:tc>
        <w:tc>
          <w:tcPr>
            <w:tcW w:w="2985" w:type="dxa"/>
            <w:vAlign w:val="center"/>
          </w:tcPr>
          <w:p w14:paraId="0AC8F50F">
            <w:pPr>
              <w:spacing w:line="240" w:lineRule="auto"/>
              <w:jc w:val="center"/>
              <w:rPr>
                <w:rFonts w:ascii="宋体" w:hAnsi="宋体" w:cs="宋体"/>
                <w:b/>
                <w:bCs/>
                <w:szCs w:val="21"/>
              </w:rPr>
            </w:pPr>
            <w:r>
              <w:rPr>
                <w:rFonts w:hint="eastAsia" w:ascii="宋体" w:hAnsi="宋体" w:cs="宋体"/>
                <w:b/>
                <w:bCs/>
                <w:szCs w:val="21"/>
              </w:rPr>
              <w:t>主要项目内容</w:t>
            </w:r>
          </w:p>
        </w:tc>
        <w:tc>
          <w:tcPr>
            <w:tcW w:w="2363" w:type="dxa"/>
            <w:vAlign w:val="center"/>
          </w:tcPr>
          <w:p w14:paraId="5A6E0263">
            <w:pPr>
              <w:spacing w:line="240" w:lineRule="auto"/>
              <w:jc w:val="center"/>
              <w:rPr>
                <w:rFonts w:ascii="宋体" w:hAnsi="宋体" w:cs="宋体"/>
                <w:b/>
                <w:bCs/>
                <w:szCs w:val="21"/>
              </w:rPr>
            </w:pPr>
            <w:r>
              <w:rPr>
                <w:rFonts w:hint="eastAsia" w:ascii="宋体" w:hAnsi="宋体" w:cs="宋体"/>
                <w:b/>
                <w:bCs/>
                <w:szCs w:val="21"/>
              </w:rPr>
              <w:t>交付物</w:t>
            </w:r>
          </w:p>
        </w:tc>
        <w:tc>
          <w:tcPr>
            <w:tcW w:w="2357" w:type="dxa"/>
            <w:vAlign w:val="center"/>
          </w:tcPr>
          <w:p w14:paraId="495E63CF">
            <w:pPr>
              <w:spacing w:line="240" w:lineRule="auto"/>
              <w:jc w:val="center"/>
              <w:rPr>
                <w:rFonts w:ascii="宋体" w:hAnsi="宋体" w:cs="宋体"/>
                <w:b/>
                <w:bCs/>
                <w:szCs w:val="21"/>
              </w:rPr>
            </w:pPr>
            <w:r>
              <w:rPr>
                <w:rFonts w:hint="eastAsia" w:ascii="宋体" w:hAnsi="宋体" w:cs="宋体"/>
                <w:b/>
                <w:bCs/>
                <w:szCs w:val="21"/>
              </w:rPr>
              <w:t>时间要求</w:t>
            </w:r>
          </w:p>
        </w:tc>
      </w:tr>
      <w:tr w14:paraId="358CB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top"/>
          </w:tcPr>
          <w:p w14:paraId="25C39E5D">
            <w:pPr>
              <w:spacing w:before="120" w:after="120" w:line="288" w:lineRule="auto"/>
              <w:ind w:left="0" w:leftChars="0"/>
              <w:jc w:val="left"/>
              <w:rPr>
                <w:rFonts w:hint="eastAsia" w:ascii="宋体" w:hAnsi="宋体" w:eastAsia="宋体" w:cs="宋体"/>
                <w:b w:val="0"/>
                <w:bCs w:val="0"/>
                <w:sz w:val="21"/>
                <w:szCs w:val="21"/>
              </w:rPr>
            </w:pPr>
            <w:r>
              <w:rPr>
                <w:rFonts w:hint="eastAsia" w:ascii="宋体" w:hAnsi="宋体" w:eastAsia="宋体" w:cs="宋体"/>
                <w:b w:val="0"/>
                <w:bCs w:val="0"/>
                <w:sz w:val="21"/>
                <w:szCs w:val="21"/>
              </w:rPr>
              <w:t>1</w:t>
            </w:r>
          </w:p>
        </w:tc>
        <w:tc>
          <w:tcPr>
            <w:tcW w:w="2985" w:type="dxa"/>
            <w:shd w:val="clear" w:color="auto" w:fill="auto"/>
            <w:vAlign w:val="top"/>
          </w:tcPr>
          <w:p w14:paraId="5C9F2C67">
            <w:pPr>
              <w:spacing w:before="120" w:after="120" w:line="288" w:lineRule="auto"/>
              <w:ind w:left="0" w:leftChars="0"/>
              <w:jc w:val="left"/>
              <w:rPr>
                <w:rFonts w:hint="eastAsia" w:ascii="宋体" w:hAnsi="宋体" w:eastAsia="宋体" w:cs="宋体"/>
                <w:b w:val="0"/>
                <w:bCs w:val="0"/>
                <w:sz w:val="21"/>
                <w:szCs w:val="21"/>
              </w:rPr>
            </w:pPr>
            <w:r>
              <w:rPr>
                <w:rFonts w:hint="eastAsia" w:ascii="宋体" w:hAnsi="宋体" w:eastAsia="宋体" w:cs="宋体"/>
                <w:b w:val="0"/>
                <w:bCs w:val="0"/>
                <w:sz w:val="21"/>
                <w:szCs w:val="21"/>
              </w:rPr>
              <w:t>高空无极绳结可通适配滑车整机研发、样机试制、结构迭代优化、全套加工图纸编制</w:t>
            </w:r>
          </w:p>
        </w:tc>
        <w:tc>
          <w:tcPr>
            <w:tcW w:w="2363" w:type="dxa"/>
            <w:shd w:val="clear" w:color="auto" w:fill="auto"/>
            <w:vAlign w:val="top"/>
          </w:tcPr>
          <w:p w14:paraId="6177445B">
            <w:pPr>
              <w:spacing w:before="120" w:after="120" w:line="288" w:lineRule="auto"/>
              <w:ind w:left="0" w:leftChars="0"/>
              <w:jc w:val="left"/>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rPr>
              <w:t>成套滑车 1 台、全套机械加工图纸</w:t>
            </w: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lang w:val="en-US" w:eastAsia="zh-CN"/>
              </w:rPr>
              <w:t>出厂检测报告</w:t>
            </w:r>
          </w:p>
        </w:tc>
        <w:tc>
          <w:tcPr>
            <w:tcW w:w="2357" w:type="dxa"/>
            <w:vAlign w:val="top"/>
          </w:tcPr>
          <w:p w14:paraId="37864833">
            <w:pPr>
              <w:spacing w:before="120" w:after="120" w:line="288" w:lineRule="auto"/>
              <w:ind w:left="0" w:leftChars="0"/>
              <w:jc w:val="left"/>
              <w:rPr>
                <w:rFonts w:hint="eastAsia" w:ascii="宋体" w:hAnsi="宋体" w:eastAsia="宋体" w:cs="宋体"/>
                <w:b w:val="0"/>
                <w:bCs w:val="0"/>
                <w:sz w:val="21"/>
                <w:szCs w:val="21"/>
              </w:rPr>
            </w:pPr>
            <w:r>
              <w:rPr>
                <w:rFonts w:hint="eastAsia" w:ascii="宋体" w:hAnsi="宋体" w:eastAsia="宋体" w:cs="宋体"/>
                <w:b w:val="0"/>
                <w:bCs w:val="0"/>
                <w:sz w:val="21"/>
                <w:szCs w:val="21"/>
              </w:rPr>
              <w:t>2026 年 1</w:t>
            </w:r>
            <w:r>
              <w:rPr>
                <w:rFonts w:hint="eastAsia" w:ascii="宋体" w:hAnsi="宋体" w:eastAsia="宋体" w:cs="宋体"/>
                <w:b w:val="0"/>
                <w:bCs w:val="0"/>
                <w:sz w:val="21"/>
                <w:szCs w:val="21"/>
                <w:lang w:val="en-US" w:eastAsia="zh-CN"/>
              </w:rPr>
              <w:t>0</w:t>
            </w:r>
            <w:r>
              <w:rPr>
                <w:rFonts w:hint="eastAsia" w:ascii="宋体" w:hAnsi="宋体" w:eastAsia="宋体" w:cs="宋体"/>
                <w:b w:val="0"/>
                <w:bCs w:val="0"/>
                <w:sz w:val="21"/>
                <w:szCs w:val="21"/>
              </w:rPr>
              <w:t xml:space="preserve"> 月</w:t>
            </w:r>
          </w:p>
        </w:tc>
      </w:tr>
      <w:tr w14:paraId="233C4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top"/>
          </w:tcPr>
          <w:p w14:paraId="2A9CFB93">
            <w:pPr>
              <w:spacing w:before="120" w:after="120" w:line="288" w:lineRule="auto"/>
              <w:ind w:left="0" w:leftChars="0"/>
              <w:jc w:val="left"/>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val="en-US" w:eastAsia="zh-CN"/>
              </w:rPr>
              <w:t>2</w:t>
            </w:r>
          </w:p>
        </w:tc>
        <w:tc>
          <w:tcPr>
            <w:tcW w:w="2985" w:type="dxa"/>
            <w:shd w:val="clear" w:color="auto" w:fill="auto"/>
            <w:vAlign w:val="top"/>
          </w:tcPr>
          <w:p w14:paraId="567E9AB9">
            <w:pPr>
              <w:spacing w:before="120" w:after="120" w:line="288" w:lineRule="auto"/>
              <w:ind w:left="0" w:leftChars="0"/>
              <w:jc w:val="center"/>
              <w:rPr>
                <w:rFonts w:hint="eastAsia" w:ascii="宋体" w:hAnsi="宋体" w:eastAsia="宋体" w:cs="宋体"/>
                <w:b w:val="0"/>
                <w:bCs w:val="0"/>
                <w:sz w:val="21"/>
                <w:szCs w:val="21"/>
              </w:rPr>
            </w:pPr>
            <w:r>
              <w:rPr>
                <w:rFonts w:hint="eastAsia" w:ascii="宋体" w:hAnsi="宋体" w:eastAsia="宋体" w:cs="宋体"/>
                <w:sz w:val="21"/>
                <w:szCs w:val="21"/>
              </w:rPr>
              <w:t>配套技术成果申报：技术论文撰写、专利申报材料编制</w:t>
            </w:r>
          </w:p>
        </w:tc>
        <w:tc>
          <w:tcPr>
            <w:tcW w:w="2363" w:type="dxa"/>
            <w:shd w:val="clear" w:color="auto" w:fill="auto"/>
            <w:vAlign w:val="top"/>
          </w:tcPr>
          <w:p w14:paraId="2AB2C982">
            <w:pPr>
              <w:spacing w:before="120" w:after="120" w:line="288" w:lineRule="auto"/>
              <w:ind w:left="0" w:leftChars="0"/>
              <w:jc w:val="center"/>
              <w:rPr>
                <w:rFonts w:hint="eastAsia" w:ascii="宋体" w:hAnsi="宋体" w:eastAsia="宋体" w:cs="宋体"/>
                <w:b w:val="0"/>
                <w:bCs w:val="0"/>
                <w:sz w:val="21"/>
                <w:szCs w:val="21"/>
              </w:rPr>
            </w:pPr>
            <w:r>
              <w:rPr>
                <w:rFonts w:hint="eastAsia" w:ascii="宋体" w:hAnsi="宋体" w:eastAsia="宋体" w:cs="宋体"/>
                <w:sz w:val="21"/>
                <w:szCs w:val="21"/>
              </w:rPr>
              <w:t>专业技术论文 1 篇、专利受理通知书</w:t>
            </w:r>
          </w:p>
        </w:tc>
        <w:tc>
          <w:tcPr>
            <w:tcW w:w="2357" w:type="dxa"/>
            <w:vAlign w:val="top"/>
          </w:tcPr>
          <w:p w14:paraId="376FFA25">
            <w:pPr>
              <w:spacing w:before="120" w:after="120" w:line="288" w:lineRule="auto"/>
              <w:ind w:left="0" w:leftChars="0"/>
              <w:jc w:val="left"/>
              <w:rPr>
                <w:rFonts w:hint="eastAsia" w:ascii="宋体" w:hAnsi="宋体" w:eastAsia="宋体" w:cs="宋体"/>
                <w:b w:val="0"/>
                <w:bCs w:val="0"/>
                <w:sz w:val="21"/>
                <w:szCs w:val="21"/>
              </w:rPr>
            </w:pPr>
            <w:r>
              <w:rPr>
                <w:rFonts w:hint="eastAsia" w:ascii="宋体" w:hAnsi="宋体" w:eastAsia="宋体" w:cs="宋体"/>
                <w:b w:val="0"/>
                <w:bCs w:val="0"/>
                <w:sz w:val="21"/>
                <w:szCs w:val="21"/>
              </w:rPr>
              <w:t>2026 年 1</w:t>
            </w:r>
            <w:r>
              <w:rPr>
                <w:rFonts w:hint="eastAsia" w:ascii="宋体" w:hAnsi="宋体" w:eastAsia="宋体" w:cs="宋体"/>
                <w:b w:val="0"/>
                <w:bCs w:val="0"/>
                <w:sz w:val="21"/>
                <w:szCs w:val="21"/>
                <w:lang w:val="en-US" w:eastAsia="zh-CN"/>
              </w:rPr>
              <w:t xml:space="preserve">1 </w:t>
            </w:r>
            <w:r>
              <w:rPr>
                <w:rFonts w:hint="eastAsia" w:ascii="宋体" w:hAnsi="宋体" w:eastAsia="宋体" w:cs="宋体"/>
                <w:b w:val="0"/>
                <w:bCs w:val="0"/>
                <w:sz w:val="21"/>
                <w:szCs w:val="21"/>
              </w:rPr>
              <w:t>月</w:t>
            </w:r>
          </w:p>
        </w:tc>
      </w:tr>
      <w:tr w14:paraId="297B5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5" w:type="dxa"/>
            <w:shd w:val="clear" w:color="auto" w:fill="auto"/>
            <w:vAlign w:val="top"/>
          </w:tcPr>
          <w:p w14:paraId="0141D66A">
            <w:pPr>
              <w:spacing w:before="120" w:after="120" w:line="288" w:lineRule="auto"/>
              <w:ind w:left="0" w:leftChars="0"/>
              <w:jc w:val="left"/>
              <w:rPr>
                <w:rFonts w:hint="eastAsia" w:ascii="宋体" w:hAnsi="宋体" w:eastAsia="宋体" w:cs="宋体"/>
                <w:b w:val="0"/>
                <w:bCs w:val="0"/>
                <w:sz w:val="21"/>
                <w:szCs w:val="21"/>
                <w:lang w:val="en-US" w:eastAsia="zh-CN"/>
              </w:rPr>
            </w:pPr>
            <w:bookmarkStart w:id="33" w:name="heading_15"/>
            <w:r>
              <w:rPr>
                <w:rFonts w:hint="eastAsia" w:ascii="宋体" w:hAnsi="宋体" w:eastAsia="宋体" w:cs="宋体"/>
                <w:b w:val="0"/>
                <w:bCs w:val="0"/>
                <w:sz w:val="21"/>
                <w:szCs w:val="21"/>
                <w:lang w:val="en-US" w:eastAsia="zh-CN"/>
              </w:rPr>
              <w:t>3</w:t>
            </w:r>
          </w:p>
        </w:tc>
        <w:tc>
          <w:tcPr>
            <w:tcW w:w="2985" w:type="dxa"/>
            <w:shd w:val="clear" w:color="auto" w:fill="auto"/>
            <w:vAlign w:val="top"/>
          </w:tcPr>
          <w:p w14:paraId="09D9E166">
            <w:pPr>
              <w:spacing w:before="120" w:after="120" w:line="288" w:lineRule="auto"/>
              <w:ind w:left="0" w:leftChars="0"/>
              <w:jc w:val="center"/>
              <w:rPr>
                <w:rFonts w:hint="eastAsia" w:ascii="宋体" w:hAnsi="宋体" w:eastAsia="宋体" w:cs="宋体"/>
                <w:b w:val="0"/>
                <w:bCs w:val="0"/>
                <w:sz w:val="21"/>
                <w:szCs w:val="21"/>
              </w:rPr>
            </w:pPr>
            <w:r>
              <w:rPr>
                <w:rFonts w:hint="eastAsia" w:ascii="宋体" w:hAnsi="宋体" w:eastAsia="宋体" w:cs="宋体"/>
                <w:sz w:val="21"/>
                <w:szCs w:val="21"/>
              </w:rPr>
              <w:t>项目全流程验收、人员实操培训</w:t>
            </w:r>
          </w:p>
        </w:tc>
        <w:tc>
          <w:tcPr>
            <w:tcW w:w="2363" w:type="dxa"/>
            <w:shd w:val="clear" w:color="auto" w:fill="auto"/>
            <w:vAlign w:val="top"/>
          </w:tcPr>
          <w:p w14:paraId="36D5171D">
            <w:pPr>
              <w:spacing w:before="120" w:after="120" w:line="288" w:lineRule="auto"/>
              <w:ind w:left="0" w:leftChars="0"/>
              <w:jc w:val="center"/>
              <w:rPr>
                <w:rFonts w:hint="eastAsia" w:ascii="宋体" w:hAnsi="宋体" w:eastAsia="宋体" w:cs="宋体"/>
                <w:b w:val="0"/>
                <w:bCs w:val="0"/>
                <w:sz w:val="21"/>
                <w:szCs w:val="21"/>
              </w:rPr>
            </w:pPr>
            <w:r>
              <w:rPr>
                <w:rFonts w:hint="eastAsia" w:ascii="宋体" w:hAnsi="宋体" w:eastAsia="宋体" w:cs="宋体"/>
                <w:sz w:val="21"/>
                <w:szCs w:val="21"/>
              </w:rPr>
              <w:t>项目结题全套验收资料、作业人员实操培训、</w:t>
            </w:r>
          </w:p>
        </w:tc>
        <w:tc>
          <w:tcPr>
            <w:tcW w:w="2357" w:type="dxa"/>
            <w:vAlign w:val="top"/>
          </w:tcPr>
          <w:p w14:paraId="043F1294">
            <w:pPr>
              <w:spacing w:before="120" w:after="120" w:line="288" w:lineRule="auto"/>
              <w:ind w:left="0" w:leftChars="0"/>
              <w:jc w:val="left"/>
              <w:rPr>
                <w:rFonts w:hint="eastAsia" w:ascii="宋体" w:hAnsi="宋体" w:eastAsia="宋体" w:cs="宋体"/>
                <w:b w:val="0"/>
                <w:bCs w:val="0"/>
                <w:sz w:val="21"/>
                <w:szCs w:val="21"/>
              </w:rPr>
            </w:pPr>
            <w:r>
              <w:rPr>
                <w:rFonts w:hint="eastAsia" w:ascii="宋体" w:hAnsi="宋体" w:eastAsia="宋体" w:cs="宋体"/>
                <w:b w:val="0"/>
                <w:bCs w:val="0"/>
                <w:sz w:val="21"/>
                <w:szCs w:val="21"/>
              </w:rPr>
              <w:t>2026 年 12 月</w:t>
            </w:r>
          </w:p>
        </w:tc>
      </w:tr>
    </w:tbl>
    <w:p w14:paraId="624F65C0">
      <w:pPr>
        <w:spacing w:before="300" w:after="120" w:line="288" w:lineRule="auto"/>
        <w:ind w:left="0"/>
        <w:jc w:val="left"/>
        <w:outlineLvl w:val="2"/>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4.2 工具整体设计通用要求</w:t>
      </w:r>
      <w:bookmarkEnd w:id="33"/>
    </w:p>
    <w:p w14:paraId="3B34C9A0">
      <w:pPr>
        <w:spacing w:before="260" w:after="120" w:line="288" w:lineRule="auto"/>
        <w:ind w:left="0"/>
        <w:jc w:val="left"/>
        <w:outlineLvl w:val="3"/>
        <w:rPr>
          <w:rFonts w:hint="eastAsia" w:ascii="宋体" w:hAnsi="宋体" w:eastAsia="宋体" w:cs="宋体"/>
          <w:b w:val="0"/>
          <w:bCs/>
          <w:sz w:val="24"/>
          <w:szCs w:val="24"/>
        </w:rPr>
      </w:pPr>
      <w:bookmarkStart w:id="34" w:name="heading_16"/>
      <w:r>
        <w:rPr>
          <w:rFonts w:hint="eastAsia" w:ascii="宋体" w:hAnsi="宋体" w:eastAsia="宋体" w:cs="宋体"/>
          <w:b w:val="0"/>
          <w:bCs/>
          <w:sz w:val="24"/>
          <w:szCs w:val="24"/>
        </w:rPr>
        <w:t>4.2.1 可靠性与稳定性</w:t>
      </w:r>
      <w:bookmarkEnd w:id="34"/>
    </w:p>
    <w:p w14:paraId="0DD170FB">
      <w:pPr>
        <w:numPr>
          <w:ilvl w:val="0"/>
          <w:numId w:val="0"/>
        </w:numPr>
        <w:spacing w:before="120" w:after="120" w:line="288" w:lineRule="auto"/>
        <w:ind w:left="0" w:leftChars="0"/>
        <w:jc w:val="left"/>
        <w:rPr>
          <w:rFonts w:hint="eastAsia" w:ascii="宋体" w:hAnsi="宋体" w:eastAsia="宋体" w:cs="宋体"/>
          <w:b w:val="0"/>
          <w:bCs/>
          <w:color w:val="auto"/>
          <w:sz w:val="24"/>
          <w:szCs w:val="24"/>
        </w:rPr>
      </w:pPr>
      <w:r>
        <w:rPr>
          <w:rFonts w:hint="eastAsia" w:ascii="宋体" w:hAnsi="宋体" w:eastAsia="宋体" w:cs="宋体"/>
          <w:b w:val="0"/>
          <w:bCs/>
          <w:color w:val="auto"/>
          <w:kern w:val="2"/>
          <w:sz w:val="24"/>
          <w:szCs w:val="24"/>
          <w:lang w:val="en-US" w:eastAsia="zh-CN" w:bidi="ar-SA"/>
        </w:rPr>
        <w:t>1.</w:t>
      </w:r>
      <w:r>
        <w:rPr>
          <w:rFonts w:hint="eastAsia" w:ascii="宋体" w:hAnsi="宋体" w:eastAsia="宋体" w:cs="宋体"/>
          <w:b w:val="0"/>
          <w:bCs/>
          <w:color w:val="auto"/>
          <w:sz w:val="24"/>
          <w:szCs w:val="24"/>
        </w:rPr>
        <w:t>双重自锁夹持机构反复开合 5000 次无弹簧疲劳失效、卡扣卡滞、锁舌松动；牵引满载受力状态下锁舌不滑移、滑车不翻转晃动。</w:t>
      </w:r>
    </w:p>
    <w:p w14:paraId="51C3F063">
      <w:pPr>
        <w:numPr>
          <w:ilvl w:val="0"/>
          <w:numId w:val="0"/>
        </w:numPr>
        <w:spacing w:before="120" w:after="120" w:line="288" w:lineRule="auto"/>
        <w:ind w:left="0" w:leftChars="0"/>
        <w:jc w:val="left"/>
        <w:rPr>
          <w:rFonts w:hint="eastAsia" w:ascii="宋体" w:hAnsi="宋体" w:eastAsia="宋体" w:cs="宋体"/>
          <w:b w:val="0"/>
          <w:bCs/>
          <w:color w:val="auto"/>
          <w:sz w:val="24"/>
          <w:szCs w:val="24"/>
        </w:rPr>
      </w:pPr>
      <w:r>
        <w:rPr>
          <w:rFonts w:hint="eastAsia" w:ascii="宋体" w:hAnsi="宋体" w:eastAsia="宋体" w:cs="宋体"/>
          <w:b w:val="0"/>
          <w:bCs/>
          <w:color w:val="auto"/>
          <w:kern w:val="2"/>
          <w:sz w:val="24"/>
          <w:szCs w:val="24"/>
          <w:lang w:val="en-US" w:eastAsia="zh-CN" w:bidi="ar-SA"/>
        </w:rPr>
        <w:t>2.</w:t>
      </w:r>
      <w:r>
        <w:rPr>
          <w:rFonts w:hint="eastAsia" w:ascii="宋体" w:hAnsi="宋体" w:eastAsia="宋体" w:cs="宋体"/>
          <w:b w:val="0"/>
          <w:bCs/>
          <w:color w:val="auto"/>
          <w:sz w:val="24"/>
          <w:szCs w:val="24"/>
        </w:rPr>
        <w:t>葫芦式镂空滑轮长期往复牵引无卡绳、脱槽、轴承卡顿，高低温、户外积污潮湿工况下转动顺滑。</w:t>
      </w:r>
    </w:p>
    <w:p w14:paraId="5C93B222">
      <w:pPr>
        <w:numPr>
          <w:ilvl w:val="0"/>
          <w:numId w:val="0"/>
        </w:numPr>
        <w:spacing w:before="120" w:after="120" w:line="288" w:lineRule="auto"/>
        <w:ind w:left="0" w:leftChars="0"/>
        <w:jc w:val="left"/>
        <w:rPr>
          <w:rFonts w:hint="eastAsia" w:ascii="宋体" w:hAnsi="宋体" w:eastAsia="宋体" w:cs="宋体"/>
          <w:b w:val="0"/>
          <w:bCs/>
          <w:color w:val="auto"/>
          <w:sz w:val="24"/>
          <w:szCs w:val="24"/>
        </w:rPr>
      </w:pPr>
      <w:r>
        <w:rPr>
          <w:rFonts w:hint="eastAsia" w:ascii="宋体" w:hAnsi="宋体" w:eastAsia="宋体" w:cs="宋体"/>
          <w:b w:val="0"/>
          <w:bCs/>
          <w:color w:val="auto"/>
          <w:kern w:val="2"/>
          <w:sz w:val="24"/>
          <w:szCs w:val="24"/>
          <w:lang w:val="en-US" w:eastAsia="zh-CN" w:bidi="ar-SA"/>
        </w:rPr>
        <w:t>3.</w:t>
      </w:r>
      <w:r>
        <w:rPr>
          <w:rFonts w:hint="eastAsia" w:ascii="宋体" w:hAnsi="宋体" w:eastAsia="宋体" w:cs="宋体"/>
          <w:b w:val="0"/>
          <w:bCs/>
          <w:color w:val="auto"/>
          <w:sz w:val="24"/>
          <w:szCs w:val="24"/>
        </w:rPr>
        <w:t>航空铝合金框架耐腐蚀、抗冲击，长期高空使用无变形、焊缝开裂；聚氨酯防滑垫片耐磨可单独更换。</w:t>
      </w:r>
    </w:p>
    <w:p w14:paraId="54D157F9">
      <w:pPr>
        <w:spacing w:before="260" w:after="120" w:line="288" w:lineRule="auto"/>
        <w:ind w:left="0"/>
        <w:jc w:val="left"/>
        <w:outlineLvl w:val="3"/>
        <w:rPr>
          <w:rFonts w:hint="eastAsia" w:ascii="宋体" w:hAnsi="宋体" w:eastAsia="宋体" w:cs="宋体"/>
          <w:b w:val="0"/>
          <w:bCs/>
          <w:color w:val="auto"/>
          <w:sz w:val="24"/>
          <w:szCs w:val="24"/>
        </w:rPr>
      </w:pPr>
      <w:bookmarkStart w:id="35" w:name="heading_17"/>
      <w:r>
        <w:rPr>
          <w:rFonts w:hint="eastAsia" w:ascii="宋体" w:hAnsi="宋体" w:eastAsia="宋体" w:cs="宋体"/>
          <w:b w:val="0"/>
          <w:bCs/>
          <w:color w:val="auto"/>
          <w:sz w:val="24"/>
          <w:szCs w:val="24"/>
        </w:rPr>
        <w:t>4.2.2 人机易用性</w:t>
      </w:r>
      <w:bookmarkEnd w:id="35"/>
    </w:p>
    <w:p w14:paraId="7D2AE312">
      <w:pPr>
        <w:numPr>
          <w:ilvl w:val="0"/>
          <w:numId w:val="0"/>
        </w:numPr>
        <w:spacing w:before="120" w:after="120" w:line="288" w:lineRule="auto"/>
        <w:ind w:left="0" w:leftChars="0"/>
        <w:jc w:val="left"/>
        <w:rPr>
          <w:rFonts w:hint="eastAsia" w:ascii="宋体" w:hAnsi="宋体" w:eastAsia="宋体" w:cs="宋体"/>
          <w:b w:val="0"/>
          <w:bCs/>
          <w:color w:val="auto"/>
          <w:sz w:val="24"/>
          <w:szCs w:val="24"/>
        </w:rPr>
      </w:pPr>
      <w:r>
        <w:rPr>
          <w:rFonts w:hint="eastAsia" w:ascii="宋体" w:hAnsi="宋体" w:eastAsia="宋体" w:cs="宋体"/>
          <w:b w:val="0"/>
          <w:bCs/>
          <w:color w:val="auto"/>
          <w:kern w:val="2"/>
          <w:sz w:val="24"/>
          <w:szCs w:val="24"/>
          <w:lang w:val="en-US" w:eastAsia="zh-CN" w:bidi="ar-SA"/>
        </w:rPr>
        <w:t>1.</w:t>
      </w:r>
      <w:r>
        <w:rPr>
          <w:rFonts w:hint="eastAsia" w:ascii="宋体" w:hAnsi="宋体" w:eastAsia="宋体" w:cs="宋体"/>
          <w:b w:val="0"/>
          <w:bCs/>
          <w:color w:val="auto"/>
          <w:sz w:val="24"/>
          <w:szCs w:val="24"/>
        </w:rPr>
        <w:t>锁舌手动掰开、卡扣解锁操作单手即可完成，无需额外工具；无人机挂载环重心与整机中心重合，吊装投放不侧翻。</w:t>
      </w:r>
    </w:p>
    <w:p w14:paraId="65C256E4">
      <w:pPr>
        <w:numPr>
          <w:ilvl w:val="0"/>
          <w:numId w:val="0"/>
        </w:numPr>
        <w:spacing w:before="120" w:after="120" w:line="288" w:lineRule="auto"/>
        <w:ind w:left="0" w:leftChars="0"/>
        <w:jc w:val="left"/>
        <w:rPr>
          <w:rFonts w:hint="eastAsia" w:ascii="宋体" w:hAnsi="宋体" w:eastAsia="宋体" w:cs="宋体"/>
          <w:b w:val="0"/>
          <w:bCs/>
          <w:color w:val="auto"/>
          <w:sz w:val="24"/>
          <w:szCs w:val="24"/>
        </w:rPr>
      </w:pPr>
      <w:r>
        <w:rPr>
          <w:rFonts w:hint="eastAsia" w:ascii="宋体" w:hAnsi="宋体" w:eastAsia="宋体" w:cs="宋体"/>
          <w:b w:val="0"/>
          <w:bCs/>
          <w:color w:val="auto"/>
          <w:kern w:val="2"/>
          <w:sz w:val="24"/>
          <w:szCs w:val="24"/>
          <w:lang w:val="en-US" w:eastAsia="zh-CN" w:bidi="ar-SA"/>
        </w:rPr>
        <w:t>2.</w:t>
      </w:r>
      <w:r>
        <w:rPr>
          <w:rFonts w:hint="eastAsia" w:ascii="宋体" w:hAnsi="宋体" w:eastAsia="宋体" w:cs="宋体"/>
          <w:b w:val="0"/>
          <w:bCs/>
          <w:color w:val="auto"/>
          <w:sz w:val="24"/>
          <w:szCs w:val="24"/>
        </w:rPr>
        <w:t>整机轻量化优化，大幅降低高空手持、背负体力消耗；所有结构边角圆角钝化，无尖锐棱角，避免划伤导线、作业人员。</w:t>
      </w:r>
    </w:p>
    <w:p w14:paraId="6D79603C">
      <w:pPr>
        <w:numPr>
          <w:ilvl w:val="0"/>
          <w:numId w:val="0"/>
        </w:numPr>
        <w:spacing w:before="120" w:after="120" w:line="288" w:lineRule="auto"/>
        <w:ind w:left="0" w:leftChars="0"/>
        <w:jc w:val="left"/>
        <w:rPr>
          <w:rFonts w:hint="eastAsia" w:ascii="宋体" w:hAnsi="宋体" w:eastAsia="宋体" w:cs="宋体"/>
          <w:b w:val="0"/>
          <w:bCs/>
          <w:sz w:val="24"/>
          <w:szCs w:val="24"/>
        </w:rPr>
      </w:pPr>
      <w:r>
        <w:rPr>
          <w:rFonts w:hint="eastAsia" w:ascii="宋体" w:hAnsi="宋体" w:eastAsia="宋体" w:cs="宋体"/>
          <w:b w:val="0"/>
          <w:bCs/>
          <w:color w:val="auto"/>
          <w:kern w:val="2"/>
          <w:sz w:val="24"/>
          <w:szCs w:val="24"/>
          <w:lang w:val="en-US" w:eastAsia="zh-CN" w:bidi="ar-SA"/>
        </w:rPr>
        <w:t>3.</w:t>
      </w:r>
      <w:r>
        <w:rPr>
          <w:rFonts w:hint="eastAsia" w:ascii="宋体" w:hAnsi="宋体" w:eastAsia="宋体" w:cs="宋体"/>
          <w:b w:val="0"/>
          <w:bCs/>
          <w:color w:val="auto"/>
          <w:sz w:val="24"/>
          <w:szCs w:val="24"/>
        </w:rPr>
        <w:t>整机一体化成型，无零散承</w:t>
      </w:r>
      <w:r>
        <w:rPr>
          <w:rFonts w:hint="eastAsia" w:ascii="宋体" w:hAnsi="宋体" w:eastAsia="宋体" w:cs="宋体"/>
          <w:b w:val="0"/>
          <w:bCs/>
          <w:sz w:val="24"/>
          <w:szCs w:val="24"/>
        </w:rPr>
        <w:t>重配件，拆装、收纳流程简单。</w:t>
      </w:r>
    </w:p>
    <w:p w14:paraId="03C28E4D">
      <w:pPr>
        <w:spacing w:before="260" w:after="120" w:line="288" w:lineRule="auto"/>
        <w:ind w:left="0"/>
        <w:jc w:val="left"/>
        <w:outlineLvl w:val="3"/>
        <w:rPr>
          <w:rFonts w:hint="eastAsia" w:ascii="宋体" w:hAnsi="宋体" w:eastAsia="宋体" w:cs="宋体"/>
          <w:b w:val="0"/>
          <w:bCs/>
          <w:sz w:val="24"/>
          <w:szCs w:val="24"/>
        </w:rPr>
      </w:pPr>
      <w:bookmarkStart w:id="36" w:name="heading_18"/>
      <w:r>
        <w:rPr>
          <w:rFonts w:hint="eastAsia" w:ascii="宋体" w:hAnsi="宋体" w:eastAsia="宋体" w:cs="宋体"/>
          <w:b w:val="0"/>
          <w:bCs/>
          <w:sz w:val="24"/>
          <w:szCs w:val="24"/>
        </w:rPr>
        <w:t>4.2.3 工况适配要求</w:t>
      </w:r>
      <w:bookmarkEnd w:id="36"/>
    </w:p>
    <w:p w14:paraId="37CE3342">
      <w:pPr>
        <w:spacing w:before="120" w:after="120" w:line="288" w:lineRule="auto"/>
        <w:ind w:left="0"/>
        <w:jc w:val="left"/>
        <w:rPr>
          <w:rFonts w:ascii="宋体" w:hAnsi="宋体" w:cs="宋体"/>
          <w:color w:val="000000"/>
          <w:sz w:val="24"/>
        </w:rPr>
      </w:pPr>
      <w:r>
        <w:rPr>
          <w:rFonts w:hint="eastAsia" w:ascii="宋体" w:hAnsi="宋体" w:eastAsia="宋体" w:cs="宋体"/>
          <w:b w:val="0"/>
          <w:bCs/>
          <w:sz w:val="24"/>
          <w:szCs w:val="24"/>
        </w:rPr>
        <w:t>整机外形经模块化精简优化，可适配杆塔横担、导线间隔、狭小绝缘子串周边等狭窄高空作业空间，无空间干涉问题</w:t>
      </w:r>
      <w:r>
        <w:rPr>
          <w:rFonts w:hint="eastAsia" w:ascii="宋体" w:hAnsi="宋体"/>
          <w:sz w:val="24"/>
        </w:rPr>
        <w:t>。</w:t>
      </w:r>
    </w:p>
    <w:bookmarkEnd w:id="16"/>
    <w:bookmarkEnd w:id="17"/>
    <w:bookmarkEnd w:id="18"/>
    <w:bookmarkEnd w:id="19"/>
    <w:bookmarkEnd w:id="20"/>
    <w:bookmarkEnd w:id="21"/>
    <w:bookmarkEnd w:id="22"/>
    <w:bookmarkEnd w:id="23"/>
    <w:bookmarkEnd w:id="24"/>
    <w:bookmarkEnd w:id="25"/>
    <w:bookmarkEnd w:id="26"/>
    <w:p w14:paraId="7C914E8E">
      <w:pPr>
        <w:rPr>
          <w:rFonts w:ascii="宋体" w:hAnsi="宋体" w:cs="宋体"/>
          <w:sz w:val="24"/>
        </w:rPr>
      </w:pPr>
      <w:bookmarkStart w:id="37" w:name="_Toc20013"/>
      <w:r>
        <w:rPr>
          <w:rFonts w:hint="eastAsia" w:ascii="宋体" w:hAnsi="宋体" w:cs="宋体"/>
          <w:sz w:val="24"/>
        </w:rPr>
        <w:t>4.</w:t>
      </w:r>
      <w:r>
        <w:rPr>
          <w:rFonts w:hint="eastAsia" w:ascii="宋体" w:hAnsi="宋体" w:cs="宋体"/>
          <w:sz w:val="24"/>
          <w:lang w:val="en-US" w:eastAsia="zh-CN"/>
        </w:rPr>
        <w:t>3</w:t>
      </w:r>
      <w:r>
        <w:rPr>
          <w:rFonts w:hint="eastAsia" w:ascii="宋体" w:hAnsi="宋体" w:cs="宋体"/>
          <w:sz w:val="24"/>
        </w:rPr>
        <w:t xml:space="preserve"> 研究成果。</w:t>
      </w:r>
      <w:bookmarkEnd w:id="37"/>
      <w:r>
        <w:rPr>
          <w:rFonts w:hint="eastAsia" w:ascii="宋体" w:hAnsi="宋体" w:cs="宋体"/>
          <w:sz w:val="24"/>
        </w:rPr>
        <w:t>通过项目实施，制定符合超高压输电公司实际。投标方提供的图纸、资料、文件应使用国家法定单位制即国际单位制，语言为中文。资料的组织结构清晰、逻辑性强。资料内容要正确、准确、一致、清晰、完整。</w:t>
      </w:r>
      <w:bookmarkStart w:id="38" w:name="_Toc531004215"/>
      <w:bookmarkStart w:id="39" w:name="_Toc309593280"/>
      <w:bookmarkStart w:id="40" w:name="_Toc441483969"/>
      <w:bookmarkStart w:id="41" w:name="_Toc531004269"/>
      <w:bookmarkStart w:id="42" w:name="_Toc309805604"/>
      <w:bookmarkStart w:id="43" w:name="_Toc312827040"/>
      <w:bookmarkStart w:id="44" w:name="_Toc309593209"/>
      <w:bookmarkStart w:id="45" w:name="_Toc18633"/>
    </w:p>
    <w:p w14:paraId="6D7F86C8">
      <w:pPr>
        <w:pStyle w:val="7"/>
        <w:rPr>
          <w:rFonts w:hAnsi="宋体"/>
          <w:sz w:val="24"/>
        </w:rPr>
      </w:pPr>
      <w:r>
        <w:rPr>
          <w:rFonts w:hint="eastAsia" w:hAnsi="宋体" w:cs="宋体"/>
          <w:sz w:val="24"/>
          <w:szCs w:val="24"/>
        </w:rPr>
        <w:t>4.</w:t>
      </w:r>
      <w:r>
        <w:rPr>
          <w:rFonts w:hint="eastAsia" w:hAnsi="宋体" w:cs="宋体"/>
          <w:sz w:val="24"/>
          <w:szCs w:val="24"/>
          <w:lang w:val="en-US" w:eastAsia="zh-CN"/>
        </w:rPr>
        <w:t>4</w:t>
      </w:r>
      <w:r>
        <w:rPr>
          <w:rFonts w:hint="eastAsia" w:hAnsi="宋体" w:cs="宋体"/>
          <w:sz w:val="24"/>
          <w:szCs w:val="24"/>
        </w:rPr>
        <w:t xml:space="preserve"> </w:t>
      </w:r>
      <w:r>
        <w:rPr>
          <w:rFonts w:hint="eastAsia"/>
          <w:sz w:val="24"/>
        </w:rPr>
        <w:t>招标方技术团队有权对投标方研发制造全过程的技术工作进行检查监督，有权参与设备图纸设计、审核、主要原材料选用、重大技术变更等关键技术环节工作。投标方应在设备研发、制造主要技术节点通知招标方技术团队参与</w:t>
      </w:r>
      <w:r>
        <w:rPr>
          <w:rFonts w:hint="eastAsia" w:hAnsi="宋体"/>
          <w:sz w:val="24"/>
        </w:rPr>
        <w:t>。</w:t>
      </w:r>
    </w:p>
    <w:p w14:paraId="5062A7C2">
      <w:pPr>
        <w:autoSpaceDN w:val="0"/>
        <w:rPr>
          <w:rFonts w:ascii="宋体" w:hAnsi="宋体"/>
          <w:sz w:val="24"/>
          <w:szCs w:val="21"/>
        </w:rPr>
      </w:pPr>
      <w:r>
        <w:rPr>
          <w:rFonts w:hint="eastAsia" w:ascii="宋体" w:hAnsi="宋体" w:cs="宋体"/>
          <w:sz w:val="24"/>
        </w:rPr>
        <w:t>4.</w:t>
      </w:r>
      <w:r>
        <w:rPr>
          <w:rFonts w:hint="eastAsia" w:ascii="宋体" w:hAnsi="宋体" w:cs="宋体"/>
          <w:sz w:val="24"/>
          <w:lang w:val="en-US" w:eastAsia="zh-CN"/>
        </w:rPr>
        <w:t>5</w:t>
      </w:r>
      <w:r>
        <w:rPr>
          <w:rFonts w:hint="eastAsia" w:ascii="宋体" w:hAnsi="宋体" w:cs="宋体"/>
          <w:sz w:val="24"/>
        </w:rPr>
        <w:t xml:space="preserve"> </w:t>
      </w:r>
      <w:r>
        <w:rPr>
          <w:rFonts w:hint="eastAsia" w:ascii="宋体" w:hAnsi="宋体"/>
          <w:sz w:val="24"/>
          <w:szCs w:val="21"/>
        </w:rPr>
        <w:t>为保证投标方有效进行技术服务工作，招标方提供与项目有关的技术资料，并协助投标方协调项目实施过程中所需解决的事项。</w:t>
      </w:r>
    </w:p>
    <w:p w14:paraId="73CA961D">
      <w:pPr>
        <w:pStyle w:val="7"/>
        <w:rPr>
          <w:rFonts w:hAnsi="宋体"/>
          <w:sz w:val="24"/>
        </w:rPr>
      </w:pPr>
      <w:r>
        <w:rPr>
          <w:rFonts w:hint="eastAsia" w:hAnsi="宋体" w:cs="宋体"/>
          <w:sz w:val="24"/>
          <w:szCs w:val="24"/>
        </w:rPr>
        <w:t>4.</w:t>
      </w:r>
      <w:r>
        <w:rPr>
          <w:rFonts w:hint="eastAsia" w:hAnsi="宋体" w:cs="宋体"/>
          <w:sz w:val="24"/>
          <w:szCs w:val="24"/>
          <w:lang w:val="en-US" w:eastAsia="zh-CN"/>
        </w:rPr>
        <w:t>6</w:t>
      </w:r>
      <w:r>
        <w:rPr>
          <w:rFonts w:hint="eastAsia" w:hAnsi="宋体" w:cs="宋体"/>
          <w:sz w:val="24"/>
          <w:szCs w:val="24"/>
        </w:rPr>
        <w:t>双</w:t>
      </w:r>
      <w:r>
        <w:rPr>
          <w:rFonts w:hint="eastAsia" w:hAnsi="宋体"/>
          <w:sz w:val="24"/>
        </w:rPr>
        <w:t>方确定，在项目进行期内，双方均指定项目联系人。项目联系人承担以下责任：</w:t>
      </w:r>
    </w:p>
    <w:p w14:paraId="3DEDD22B">
      <w:pPr>
        <w:pStyle w:val="7"/>
        <w:rPr>
          <w:rFonts w:hAnsi="宋体"/>
          <w:sz w:val="24"/>
        </w:rPr>
      </w:pPr>
      <w:r>
        <w:rPr>
          <w:rFonts w:hint="eastAsia" w:ascii="Times New Roman" w:hAnsi="Times New Roman"/>
          <w:sz w:val="24"/>
        </w:rPr>
        <w:t>（1）沟通项目所需资料的收集</w:t>
      </w:r>
      <w:r>
        <w:rPr>
          <w:rFonts w:hint="eastAsia" w:hAnsi="宋体"/>
          <w:sz w:val="24"/>
        </w:rPr>
        <w:t>。</w:t>
      </w:r>
    </w:p>
    <w:p w14:paraId="67A48A5E">
      <w:pPr>
        <w:pStyle w:val="7"/>
        <w:rPr>
          <w:rFonts w:hAnsi="宋体"/>
          <w:sz w:val="24"/>
        </w:rPr>
      </w:pPr>
      <w:r>
        <w:rPr>
          <w:rFonts w:hint="eastAsia" w:ascii="Times New Roman" w:hAnsi="Times New Roman"/>
          <w:sz w:val="24"/>
        </w:rPr>
        <w:t>（2）沟通项目进度信息。</w:t>
      </w:r>
    </w:p>
    <w:p w14:paraId="2E5D34AE">
      <w:pPr>
        <w:pStyle w:val="7"/>
        <w:rPr>
          <w:rFonts w:hAnsi="宋体"/>
          <w:sz w:val="24"/>
        </w:rPr>
      </w:pPr>
      <w:r>
        <w:rPr>
          <w:rFonts w:hint="eastAsia" w:ascii="Times New Roman" w:hAnsi="Times New Roman"/>
          <w:sz w:val="24"/>
        </w:rPr>
        <w:t>（3）协商解决项目执行过程中遇到的问题。</w:t>
      </w:r>
    </w:p>
    <w:p w14:paraId="48BACCB4">
      <w:pPr>
        <w:pStyle w:val="7"/>
        <w:ind w:firstLine="480" w:firstLineChars="200"/>
        <w:rPr>
          <w:rFonts w:hAnsi="宋体"/>
          <w:sz w:val="24"/>
          <w:szCs w:val="24"/>
        </w:rPr>
      </w:pPr>
      <w:r>
        <w:rPr>
          <w:rFonts w:hAnsi="宋体"/>
          <w:sz w:val="24"/>
        </w:rPr>
        <w:t>一方变更项目联系人的，应当及时以书面形式通知另一方。未及时通知并影响</w:t>
      </w:r>
      <w:r>
        <w:rPr>
          <w:rFonts w:hint="eastAsia" w:hAnsi="宋体"/>
          <w:sz w:val="24"/>
        </w:rPr>
        <w:t>项目进</w:t>
      </w:r>
      <w:r>
        <w:rPr>
          <w:rFonts w:hAnsi="宋体"/>
          <w:sz w:val="24"/>
        </w:rPr>
        <w:t>行或造成损失的，应承担相应的责任。</w:t>
      </w:r>
    </w:p>
    <w:p w14:paraId="414BF8E5">
      <w:pPr>
        <w:pStyle w:val="7"/>
        <w:rPr>
          <w:rFonts w:hAnsi="宋体"/>
          <w:sz w:val="24"/>
        </w:rPr>
      </w:pPr>
      <w:r>
        <w:rPr>
          <w:rFonts w:hint="eastAsia" w:hAnsi="宋体" w:cs="宋体"/>
          <w:sz w:val="24"/>
          <w:szCs w:val="24"/>
        </w:rPr>
        <w:t>4.</w:t>
      </w:r>
      <w:r>
        <w:rPr>
          <w:rFonts w:hint="eastAsia" w:hAnsi="宋体" w:cs="宋体"/>
          <w:sz w:val="24"/>
          <w:szCs w:val="24"/>
          <w:lang w:val="en-US" w:eastAsia="zh-CN"/>
        </w:rPr>
        <w:t>7</w:t>
      </w:r>
      <w:r>
        <w:rPr>
          <w:rFonts w:hint="eastAsia" w:hAnsi="宋体" w:cs="宋体"/>
          <w:sz w:val="24"/>
          <w:szCs w:val="24"/>
        </w:rPr>
        <w:t>双</w:t>
      </w:r>
      <w:r>
        <w:rPr>
          <w:rFonts w:hAnsi="宋体"/>
          <w:sz w:val="24"/>
        </w:rPr>
        <w:t>方确定</w:t>
      </w:r>
      <w:r>
        <w:rPr>
          <w:rFonts w:hint="eastAsia" w:hAnsi="宋体"/>
          <w:sz w:val="24"/>
        </w:rPr>
        <w:t>项目有关</w:t>
      </w:r>
      <w:r>
        <w:rPr>
          <w:rFonts w:hAnsi="宋体"/>
          <w:sz w:val="24"/>
        </w:rPr>
        <w:t>保密义务如下：</w:t>
      </w:r>
    </w:p>
    <w:p w14:paraId="1A984B6D">
      <w:pPr>
        <w:pStyle w:val="7"/>
        <w:ind w:firstLine="240"/>
        <w:rPr>
          <w:rFonts w:hAnsi="宋体"/>
          <w:sz w:val="24"/>
        </w:rPr>
      </w:pPr>
      <w:r>
        <w:rPr>
          <w:rFonts w:hAnsi="宋体"/>
          <w:sz w:val="24"/>
        </w:rPr>
        <w:t xml:space="preserve">    </w:t>
      </w:r>
      <w:r>
        <w:rPr>
          <w:rFonts w:hint="eastAsia" w:hAnsi="宋体"/>
          <w:sz w:val="24"/>
        </w:rPr>
        <w:t>招标方</w:t>
      </w:r>
      <w:r>
        <w:rPr>
          <w:rFonts w:hAnsi="宋体"/>
          <w:sz w:val="24"/>
        </w:rPr>
        <w:t>：</w:t>
      </w:r>
    </w:p>
    <w:p w14:paraId="5F924D18">
      <w:pPr>
        <w:pStyle w:val="7"/>
        <w:ind w:firstLine="720" w:firstLineChars="300"/>
        <w:rPr>
          <w:rFonts w:ascii="Times New Roman" w:hAnsi="Times New Roman"/>
          <w:sz w:val="24"/>
        </w:rPr>
      </w:pPr>
      <w:r>
        <w:rPr>
          <w:rFonts w:hint="eastAsia" w:hAnsi="宋体"/>
          <w:sz w:val="24"/>
        </w:rPr>
        <w:t>（1）</w:t>
      </w:r>
      <w:r>
        <w:rPr>
          <w:rFonts w:hAnsi="宋体"/>
          <w:sz w:val="24"/>
        </w:rPr>
        <w:t>保密内容（包括技术信息和经营信息）：</w:t>
      </w:r>
      <w:r>
        <w:rPr>
          <w:rFonts w:hint="eastAsia" w:hAnsi="宋体"/>
          <w:sz w:val="24"/>
        </w:rPr>
        <w:t>过程所有文件。</w:t>
      </w:r>
    </w:p>
    <w:p w14:paraId="0AA469EA">
      <w:pPr>
        <w:pStyle w:val="7"/>
        <w:ind w:firstLine="720" w:firstLineChars="300"/>
        <w:rPr>
          <w:rFonts w:ascii="Times New Roman" w:hAnsi="Times New Roman"/>
          <w:sz w:val="24"/>
        </w:rPr>
      </w:pPr>
      <w:r>
        <w:rPr>
          <w:rFonts w:hint="eastAsia" w:hAnsi="宋体"/>
          <w:sz w:val="24"/>
        </w:rPr>
        <w:t>（2）</w:t>
      </w:r>
      <w:r>
        <w:rPr>
          <w:rFonts w:hAnsi="宋体"/>
          <w:sz w:val="24"/>
        </w:rPr>
        <w:t>涉密人员范围：</w:t>
      </w:r>
      <w:r>
        <w:rPr>
          <w:rFonts w:hint="eastAsia" w:hAnsi="宋体"/>
          <w:sz w:val="24"/>
        </w:rPr>
        <w:t>参与技术服务工作人员。</w:t>
      </w:r>
    </w:p>
    <w:p w14:paraId="607FE177">
      <w:pPr>
        <w:pStyle w:val="7"/>
        <w:ind w:firstLine="720" w:firstLineChars="300"/>
        <w:rPr>
          <w:rFonts w:ascii="Times New Roman" w:hAnsi="Times New Roman"/>
          <w:sz w:val="24"/>
        </w:rPr>
      </w:pPr>
      <w:r>
        <w:rPr>
          <w:rFonts w:hint="eastAsia" w:hAnsi="宋体"/>
          <w:sz w:val="24"/>
        </w:rPr>
        <w:t>（3）</w:t>
      </w:r>
      <w:r>
        <w:rPr>
          <w:rFonts w:hAnsi="宋体"/>
          <w:sz w:val="24"/>
        </w:rPr>
        <w:t>保密期限：</w:t>
      </w:r>
      <w:r>
        <w:rPr>
          <w:rFonts w:hint="eastAsia" w:ascii="Times New Roman" w:hAnsi="Times New Roman"/>
          <w:sz w:val="24"/>
        </w:rPr>
        <w:t>本项目有效期及期满后5年内。</w:t>
      </w:r>
    </w:p>
    <w:p w14:paraId="24F9798F">
      <w:pPr>
        <w:pStyle w:val="7"/>
        <w:ind w:firstLine="720" w:firstLineChars="300"/>
        <w:rPr>
          <w:rFonts w:hAnsi="宋体"/>
          <w:sz w:val="24"/>
        </w:rPr>
      </w:pPr>
      <w:r>
        <w:rPr>
          <w:rFonts w:hint="eastAsia" w:hAnsi="宋体"/>
          <w:sz w:val="24"/>
        </w:rPr>
        <w:t>（4）</w:t>
      </w:r>
      <w:r>
        <w:rPr>
          <w:rFonts w:hAnsi="宋体"/>
          <w:sz w:val="24"/>
        </w:rPr>
        <w:t>泄密责任：</w:t>
      </w:r>
      <w:r>
        <w:rPr>
          <w:rFonts w:hint="eastAsia" w:ascii="Times New Roman" w:hAnsi="Times New Roman"/>
          <w:sz w:val="24"/>
        </w:rPr>
        <w:t>承担法律责任并赔偿由此给</w:t>
      </w:r>
      <w:r>
        <w:rPr>
          <w:rFonts w:hint="eastAsia" w:hAnsi="宋体"/>
          <w:sz w:val="24"/>
        </w:rPr>
        <w:t>投标方</w:t>
      </w:r>
      <w:r>
        <w:rPr>
          <w:rFonts w:hint="eastAsia" w:ascii="Times New Roman" w:hAnsi="Times New Roman"/>
          <w:sz w:val="24"/>
        </w:rPr>
        <w:t>造成的损失。</w:t>
      </w:r>
    </w:p>
    <w:p w14:paraId="11B928EF">
      <w:pPr>
        <w:pStyle w:val="7"/>
        <w:ind w:firstLine="240"/>
        <w:rPr>
          <w:rFonts w:hAnsi="宋体"/>
          <w:sz w:val="24"/>
        </w:rPr>
      </w:pPr>
      <w:r>
        <w:rPr>
          <w:rFonts w:hAnsi="宋体"/>
          <w:sz w:val="24"/>
        </w:rPr>
        <w:t xml:space="preserve">    </w:t>
      </w:r>
      <w:r>
        <w:rPr>
          <w:rFonts w:hint="eastAsia" w:hAnsi="宋体"/>
          <w:sz w:val="24"/>
        </w:rPr>
        <w:t>投标方</w:t>
      </w:r>
      <w:r>
        <w:rPr>
          <w:rFonts w:hAnsi="宋体"/>
          <w:sz w:val="24"/>
        </w:rPr>
        <w:t xml:space="preserve">：  </w:t>
      </w:r>
    </w:p>
    <w:p w14:paraId="07642554">
      <w:pPr>
        <w:pStyle w:val="7"/>
        <w:ind w:firstLine="720" w:firstLineChars="300"/>
        <w:rPr>
          <w:rFonts w:ascii="Times New Roman" w:hAnsi="Times New Roman"/>
          <w:sz w:val="24"/>
        </w:rPr>
      </w:pPr>
      <w:r>
        <w:rPr>
          <w:rFonts w:hint="eastAsia" w:hAnsi="宋体"/>
          <w:sz w:val="24"/>
        </w:rPr>
        <w:t>（1）</w:t>
      </w:r>
      <w:r>
        <w:rPr>
          <w:rFonts w:hAnsi="宋体"/>
          <w:sz w:val="24"/>
        </w:rPr>
        <w:t>保密内容（包括技术信息和经营信息）：</w:t>
      </w:r>
      <w:r>
        <w:rPr>
          <w:rFonts w:hint="eastAsia" w:hAnsi="宋体"/>
          <w:sz w:val="24"/>
        </w:rPr>
        <w:t>过程所有文件。</w:t>
      </w:r>
    </w:p>
    <w:p w14:paraId="27F8CC74">
      <w:pPr>
        <w:pStyle w:val="7"/>
        <w:ind w:firstLine="720" w:firstLineChars="300"/>
        <w:rPr>
          <w:rFonts w:ascii="Times New Roman" w:hAnsi="Times New Roman"/>
          <w:sz w:val="24"/>
        </w:rPr>
      </w:pPr>
      <w:r>
        <w:rPr>
          <w:rFonts w:hint="eastAsia" w:hAnsi="宋体"/>
          <w:sz w:val="24"/>
        </w:rPr>
        <w:t>（2）</w:t>
      </w:r>
      <w:r>
        <w:rPr>
          <w:rFonts w:hAnsi="宋体"/>
          <w:sz w:val="24"/>
        </w:rPr>
        <w:t>涉密人员范围：</w:t>
      </w:r>
      <w:r>
        <w:rPr>
          <w:rFonts w:hint="eastAsia" w:hAnsi="宋体"/>
          <w:sz w:val="24"/>
        </w:rPr>
        <w:t>参与技术服务工作人员。</w:t>
      </w:r>
    </w:p>
    <w:p w14:paraId="0EC835D1">
      <w:pPr>
        <w:pStyle w:val="7"/>
        <w:ind w:firstLine="720" w:firstLineChars="300"/>
        <w:rPr>
          <w:rFonts w:ascii="Times New Roman" w:hAnsi="Times New Roman"/>
          <w:sz w:val="24"/>
        </w:rPr>
      </w:pPr>
      <w:r>
        <w:rPr>
          <w:rFonts w:hint="eastAsia" w:hAnsi="宋体"/>
          <w:sz w:val="24"/>
        </w:rPr>
        <w:t>（3）</w:t>
      </w:r>
      <w:r>
        <w:rPr>
          <w:rFonts w:hAnsi="宋体"/>
          <w:sz w:val="24"/>
        </w:rPr>
        <w:t>保密期限：</w:t>
      </w:r>
      <w:r>
        <w:rPr>
          <w:rFonts w:hint="eastAsia" w:ascii="Times New Roman" w:hAnsi="Times New Roman"/>
          <w:sz w:val="24"/>
        </w:rPr>
        <w:t>本项目有效期及期满后5年内。</w:t>
      </w:r>
    </w:p>
    <w:p w14:paraId="31C544D4">
      <w:pPr>
        <w:pStyle w:val="7"/>
        <w:ind w:firstLine="720" w:firstLineChars="300"/>
        <w:rPr>
          <w:rFonts w:hint="eastAsia" w:ascii="Times New Roman" w:hAnsi="Times New Roman"/>
          <w:sz w:val="24"/>
        </w:rPr>
      </w:pPr>
      <w:r>
        <w:rPr>
          <w:rFonts w:hint="eastAsia" w:hAnsi="宋体"/>
          <w:sz w:val="24"/>
        </w:rPr>
        <w:t>（4）</w:t>
      </w:r>
      <w:r>
        <w:rPr>
          <w:rFonts w:hAnsi="宋体"/>
          <w:sz w:val="24"/>
        </w:rPr>
        <w:t>泄密责任：</w:t>
      </w:r>
      <w:r>
        <w:rPr>
          <w:rFonts w:hint="eastAsia" w:ascii="Times New Roman" w:hAnsi="Times New Roman"/>
          <w:sz w:val="24"/>
        </w:rPr>
        <w:t>承担法律责任并赔偿由此给招标方造成的损失。</w:t>
      </w:r>
    </w:p>
    <w:p w14:paraId="5F0E491E">
      <w:pPr>
        <w:snapToGrid w:val="0"/>
        <w:spacing w:before="120"/>
        <w:rPr>
          <w:rFonts w:hint="eastAsia" w:ascii="黑体" w:hAnsi="黑体" w:eastAsia="黑体" w:cs="黑体"/>
          <w:b/>
          <w:bCs/>
          <w:sz w:val="28"/>
          <w:szCs w:val="36"/>
        </w:rPr>
      </w:pPr>
      <w:r>
        <w:rPr>
          <w:rFonts w:hint="eastAsia" w:ascii="黑体" w:hAnsi="黑体" w:eastAsia="黑体" w:cs="黑体"/>
          <w:b/>
          <w:bCs/>
          <w:sz w:val="28"/>
          <w:szCs w:val="36"/>
        </w:rPr>
        <w:t>5.投标方技术文件编制要求</w:t>
      </w:r>
    </w:p>
    <w:p w14:paraId="3B2BE2DA">
      <w:pPr>
        <w:spacing w:line="360" w:lineRule="auto"/>
        <w:ind w:left="6" w:leftChars="3" w:firstLine="480" w:firstLineChars="200"/>
        <w:rPr>
          <w:sz w:val="24"/>
        </w:rPr>
      </w:pPr>
      <w:r>
        <w:rPr>
          <w:rFonts w:hint="eastAsia"/>
          <w:sz w:val="24"/>
        </w:rPr>
        <w:t>投标方</w:t>
      </w:r>
      <w:r>
        <w:rPr>
          <w:sz w:val="24"/>
        </w:rPr>
        <w:t>技术文件应包括：</w:t>
      </w:r>
    </w:p>
    <w:p w14:paraId="1AEDD50F">
      <w:pPr>
        <w:spacing w:line="360" w:lineRule="auto"/>
        <w:ind w:left="6" w:leftChars="3" w:firstLine="480" w:firstLineChars="200"/>
        <w:rPr>
          <w:sz w:val="24"/>
        </w:rPr>
      </w:pPr>
      <w:r>
        <w:rPr>
          <w:sz w:val="24"/>
        </w:rPr>
        <w:t>（1）</w:t>
      </w:r>
      <w:r>
        <w:rPr>
          <w:rFonts w:ascii="宋体" w:hAnsi="宋体" w:cs="宋体"/>
          <w:sz w:val="24"/>
        </w:rPr>
        <w:t>提供完整的系统设计方案及实施方案与计划</w:t>
      </w:r>
      <w:r>
        <w:rPr>
          <w:rFonts w:hint="eastAsia" w:ascii="宋体" w:hAnsi="宋体" w:cs="宋体"/>
          <w:sz w:val="24"/>
          <w:lang w:eastAsia="zh-CN"/>
        </w:rPr>
        <w:t>；</w:t>
      </w:r>
    </w:p>
    <w:p w14:paraId="644A5040">
      <w:pPr>
        <w:pStyle w:val="2"/>
        <w:numPr>
          <w:ilvl w:val="0"/>
          <w:numId w:val="0"/>
        </w:numPr>
        <w:rPr>
          <w:rFonts w:hint="eastAsia" w:ascii="黑体" w:hAnsi="黑体" w:eastAsia="黑体" w:cs="黑体"/>
          <w:b/>
          <w:bCs/>
          <w:kern w:val="2"/>
          <w:sz w:val="28"/>
          <w:szCs w:val="36"/>
          <w:lang w:val="en-US" w:eastAsia="zh-CN" w:bidi="ar-SA"/>
        </w:rPr>
      </w:pPr>
      <w:bookmarkStart w:id="46" w:name="_Toc14774"/>
      <w:bookmarkStart w:id="47" w:name="_Toc23520"/>
      <w:bookmarkStart w:id="48" w:name="_Toc312827039"/>
      <w:bookmarkStart w:id="49" w:name="_Toc309805603"/>
      <w:bookmarkStart w:id="50" w:name="_Toc26448179"/>
      <w:bookmarkStart w:id="51" w:name="_Toc309593279"/>
      <w:bookmarkStart w:id="52" w:name="_Toc309593208"/>
      <w:bookmarkStart w:id="53" w:name="_Toc12135"/>
      <w:bookmarkStart w:id="54" w:name="_Toc12192"/>
      <w:r>
        <w:rPr>
          <w:rFonts w:hint="eastAsia" w:ascii="黑体" w:hAnsi="黑体" w:eastAsia="黑体" w:cs="黑体"/>
          <w:b/>
          <w:bCs/>
          <w:kern w:val="2"/>
          <w:sz w:val="28"/>
          <w:szCs w:val="36"/>
          <w:lang w:val="en-US" w:eastAsia="zh-CN" w:bidi="ar-SA"/>
        </w:rPr>
        <w:t>6.※工期进度要求</w:t>
      </w:r>
      <w:bookmarkEnd w:id="46"/>
      <w:bookmarkEnd w:id="47"/>
      <w:bookmarkEnd w:id="48"/>
      <w:bookmarkEnd w:id="49"/>
      <w:bookmarkEnd w:id="50"/>
      <w:bookmarkEnd w:id="51"/>
      <w:bookmarkEnd w:id="52"/>
      <w:bookmarkEnd w:id="53"/>
      <w:bookmarkEnd w:id="54"/>
    </w:p>
    <w:p w14:paraId="5BD3C678">
      <w:pPr>
        <w:spacing w:line="360" w:lineRule="auto"/>
        <w:ind w:left="6" w:leftChars="3" w:firstLine="480" w:firstLineChars="200"/>
        <w:rPr>
          <w:sz w:val="24"/>
        </w:rPr>
      </w:pPr>
      <w:r>
        <w:rPr>
          <w:sz w:val="24"/>
        </w:rPr>
        <w:t>本项目应按照下表所示进度安排开展试验工作：</w:t>
      </w:r>
    </w:p>
    <w:tbl>
      <w:tblPr>
        <w:tblStyle w:val="12"/>
        <w:tblW w:w="88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7"/>
        <w:gridCol w:w="1734"/>
        <w:gridCol w:w="5358"/>
      </w:tblGrid>
      <w:tr w14:paraId="3A265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1737" w:type="dxa"/>
            <w:noWrap w:val="0"/>
            <w:vAlign w:val="center"/>
          </w:tcPr>
          <w:p w14:paraId="08BBD23B">
            <w:pPr>
              <w:jc w:val="center"/>
              <w:rPr>
                <w:b/>
                <w:sz w:val="24"/>
              </w:rPr>
            </w:pPr>
            <w:r>
              <w:rPr>
                <w:b/>
                <w:sz w:val="24"/>
              </w:rPr>
              <w:t>任务名称</w:t>
            </w:r>
          </w:p>
        </w:tc>
        <w:tc>
          <w:tcPr>
            <w:tcW w:w="1734" w:type="dxa"/>
            <w:noWrap w:val="0"/>
            <w:vAlign w:val="center"/>
          </w:tcPr>
          <w:p w14:paraId="516846AB">
            <w:pPr>
              <w:jc w:val="center"/>
              <w:rPr>
                <w:b/>
                <w:sz w:val="24"/>
              </w:rPr>
            </w:pPr>
            <w:r>
              <w:rPr>
                <w:b/>
                <w:sz w:val="24"/>
              </w:rPr>
              <w:t>工作时间</w:t>
            </w:r>
          </w:p>
        </w:tc>
        <w:tc>
          <w:tcPr>
            <w:tcW w:w="5358" w:type="dxa"/>
            <w:noWrap w:val="0"/>
            <w:vAlign w:val="center"/>
          </w:tcPr>
          <w:p w14:paraId="0FB0BFA4">
            <w:pPr>
              <w:tabs>
                <w:tab w:val="left" w:pos="859"/>
              </w:tabs>
              <w:ind w:left="111" w:leftChars="53" w:firstLine="7" w:firstLineChars="3"/>
              <w:jc w:val="center"/>
              <w:rPr>
                <w:b/>
                <w:sz w:val="24"/>
              </w:rPr>
            </w:pPr>
            <w:r>
              <w:rPr>
                <w:b/>
                <w:sz w:val="24"/>
              </w:rPr>
              <w:t>主要内容及交付项</w:t>
            </w:r>
          </w:p>
        </w:tc>
      </w:tr>
      <w:tr w14:paraId="59E10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41" w:hRule="atLeast"/>
          <w:jc w:val="center"/>
        </w:trPr>
        <w:tc>
          <w:tcPr>
            <w:tcW w:w="1737" w:type="dxa"/>
            <w:noWrap w:val="0"/>
            <w:vAlign w:val="top"/>
          </w:tcPr>
          <w:p w14:paraId="71CE3849">
            <w:pPr>
              <w:spacing w:before="120" w:after="120" w:line="288" w:lineRule="auto"/>
              <w:ind w:left="0" w:leftChars="0"/>
              <w:jc w:val="left"/>
              <w:rPr>
                <w:rFonts w:hint="eastAsia" w:ascii="宋体" w:hAnsi="宋体" w:eastAsia="宋体" w:cs="宋体"/>
                <w:kern w:val="2"/>
                <w:sz w:val="21"/>
                <w:szCs w:val="21"/>
                <w:lang w:eastAsia="zh-CN"/>
              </w:rPr>
            </w:pPr>
            <w:r>
              <w:rPr>
                <w:rFonts w:hint="eastAsia" w:ascii="宋体" w:hAnsi="宋体" w:eastAsia="宋体" w:cs="宋体"/>
                <w:sz w:val="22"/>
              </w:rPr>
              <w:t>需求调研与方案设计</w:t>
            </w:r>
          </w:p>
        </w:tc>
        <w:tc>
          <w:tcPr>
            <w:tcW w:w="1734" w:type="dxa"/>
            <w:noWrap w:val="0"/>
            <w:vAlign w:val="top"/>
          </w:tcPr>
          <w:p w14:paraId="4E19A742">
            <w:pPr>
              <w:spacing w:before="120" w:after="120" w:line="288" w:lineRule="auto"/>
              <w:ind w:left="0" w:leftChars="0"/>
              <w:jc w:val="left"/>
              <w:rPr>
                <w:rFonts w:hint="eastAsia" w:ascii="宋体" w:hAnsi="宋体" w:eastAsia="宋体" w:cs="宋体"/>
                <w:szCs w:val="21"/>
              </w:rPr>
            </w:pPr>
            <w:r>
              <w:rPr>
                <w:rFonts w:hint="eastAsia" w:ascii="宋体" w:hAnsi="宋体" w:eastAsia="宋体" w:cs="宋体"/>
                <w:sz w:val="22"/>
              </w:rPr>
              <w:t>采购结果确定后 1 个月内</w:t>
            </w:r>
          </w:p>
        </w:tc>
        <w:tc>
          <w:tcPr>
            <w:tcW w:w="5358" w:type="dxa"/>
            <w:noWrap w:val="0"/>
            <w:vAlign w:val="top"/>
          </w:tcPr>
          <w:p w14:paraId="47D047E5">
            <w:pPr>
              <w:spacing w:before="120" w:after="120" w:line="288" w:lineRule="auto"/>
              <w:ind w:left="0" w:leftChars="0"/>
              <w:jc w:val="left"/>
              <w:rPr>
                <w:rFonts w:hint="eastAsia" w:ascii="宋体" w:hAnsi="宋体" w:eastAsia="宋体" w:cs="宋体"/>
                <w:sz w:val="22"/>
              </w:rPr>
            </w:pPr>
            <w:r>
              <w:rPr>
                <w:rFonts w:hint="eastAsia" w:ascii="宋体" w:hAnsi="宋体" w:eastAsia="宋体" w:cs="宋体"/>
                <w:sz w:val="22"/>
              </w:rPr>
              <w:t>1</w:t>
            </w:r>
            <w:r>
              <w:rPr>
                <w:rFonts w:hint="eastAsia" w:ascii="宋体" w:hAnsi="宋体" w:eastAsia="宋体" w:cs="宋体"/>
                <w:sz w:val="22"/>
              </w:rPr>
              <w:t>. 现场调研超 / 特高压高空牵引作业工况，收集传统滑车使用痛点；</w:t>
            </w:r>
          </w:p>
          <w:p w14:paraId="433CBC8C">
            <w:pPr>
              <w:spacing w:before="120" w:after="120" w:line="288" w:lineRule="auto"/>
              <w:ind w:left="0" w:leftChars="0"/>
              <w:jc w:val="left"/>
              <w:rPr>
                <w:rFonts w:hint="eastAsia" w:ascii="宋体" w:hAnsi="宋体" w:eastAsia="宋体" w:cs="宋体"/>
                <w:sz w:val="22"/>
              </w:rPr>
            </w:pPr>
            <w:r>
              <w:rPr>
                <w:rFonts w:hint="eastAsia" w:ascii="宋体" w:hAnsi="宋体" w:eastAsia="宋体" w:cs="宋体"/>
                <w:sz w:val="22"/>
              </w:rPr>
              <w:t>2. 梳理高空牵引工器具相关行业标准、力学载荷指标；</w:t>
            </w:r>
          </w:p>
          <w:p w14:paraId="78B34588">
            <w:pPr>
              <w:spacing w:before="120" w:after="120" w:line="288" w:lineRule="auto"/>
              <w:ind w:left="0" w:leftChars="0"/>
              <w:jc w:val="left"/>
              <w:rPr>
                <w:rFonts w:hint="eastAsia" w:ascii="宋体" w:hAnsi="宋体" w:eastAsia="宋体" w:cs="宋体"/>
                <w:sz w:val="22"/>
              </w:rPr>
            </w:pPr>
            <w:r>
              <w:rPr>
                <w:rFonts w:hint="eastAsia" w:ascii="宋体" w:hAnsi="宋体" w:eastAsia="宋体" w:cs="宋体"/>
                <w:sz w:val="22"/>
              </w:rPr>
              <w:t>3. 完成葫芦式通结滑轮、自锁夹持、双挂载结构整体方案设计；</w:t>
            </w:r>
          </w:p>
          <w:p w14:paraId="7CBD870C">
            <w:pPr>
              <w:spacing w:before="120" w:after="120" w:line="288" w:lineRule="auto"/>
              <w:ind w:left="0" w:leftChars="0"/>
              <w:jc w:val="left"/>
              <w:rPr>
                <w:rFonts w:hint="eastAsia" w:ascii="宋体" w:hAnsi="宋体" w:eastAsia="宋体" w:cs="宋体"/>
                <w:sz w:val="22"/>
              </w:rPr>
            </w:pPr>
            <w:r>
              <w:rPr>
                <w:rFonts w:hint="eastAsia" w:ascii="宋体" w:hAnsi="宋体" w:eastAsia="宋体" w:cs="宋体"/>
                <w:sz w:val="22"/>
              </w:rPr>
              <w:t>交付：完整滑车整体设计方案 1 份、初步结构加工图纸</w:t>
            </w:r>
          </w:p>
        </w:tc>
      </w:tr>
      <w:tr w14:paraId="2C451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7" w:hRule="atLeast"/>
          <w:jc w:val="center"/>
        </w:trPr>
        <w:tc>
          <w:tcPr>
            <w:tcW w:w="1737" w:type="dxa"/>
            <w:noWrap w:val="0"/>
            <w:vAlign w:val="top"/>
          </w:tcPr>
          <w:p w14:paraId="0CF2D0E4">
            <w:pPr>
              <w:spacing w:before="120" w:after="120" w:line="288" w:lineRule="auto"/>
              <w:ind w:left="0" w:leftChars="0"/>
              <w:jc w:val="left"/>
              <w:rPr>
                <w:rFonts w:hint="eastAsia" w:ascii="宋体" w:hAnsi="宋体" w:eastAsia="宋体" w:cs="宋体"/>
                <w:kern w:val="2"/>
                <w:sz w:val="21"/>
                <w:szCs w:val="21"/>
                <w:highlight w:val="none"/>
              </w:rPr>
            </w:pPr>
            <w:r>
              <w:rPr>
                <w:rFonts w:hint="eastAsia" w:ascii="宋体" w:hAnsi="宋体" w:eastAsia="宋体" w:cs="宋体"/>
                <w:sz w:val="22"/>
              </w:rPr>
              <w:t>样机试制</w:t>
            </w:r>
          </w:p>
        </w:tc>
        <w:tc>
          <w:tcPr>
            <w:tcW w:w="1734" w:type="dxa"/>
            <w:noWrap w:val="0"/>
            <w:vAlign w:val="top"/>
          </w:tcPr>
          <w:p w14:paraId="310A5E4E">
            <w:pPr>
              <w:spacing w:before="120" w:after="120" w:line="288" w:lineRule="auto"/>
              <w:ind w:left="0" w:leftChars="0"/>
              <w:jc w:val="left"/>
              <w:rPr>
                <w:rFonts w:hint="eastAsia" w:ascii="宋体" w:hAnsi="宋体" w:eastAsia="宋体" w:cs="宋体"/>
                <w:sz w:val="24"/>
              </w:rPr>
            </w:pPr>
            <w:r>
              <w:rPr>
                <w:rFonts w:hint="eastAsia" w:ascii="宋体" w:hAnsi="宋体" w:eastAsia="宋体" w:cs="宋体"/>
                <w:sz w:val="22"/>
              </w:rPr>
              <w:t>采购结果确定后 3 个月内</w:t>
            </w:r>
          </w:p>
        </w:tc>
        <w:tc>
          <w:tcPr>
            <w:tcW w:w="5358" w:type="dxa"/>
            <w:noWrap w:val="0"/>
            <w:vAlign w:val="top"/>
          </w:tcPr>
          <w:p w14:paraId="4CC168F9">
            <w:pPr>
              <w:spacing w:before="120" w:after="120" w:line="288" w:lineRule="auto"/>
              <w:ind w:left="0" w:leftChars="0"/>
              <w:jc w:val="left"/>
              <w:rPr>
                <w:rFonts w:hint="eastAsia" w:ascii="宋体" w:hAnsi="宋体" w:eastAsia="宋体" w:cs="宋体"/>
              </w:rPr>
            </w:pPr>
            <w:r>
              <w:rPr>
                <w:rFonts w:hint="eastAsia" w:ascii="宋体" w:hAnsi="宋体" w:eastAsia="宋体" w:cs="宋体"/>
                <w:sz w:val="22"/>
              </w:rPr>
              <w:t>1. 轻量化主材、合金配件采购加工；</w:t>
            </w:r>
            <w:r>
              <w:rPr>
                <w:rFonts w:hint="eastAsia" w:ascii="宋体" w:hAnsi="宋体" w:eastAsia="宋体" w:cs="宋体"/>
                <w:sz w:val="22"/>
              </w:rPr>
              <w:br w:type="textWrapping"/>
            </w:r>
            <w:r>
              <w:rPr>
                <w:rFonts w:hint="eastAsia" w:ascii="宋体" w:hAnsi="宋体" w:eastAsia="宋体" w:cs="宋体"/>
                <w:sz w:val="22"/>
              </w:rPr>
              <w:t>2. 首版样机加工装配、伸缩锁止结构调试；</w:t>
            </w:r>
            <w:r>
              <w:rPr>
                <w:rFonts w:hint="eastAsia" w:ascii="宋体" w:hAnsi="宋体" w:eastAsia="宋体" w:cs="宋体"/>
                <w:sz w:val="22"/>
              </w:rPr>
              <w:br w:type="textWrapping"/>
            </w:r>
            <w:r>
              <w:rPr>
                <w:rFonts w:hint="eastAsia" w:ascii="宋体" w:hAnsi="宋体" w:cs="宋体"/>
                <w:sz w:val="22"/>
                <w:lang w:val="en-US" w:eastAsia="zh-CN"/>
              </w:rPr>
              <w:t>3</w:t>
            </w:r>
            <w:r>
              <w:rPr>
                <w:rFonts w:hint="eastAsia" w:ascii="宋体" w:hAnsi="宋体" w:eastAsia="宋体" w:cs="宋体"/>
                <w:sz w:val="22"/>
              </w:rPr>
              <w:t>. 迭代优化结构缺陷</w:t>
            </w:r>
            <w:r>
              <w:rPr>
                <w:rFonts w:hint="eastAsia" w:ascii="宋体" w:hAnsi="宋体" w:eastAsia="宋体" w:cs="宋体"/>
                <w:sz w:val="22"/>
              </w:rPr>
              <w:br w:type="textWrapping"/>
            </w:r>
            <w:r>
              <w:rPr>
                <w:rFonts w:hint="eastAsia" w:ascii="宋体" w:hAnsi="宋体" w:eastAsia="宋体" w:cs="宋体"/>
                <w:sz w:val="22"/>
              </w:rPr>
              <w:t>交付：首台样机 1 套、</w:t>
            </w:r>
            <w:r>
              <w:rPr>
                <w:rFonts w:hint="eastAsia" w:ascii="宋体" w:hAnsi="宋体" w:eastAsia="宋体" w:cs="宋体"/>
                <w:sz w:val="22"/>
                <w:lang w:val="en-US" w:eastAsia="zh-CN"/>
              </w:rPr>
              <w:t>出厂</w:t>
            </w:r>
            <w:r>
              <w:rPr>
                <w:rFonts w:hint="eastAsia" w:ascii="宋体" w:hAnsi="宋体" w:eastAsia="宋体" w:cs="宋体"/>
                <w:sz w:val="22"/>
              </w:rPr>
              <w:t>试验报告</w:t>
            </w:r>
          </w:p>
        </w:tc>
      </w:tr>
      <w:tr w14:paraId="248DF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9" w:hRule="atLeast"/>
          <w:jc w:val="center"/>
        </w:trPr>
        <w:tc>
          <w:tcPr>
            <w:tcW w:w="1737" w:type="dxa"/>
            <w:noWrap w:val="0"/>
            <w:vAlign w:val="top"/>
          </w:tcPr>
          <w:p w14:paraId="18F89A74">
            <w:pPr>
              <w:spacing w:before="120" w:after="120" w:line="288" w:lineRule="auto"/>
              <w:ind w:left="0" w:leftChars="0"/>
              <w:jc w:val="left"/>
              <w:rPr>
                <w:rFonts w:hint="eastAsia" w:ascii="宋体" w:hAnsi="宋体" w:eastAsia="宋体" w:cs="宋体"/>
                <w:kern w:val="2"/>
                <w:sz w:val="21"/>
                <w:szCs w:val="21"/>
                <w:highlight w:val="none"/>
              </w:rPr>
            </w:pPr>
            <w:r>
              <w:rPr>
                <w:rFonts w:hint="eastAsia" w:ascii="宋体" w:hAnsi="宋体" w:eastAsia="宋体" w:cs="宋体"/>
                <w:sz w:val="22"/>
              </w:rPr>
              <w:t>现场试用与优化</w:t>
            </w:r>
          </w:p>
        </w:tc>
        <w:tc>
          <w:tcPr>
            <w:tcW w:w="1734" w:type="dxa"/>
            <w:noWrap w:val="0"/>
            <w:vAlign w:val="top"/>
          </w:tcPr>
          <w:p w14:paraId="35C52FF6">
            <w:pPr>
              <w:spacing w:before="120" w:after="120" w:line="288" w:lineRule="auto"/>
              <w:ind w:left="0" w:leftChars="0"/>
              <w:jc w:val="left"/>
              <w:rPr>
                <w:rFonts w:hint="eastAsia" w:ascii="宋体" w:hAnsi="宋体" w:eastAsia="宋体" w:cs="宋体"/>
                <w:sz w:val="24"/>
              </w:rPr>
            </w:pPr>
            <w:r>
              <w:rPr>
                <w:rFonts w:hint="eastAsia" w:ascii="宋体" w:hAnsi="宋体" w:eastAsia="宋体" w:cs="宋体"/>
                <w:sz w:val="22"/>
              </w:rPr>
              <w:t>采购结果确定后 5 个月内</w:t>
            </w:r>
          </w:p>
        </w:tc>
        <w:tc>
          <w:tcPr>
            <w:tcW w:w="5358" w:type="dxa"/>
            <w:noWrap w:val="0"/>
            <w:vAlign w:val="top"/>
          </w:tcPr>
          <w:p w14:paraId="0775C4B8">
            <w:pPr>
              <w:spacing w:before="120" w:after="120" w:line="288" w:lineRule="auto"/>
              <w:ind w:left="0" w:leftChars="0"/>
              <w:jc w:val="left"/>
              <w:rPr>
                <w:rFonts w:hint="eastAsia" w:ascii="宋体" w:hAnsi="宋体" w:eastAsia="宋体" w:cs="宋体"/>
                <w:kern w:val="2"/>
                <w:sz w:val="21"/>
                <w:szCs w:val="21"/>
                <w:lang w:val="en-US" w:eastAsia="zh-CN"/>
              </w:rPr>
            </w:pPr>
            <w:r>
              <w:rPr>
                <w:rFonts w:hint="eastAsia" w:ascii="宋体" w:hAnsi="宋体" w:eastAsia="宋体" w:cs="宋体"/>
                <w:sz w:val="22"/>
              </w:rPr>
              <w:t xml:space="preserve">1. </w:t>
            </w:r>
            <w:bookmarkStart w:id="55" w:name="_GoBack"/>
            <w:bookmarkEnd w:id="55"/>
            <w:r>
              <w:rPr>
                <w:rFonts w:hint="eastAsia" w:ascii="宋体" w:hAnsi="宋体" w:eastAsia="宋体" w:cs="宋体"/>
                <w:sz w:val="22"/>
                <w:lang w:val="en-US" w:eastAsia="zh-CN"/>
              </w:rPr>
              <w:t>模拟实际工况</w:t>
            </w:r>
            <w:r>
              <w:rPr>
                <w:rFonts w:hint="eastAsia" w:ascii="宋体" w:hAnsi="宋体" w:eastAsia="宋体" w:cs="宋体"/>
                <w:sz w:val="22"/>
              </w:rPr>
              <w:t>试用；</w:t>
            </w:r>
            <w:r>
              <w:rPr>
                <w:rFonts w:hint="eastAsia" w:ascii="宋体" w:hAnsi="宋体" w:eastAsia="宋体" w:cs="宋体"/>
                <w:sz w:val="22"/>
              </w:rPr>
              <w:br w:type="textWrapping"/>
            </w:r>
            <w:r>
              <w:rPr>
                <w:rFonts w:hint="eastAsia" w:ascii="宋体" w:hAnsi="宋体" w:eastAsia="宋体" w:cs="宋体"/>
                <w:sz w:val="22"/>
              </w:rPr>
              <w:t>2. 收集运维人员操作反馈，优化指标；</w:t>
            </w:r>
            <w:r>
              <w:rPr>
                <w:rFonts w:hint="eastAsia" w:ascii="宋体" w:hAnsi="宋体" w:eastAsia="宋体" w:cs="宋体"/>
                <w:sz w:val="22"/>
              </w:rPr>
              <w:br w:type="textWrapping"/>
            </w:r>
            <w:r>
              <w:rPr>
                <w:rFonts w:hint="eastAsia" w:ascii="宋体" w:hAnsi="宋体" w:eastAsia="宋体" w:cs="宋体"/>
                <w:sz w:val="22"/>
              </w:rPr>
              <w:t>3. 完成最终定</w:t>
            </w:r>
            <w:r>
              <w:rPr>
                <w:rFonts w:hint="eastAsia" w:ascii="宋体" w:hAnsi="宋体" w:eastAsia="宋体" w:cs="宋体"/>
                <w:sz w:val="22"/>
                <w:lang w:val="en-US" w:eastAsia="zh-CN"/>
              </w:rPr>
              <w:t>工具</w:t>
            </w:r>
            <w:r>
              <w:rPr>
                <w:rFonts w:hint="eastAsia" w:ascii="宋体" w:hAnsi="宋体" w:eastAsia="宋体" w:cs="宋体"/>
                <w:sz w:val="22"/>
              </w:rPr>
              <w:t>；</w:t>
            </w:r>
            <w:r>
              <w:rPr>
                <w:rFonts w:hint="eastAsia" w:ascii="宋体" w:hAnsi="宋体" w:eastAsia="宋体" w:cs="宋体"/>
                <w:sz w:val="22"/>
              </w:rPr>
              <w:br w:type="textWrapping"/>
            </w:r>
            <w:r>
              <w:rPr>
                <w:rFonts w:hint="eastAsia" w:ascii="宋体" w:hAnsi="宋体" w:eastAsia="宋体" w:cs="宋体"/>
                <w:sz w:val="22"/>
              </w:rPr>
              <w:t>交付：定型成品工具 1 套</w:t>
            </w:r>
          </w:p>
        </w:tc>
      </w:tr>
      <w:tr w14:paraId="4EE26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1737" w:type="dxa"/>
            <w:noWrap w:val="0"/>
            <w:vAlign w:val="top"/>
          </w:tcPr>
          <w:p w14:paraId="4A7FDAFE">
            <w:pPr>
              <w:spacing w:before="120" w:after="120" w:line="288" w:lineRule="auto"/>
              <w:ind w:left="0" w:leftChars="0"/>
              <w:jc w:val="left"/>
              <w:rPr>
                <w:rFonts w:hint="eastAsia" w:ascii="宋体" w:hAnsi="宋体" w:eastAsia="宋体" w:cs="宋体"/>
                <w:highlight w:val="none"/>
              </w:rPr>
            </w:pPr>
            <w:r>
              <w:rPr>
                <w:rFonts w:hint="eastAsia" w:ascii="宋体" w:hAnsi="宋体" w:eastAsia="宋体" w:cs="宋体"/>
                <w:sz w:val="22"/>
              </w:rPr>
              <w:t>试验与技术文件编制</w:t>
            </w:r>
          </w:p>
        </w:tc>
        <w:tc>
          <w:tcPr>
            <w:tcW w:w="1734" w:type="dxa"/>
            <w:noWrap w:val="0"/>
            <w:vAlign w:val="top"/>
          </w:tcPr>
          <w:p w14:paraId="5A1B1BF1">
            <w:pPr>
              <w:spacing w:before="120" w:after="120" w:line="288" w:lineRule="auto"/>
              <w:ind w:left="0" w:leftChars="0"/>
              <w:jc w:val="left"/>
              <w:rPr>
                <w:rFonts w:hint="eastAsia" w:ascii="宋体" w:hAnsi="宋体" w:eastAsia="宋体" w:cs="宋体"/>
                <w:sz w:val="24"/>
                <w:highlight w:val="none"/>
              </w:rPr>
            </w:pPr>
            <w:r>
              <w:rPr>
                <w:rFonts w:hint="eastAsia" w:ascii="宋体" w:hAnsi="宋体" w:eastAsia="宋体" w:cs="宋体"/>
                <w:sz w:val="22"/>
              </w:rPr>
              <w:t>采购结果确定后 10 个月内</w:t>
            </w:r>
          </w:p>
        </w:tc>
        <w:tc>
          <w:tcPr>
            <w:tcW w:w="5358" w:type="dxa"/>
            <w:noWrap w:val="0"/>
            <w:vAlign w:val="top"/>
          </w:tcPr>
          <w:p w14:paraId="14A56BB5">
            <w:pPr>
              <w:spacing w:before="120" w:after="120" w:line="288" w:lineRule="auto"/>
              <w:ind w:left="0" w:leftChars="0"/>
              <w:jc w:val="left"/>
              <w:rPr>
                <w:rFonts w:hint="eastAsia" w:ascii="宋体" w:hAnsi="宋体" w:eastAsia="宋体" w:cs="宋体"/>
                <w:highlight w:val="none"/>
              </w:rPr>
            </w:pPr>
            <w:r>
              <w:rPr>
                <w:rFonts w:hint="eastAsia" w:ascii="宋体" w:hAnsi="宋体" w:eastAsia="宋体" w:cs="宋体"/>
                <w:sz w:val="22"/>
              </w:rPr>
              <w:t xml:space="preserve">1. </w:t>
            </w:r>
            <w:r>
              <w:rPr>
                <w:rFonts w:hint="eastAsia" w:ascii="宋体" w:hAnsi="宋体" w:eastAsia="宋体" w:cs="宋体"/>
                <w:sz w:val="22"/>
                <w:lang w:val="en-US" w:eastAsia="zh-CN"/>
              </w:rPr>
              <w:t>提供产品的试验报告</w:t>
            </w:r>
            <w:r>
              <w:rPr>
                <w:rFonts w:hint="eastAsia" w:ascii="宋体" w:hAnsi="宋体" w:eastAsia="宋体" w:cs="宋体"/>
                <w:sz w:val="22"/>
              </w:rPr>
              <w:t>；</w:t>
            </w:r>
            <w:r>
              <w:rPr>
                <w:rFonts w:hint="eastAsia" w:ascii="宋体" w:hAnsi="宋体" w:eastAsia="宋体" w:cs="宋体"/>
                <w:sz w:val="22"/>
              </w:rPr>
              <w:br w:type="textWrapping"/>
            </w:r>
            <w:r>
              <w:rPr>
                <w:rFonts w:hint="eastAsia" w:ascii="宋体" w:hAnsi="宋体" w:eastAsia="宋体" w:cs="宋体"/>
                <w:sz w:val="22"/>
                <w:lang w:val="en-US" w:eastAsia="zh-CN"/>
              </w:rPr>
              <w:t>2</w:t>
            </w:r>
            <w:r>
              <w:rPr>
                <w:rFonts w:hint="eastAsia" w:ascii="宋体" w:hAnsi="宋体" w:eastAsia="宋体" w:cs="宋体"/>
                <w:sz w:val="22"/>
              </w:rPr>
              <w:t>. 撰写技术论文、编制专利申报材料</w:t>
            </w:r>
            <w:r>
              <w:rPr>
                <w:rFonts w:hint="eastAsia" w:ascii="宋体" w:hAnsi="宋体" w:eastAsia="宋体" w:cs="宋体"/>
                <w:sz w:val="22"/>
              </w:rPr>
              <w:br w:type="textWrapping"/>
            </w:r>
            <w:r>
              <w:rPr>
                <w:rFonts w:hint="eastAsia" w:ascii="宋体" w:hAnsi="宋体" w:eastAsia="宋体" w:cs="宋体"/>
                <w:sz w:val="22"/>
              </w:rPr>
              <w:t>交付：试验报告、技术资料、论文初稿、专利申报材料</w:t>
            </w:r>
          </w:p>
        </w:tc>
      </w:tr>
    </w:tbl>
    <w:p w14:paraId="77EE51CD">
      <w:pPr>
        <w:snapToGrid w:val="0"/>
        <w:spacing w:before="120"/>
        <w:rPr>
          <w:rFonts w:ascii="黑体" w:hAnsi="黑体" w:eastAsia="黑体" w:cs="黑体"/>
          <w:b/>
          <w:bCs/>
          <w:sz w:val="28"/>
          <w:szCs w:val="36"/>
        </w:rPr>
      </w:pPr>
      <w:r>
        <w:rPr>
          <w:rFonts w:hint="eastAsia" w:ascii="黑体" w:hAnsi="黑体" w:eastAsia="黑体" w:cs="黑体"/>
          <w:b/>
          <w:bCs/>
          <w:sz w:val="28"/>
          <w:szCs w:val="36"/>
          <w:lang w:val="en-US" w:eastAsia="zh-CN"/>
        </w:rPr>
        <w:t>7</w:t>
      </w:r>
      <w:r>
        <w:rPr>
          <w:rFonts w:hint="eastAsia" w:ascii="黑体" w:hAnsi="黑体" w:eastAsia="黑体" w:cs="黑体"/>
          <w:b/>
          <w:bCs/>
          <w:sz w:val="28"/>
          <w:szCs w:val="36"/>
        </w:rPr>
        <w:t>.项目验收</w:t>
      </w:r>
      <w:bookmarkEnd w:id="38"/>
      <w:bookmarkEnd w:id="39"/>
      <w:bookmarkEnd w:id="40"/>
      <w:bookmarkEnd w:id="41"/>
      <w:bookmarkEnd w:id="42"/>
      <w:bookmarkEnd w:id="43"/>
      <w:bookmarkEnd w:id="44"/>
    </w:p>
    <w:p w14:paraId="0CC52F0B">
      <w:pPr>
        <w:rPr>
          <w:rFonts w:ascii="宋体" w:hAnsi="宋体" w:cs="宋体"/>
          <w:sz w:val="24"/>
        </w:rPr>
      </w:pPr>
      <w:r>
        <w:rPr>
          <w:rFonts w:hint="eastAsia" w:ascii="宋体" w:hAnsi="宋体" w:cs="宋体"/>
          <w:sz w:val="24"/>
          <w:lang w:val="en-US" w:eastAsia="zh-CN"/>
        </w:rPr>
        <w:t>7</w:t>
      </w:r>
      <w:r>
        <w:rPr>
          <w:rFonts w:hint="eastAsia" w:ascii="宋体" w:hAnsi="宋体" w:cs="宋体"/>
          <w:sz w:val="24"/>
        </w:rPr>
        <w:t>.1项目验收。投标方在自评具备验收条件后提出验收申请，招标方在收到验收申请后组织专家对所有项目材料和相关成果进行评审，开展项目验收。项目验收后，验收人员将根据实际情况提出验收报告，如若有需要整改的内容，投标方在验收后应主动配合招标方严格按照整改意见进行整改完善。</w:t>
      </w:r>
    </w:p>
    <w:p w14:paraId="03AA7F5C">
      <w:pPr>
        <w:snapToGrid w:val="0"/>
        <w:spacing w:before="120"/>
        <w:rPr>
          <w:rFonts w:ascii="黑体" w:hAnsi="黑体" w:eastAsia="黑体" w:cs="黑体"/>
          <w:b/>
          <w:bCs/>
          <w:sz w:val="28"/>
          <w:szCs w:val="36"/>
        </w:rPr>
      </w:pPr>
      <w:r>
        <w:rPr>
          <w:rFonts w:hint="eastAsia" w:ascii="黑体" w:hAnsi="黑体" w:eastAsia="黑体" w:cs="黑体"/>
          <w:b/>
          <w:bCs/>
          <w:sz w:val="28"/>
          <w:szCs w:val="36"/>
          <w:lang w:val="en-US" w:eastAsia="zh-CN"/>
        </w:rPr>
        <w:t>8.</w:t>
      </w:r>
      <w:r>
        <w:rPr>
          <w:rFonts w:hint="eastAsia" w:ascii="黑体" w:hAnsi="黑体" w:eastAsia="黑体" w:cs="黑体"/>
          <w:b/>
          <w:bCs/>
          <w:sz w:val="28"/>
          <w:szCs w:val="36"/>
        </w:rPr>
        <w:t>其他要求</w:t>
      </w:r>
      <w:bookmarkEnd w:id="45"/>
    </w:p>
    <w:p w14:paraId="21B31973">
      <w:pPr>
        <w:rPr>
          <w:rFonts w:ascii="宋体" w:hAnsi="宋体" w:cs="宋体"/>
          <w:sz w:val="24"/>
        </w:rPr>
      </w:pPr>
      <w:r>
        <w:rPr>
          <w:rFonts w:hint="eastAsia" w:ascii="宋体" w:hAnsi="宋体" w:cs="宋体"/>
          <w:sz w:val="24"/>
        </w:rPr>
        <w:t>本技术规范书中的未尽事宜，请与中国南方电网有限责任公司超高压输电公司南宁局联系。</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等线">
    <w:panose1 w:val="02010600030101010101"/>
    <w:charset w:val="86"/>
    <w:family w:val="auto"/>
    <w:pitch w:val="default"/>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0"/>
    <w:multiLevelType w:val="multilevel"/>
    <w:tmpl w:val="00000010"/>
    <w:lvl w:ilvl="0" w:tentative="0">
      <w:start w:val="1"/>
      <w:numFmt w:val="decimal"/>
      <w:pStyle w:val="2"/>
      <w:suff w:val="space"/>
      <w:lvlText w:val="%1."/>
      <w:lvlJc w:val="left"/>
      <w:pPr>
        <w:ind w:left="480" w:firstLine="0"/>
      </w:pPr>
      <w:rPr>
        <w:rFonts w:hint="eastAsia"/>
      </w:rPr>
    </w:lvl>
    <w:lvl w:ilvl="1" w:tentative="0">
      <w:start w:val="1"/>
      <w:numFmt w:val="decimal"/>
      <w:lvlText w:val="%1.%2."/>
      <w:lvlJc w:val="left"/>
      <w:pPr>
        <w:ind w:left="480" w:firstLine="0"/>
      </w:pPr>
      <w:rPr>
        <w:rFonts w:hint="eastAsia"/>
      </w:rPr>
    </w:lvl>
    <w:lvl w:ilvl="2" w:tentative="0">
      <w:start w:val="1"/>
      <w:numFmt w:val="decimal"/>
      <w:lvlText w:val="%1.%2.%3."/>
      <w:lvlJc w:val="left"/>
      <w:pPr>
        <w:ind w:left="480" w:firstLine="0"/>
      </w:pPr>
      <w:rPr>
        <w:rFonts w:hint="eastAsia"/>
      </w:rPr>
    </w:lvl>
    <w:lvl w:ilvl="3" w:tentative="0">
      <w:start w:val="1"/>
      <w:numFmt w:val="decimal"/>
      <w:lvlText w:val="%1.%2.%3.%4."/>
      <w:lvlJc w:val="left"/>
      <w:pPr>
        <w:ind w:left="480" w:firstLine="0"/>
      </w:pPr>
      <w:rPr>
        <w:rFonts w:hint="eastAsia"/>
      </w:rPr>
    </w:lvl>
    <w:lvl w:ilvl="4" w:tentative="0">
      <w:start w:val="1"/>
      <w:numFmt w:val="decimal"/>
      <w:lvlText w:val="%1.%2.%3.%4.%5."/>
      <w:lvlJc w:val="left"/>
      <w:pPr>
        <w:ind w:left="480" w:firstLine="0"/>
      </w:pPr>
      <w:rPr>
        <w:rFonts w:hint="eastAsia"/>
      </w:rPr>
    </w:lvl>
    <w:lvl w:ilvl="5" w:tentative="0">
      <w:start w:val="1"/>
      <w:numFmt w:val="decimal"/>
      <w:lvlText w:val="%1.%2.%3.%4.%5.%6."/>
      <w:lvlJc w:val="left"/>
      <w:pPr>
        <w:ind w:left="480" w:firstLine="0"/>
      </w:pPr>
      <w:rPr>
        <w:rFonts w:hint="eastAsia"/>
      </w:rPr>
    </w:lvl>
    <w:lvl w:ilvl="6" w:tentative="0">
      <w:start w:val="1"/>
      <w:numFmt w:val="decimal"/>
      <w:lvlText w:val="%1.%2.%3.%4.%5.%6.%7."/>
      <w:lvlJc w:val="left"/>
      <w:pPr>
        <w:ind w:left="480" w:firstLine="0"/>
      </w:pPr>
      <w:rPr>
        <w:rFonts w:hint="eastAsia"/>
      </w:rPr>
    </w:lvl>
    <w:lvl w:ilvl="7" w:tentative="0">
      <w:start w:val="1"/>
      <w:numFmt w:val="decimal"/>
      <w:lvlText w:val="%1.%2.%3.%4.%5.%6.%7.%8."/>
      <w:lvlJc w:val="left"/>
      <w:pPr>
        <w:ind w:left="480" w:firstLine="0"/>
      </w:pPr>
      <w:rPr>
        <w:rFonts w:hint="eastAsia"/>
      </w:rPr>
    </w:lvl>
    <w:lvl w:ilvl="8" w:tentative="0">
      <w:start w:val="1"/>
      <w:numFmt w:val="decimal"/>
      <w:lvlText w:val="%1.%2.%3.%4.%5.%6.%7.%8.%9."/>
      <w:lvlJc w:val="left"/>
      <w:pPr>
        <w:ind w:left="48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ljYTRjNDAwYmIxNTUxMzYwNWZjOGVjNzhjMmNiNGYifQ=="/>
    <w:docVar w:name="KSO_WPS_MARK_KEY" w:val="d8c2494a-917d-458a-8fc8-613114da08d3"/>
  </w:docVars>
  <w:rsids>
    <w:rsidRoot w:val="191A5617"/>
    <w:rsid w:val="000177AE"/>
    <w:rsid w:val="00082A13"/>
    <w:rsid w:val="000A3B84"/>
    <w:rsid w:val="000B5C76"/>
    <w:rsid w:val="00103E7B"/>
    <w:rsid w:val="00122F3E"/>
    <w:rsid w:val="00134895"/>
    <w:rsid w:val="00146961"/>
    <w:rsid w:val="00180D33"/>
    <w:rsid w:val="00216FE8"/>
    <w:rsid w:val="0028440A"/>
    <w:rsid w:val="00291379"/>
    <w:rsid w:val="002A457E"/>
    <w:rsid w:val="00385919"/>
    <w:rsid w:val="003A4DD8"/>
    <w:rsid w:val="00452C8A"/>
    <w:rsid w:val="004A72AF"/>
    <w:rsid w:val="004C0933"/>
    <w:rsid w:val="00513DAD"/>
    <w:rsid w:val="00531528"/>
    <w:rsid w:val="00533971"/>
    <w:rsid w:val="00536D1C"/>
    <w:rsid w:val="005641EA"/>
    <w:rsid w:val="00583545"/>
    <w:rsid w:val="0058678F"/>
    <w:rsid w:val="00595297"/>
    <w:rsid w:val="005C42BD"/>
    <w:rsid w:val="005C7AAE"/>
    <w:rsid w:val="00633F47"/>
    <w:rsid w:val="00640D75"/>
    <w:rsid w:val="006852F9"/>
    <w:rsid w:val="006D6C23"/>
    <w:rsid w:val="006F59F4"/>
    <w:rsid w:val="007157BD"/>
    <w:rsid w:val="007318D0"/>
    <w:rsid w:val="00746122"/>
    <w:rsid w:val="007C6002"/>
    <w:rsid w:val="007D39A6"/>
    <w:rsid w:val="0081520A"/>
    <w:rsid w:val="00825484"/>
    <w:rsid w:val="008806DD"/>
    <w:rsid w:val="009062CC"/>
    <w:rsid w:val="00921326"/>
    <w:rsid w:val="009622E8"/>
    <w:rsid w:val="009648F6"/>
    <w:rsid w:val="00975AE9"/>
    <w:rsid w:val="009B6782"/>
    <w:rsid w:val="009D048B"/>
    <w:rsid w:val="00A17398"/>
    <w:rsid w:val="00A34D7E"/>
    <w:rsid w:val="00A5073F"/>
    <w:rsid w:val="00A9312B"/>
    <w:rsid w:val="00AA6538"/>
    <w:rsid w:val="00AA7138"/>
    <w:rsid w:val="00B5473C"/>
    <w:rsid w:val="00B548A2"/>
    <w:rsid w:val="00C50F57"/>
    <w:rsid w:val="00CA3628"/>
    <w:rsid w:val="00CC1C57"/>
    <w:rsid w:val="00D235DA"/>
    <w:rsid w:val="00D620BA"/>
    <w:rsid w:val="00D70460"/>
    <w:rsid w:val="00DA4BCD"/>
    <w:rsid w:val="00DB19A9"/>
    <w:rsid w:val="00DD2B82"/>
    <w:rsid w:val="00DD609C"/>
    <w:rsid w:val="00E4648D"/>
    <w:rsid w:val="00E54E64"/>
    <w:rsid w:val="00EA1831"/>
    <w:rsid w:val="00F11A8A"/>
    <w:rsid w:val="00F71D64"/>
    <w:rsid w:val="00F73F8D"/>
    <w:rsid w:val="00FA086C"/>
    <w:rsid w:val="00FB4F1D"/>
    <w:rsid w:val="01543C57"/>
    <w:rsid w:val="04340829"/>
    <w:rsid w:val="06D27AF8"/>
    <w:rsid w:val="06F2484F"/>
    <w:rsid w:val="0A210078"/>
    <w:rsid w:val="0C030754"/>
    <w:rsid w:val="0CA05D46"/>
    <w:rsid w:val="0F966A31"/>
    <w:rsid w:val="10550F6F"/>
    <w:rsid w:val="128F30ED"/>
    <w:rsid w:val="12BD66DE"/>
    <w:rsid w:val="13132954"/>
    <w:rsid w:val="163A1216"/>
    <w:rsid w:val="166F3EB8"/>
    <w:rsid w:val="191A5617"/>
    <w:rsid w:val="1A0A5C1B"/>
    <w:rsid w:val="1BD511FB"/>
    <w:rsid w:val="1F8A11CF"/>
    <w:rsid w:val="20F20322"/>
    <w:rsid w:val="22001714"/>
    <w:rsid w:val="22431066"/>
    <w:rsid w:val="23D05B4F"/>
    <w:rsid w:val="27FA20BD"/>
    <w:rsid w:val="28677108"/>
    <w:rsid w:val="2AEE2FCE"/>
    <w:rsid w:val="2C0D5456"/>
    <w:rsid w:val="2C4C628B"/>
    <w:rsid w:val="2D630FAE"/>
    <w:rsid w:val="2DB575CA"/>
    <w:rsid w:val="2E9A689E"/>
    <w:rsid w:val="2F036DE8"/>
    <w:rsid w:val="2F8649A3"/>
    <w:rsid w:val="30936BC2"/>
    <w:rsid w:val="319B592F"/>
    <w:rsid w:val="33A11AE7"/>
    <w:rsid w:val="33F27DDD"/>
    <w:rsid w:val="34574C85"/>
    <w:rsid w:val="35577297"/>
    <w:rsid w:val="36515C79"/>
    <w:rsid w:val="373C54BB"/>
    <w:rsid w:val="37643739"/>
    <w:rsid w:val="37E33064"/>
    <w:rsid w:val="3B016E25"/>
    <w:rsid w:val="3B4F326E"/>
    <w:rsid w:val="3C0F5DF2"/>
    <w:rsid w:val="3EF75647"/>
    <w:rsid w:val="3FC46A7B"/>
    <w:rsid w:val="403E1100"/>
    <w:rsid w:val="40C512FC"/>
    <w:rsid w:val="428F0505"/>
    <w:rsid w:val="42C6746E"/>
    <w:rsid w:val="42EE5CD4"/>
    <w:rsid w:val="45D97826"/>
    <w:rsid w:val="45F20916"/>
    <w:rsid w:val="46927C50"/>
    <w:rsid w:val="46DA024E"/>
    <w:rsid w:val="48736764"/>
    <w:rsid w:val="48D82303"/>
    <w:rsid w:val="4D3F13B6"/>
    <w:rsid w:val="4DFF75F2"/>
    <w:rsid w:val="52420D12"/>
    <w:rsid w:val="56061A78"/>
    <w:rsid w:val="5643156F"/>
    <w:rsid w:val="57AF48B9"/>
    <w:rsid w:val="592823C4"/>
    <w:rsid w:val="592C035C"/>
    <w:rsid w:val="59795CDC"/>
    <w:rsid w:val="5981212C"/>
    <w:rsid w:val="5B187842"/>
    <w:rsid w:val="5D615387"/>
    <w:rsid w:val="61C27952"/>
    <w:rsid w:val="6212562E"/>
    <w:rsid w:val="62DB3950"/>
    <w:rsid w:val="62F53AC8"/>
    <w:rsid w:val="637B25C6"/>
    <w:rsid w:val="63D72C4E"/>
    <w:rsid w:val="661505CC"/>
    <w:rsid w:val="66FE4F15"/>
    <w:rsid w:val="69A41DA4"/>
    <w:rsid w:val="69BA736E"/>
    <w:rsid w:val="6A5A6906"/>
    <w:rsid w:val="6BCF0AA5"/>
    <w:rsid w:val="6BEF5D56"/>
    <w:rsid w:val="6C17004B"/>
    <w:rsid w:val="6E062826"/>
    <w:rsid w:val="6F0B1CE7"/>
    <w:rsid w:val="6F664872"/>
    <w:rsid w:val="6F942155"/>
    <w:rsid w:val="704439AD"/>
    <w:rsid w:val="74366DF1"/>
    <w:rsid w:val="74F35D39"/>
    <w:rsid w:val="75083064"/>
    <w:rsid w:val="75110011"/>
    <w:rsid w:val="76F24593"/>
    <w:rsid w:val="77C54214"/>
    <w:rsid w:val="7CCD3754"/>
    <w:rsid w:val="7D5140B3"/>
    <w:rsid w:val="7ECD2D40"/>
    <w:rsid w:val="7F0236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numPr>
        <w:ilvl w:val="0"/>
        <w:numId w:val="1"/>
      </w:numPr>
      <w:spacing w:before="100" w:beforeLines="100" w:after="50" w:afterLines="50"/>
      <w:outlineLvl w:val="0"/>
    </w:pPr>
    <w:rPr>
      <w:rFonts w:ascii="宋体" w:hAnsi="宋体"/>
      <w:b/>
      <w:bCs/>
      <w:kern w:val="24"/>
      <w:sz w:val="30"/>
      <w:u w:color="000000"/>
    </w:rPr>
  </w:style>
  <w:style w:type="paragraph" w:styleId="3">
    <w:name w:val="heading 4"/>
    <w:basedOn w:val="1"/>
    <w:next w:val="1"/>
    <w:semiHidden/>
    <w:unhideWhenUsed/>
    <w:qFormat/>
    <w:uiPriority w:val="0"/>
    <w:pPr>
      <w:spacing w:beforeAutospacing="1" w:afterAutospacing="1"/>
      <w:outlineLvl w:val="3"/>
    </w:pPr>
    <w:rPr>
      <w:rFonts w:hint="eastAsia" w:ascii="宋体" w:hAnsi="宋体"/>
      <w:b/>
      <w:bCs/>
      <w:kern w:val="0"/>
      <w:sz w:val="24"/>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4">
    <w:name w:val="Body Text"/>
    <w:basedOn w:val="5"/>
    <w:next w:val="5"/>
    <w:qFormat/>
    <w:uiPriority w:val="99"/>
    <w:pPr>
      <w:ind w:firstLine="880" w:firstLineChars="200"/>
    </w:pPr>
    <w:rPr>
      <w:rFonts w:ascii="仿宋_GB2312" w:hAnsi="仿宋_GB2312" w:eastAsia="仿宋_GB2312" w:cs="Arial"/>
      <w:sz w:val="32"/>
      <w:szCs w:val="20"/>
    </w:rPr>
  </w:style>
  <w:style w:type="paragraph" w:styleId="5">
    <w:name w:val="Title"/>
    <w:basedOn w:val="1"/>
    <w:next w:val="1"/>
    <w:qFormat/>
    <w:uiPriority w:val="99"/>
    <w:pPr>
      <w:spacing w:before="240" w:after="60"/>
      <w:jc w:val="center"/>
      <w:outlineLvl w:val="0"/>
    </w:pPr>
    <w:rPr>
      <w:rFonts w:ascii="Arial" w:hAnsi="Arial"/>
      <w:b/>
      <w:bCs/>
      <w:sz w:val="32"/>
      <w:szCs w:val="32"/>
    </w:rPr>
  </w:style>
  <w:style w:type="paragraph" w:styleId="6">
    <w:name w:val="Body Text Indent"/>
    <w:basedOn w:val="1"/>
    <w:unhideWhenUsed/>
    <w:qFormat/>
    <w:uiPriority w:val="99"/>
    <w:pPr>
      <w:spacing w:after="120"/>
      <w:ind w:left="420" w:leftChars="200"/>
    </w:pPr>
  </w:style>
  <w:style w:type="paragraph" w:styleId="7">
    <w:name w:val="Plain Text"/>
    <w:basedOn w:val="1"/>
    <w:qFormat/>
    <w:uiPriority w:val="0"/>
    <w:rPr>
      <w:rFonts w:ascii="宋体" w:hAnsi="Courier New"/>
      <w:szCs w:val="21"/>
    </w:rPr>
  </w:style>
  <w:style w:type="paragraph" w:styleId="8">
    <w:name w:val="footer"/>
    <w:basedOn w:val="1"/>
    <w:qFormat/>
    <w:uiPriority w:val="99"/>
    <w:pPr>
      <w:tabs>
        <w:tab w:val="center" w:pos="4153"/>
        <w:tab w:val="right" w:pos="8306"/>
      </w:tabs>
      <w:snapToGrid w:val="0"/>
    </w:pPr>
    <w:rPr>
      <w:sz w:val="18"/>
      <w:szCs w:val="18"/>
    </w:rPr>
  </w:style>
  <w:style w:type="paragraph" w:styleId="9">
    <w:name w:val="toc 2"/>
    <w:basedOn w:val="1"/>
    <w:next w:val="1"/>
    <w:unhideWhenUsed/>
    <w:qFormat/>
    <w:uiPriority w:val="39"/>
    <w:pPr>
      <w:widowControl/>
      <w:spacing w:after="100" w:line="259" w:lineRule="auto"/>
      <w:ind w:left="220"/>
    </w:pPr>
    <w:rPr>
      <w:kern w:val="0"/>
      <w:sz w:val="22"/>
    </w:rPr>
  </w:style>
  <w:style w:type="paragraph" w:styleId="10">
    <w:name w:val="Normal (Web)"/>
    <w:basedOn w:val="1"/>
    <w:qFormat/>
    <w:uiPriority w:val="0"/>
    <w:pPr>
      <w:spacing w:beforeAutospacing="1" w:afterAutospacing="1"/>
    </w:pPr>
    <w:rPr>
      <w:kern w:val="0"/>
      <w:sz w:val="24"/>
    </w:rPr>
  </w:style>
  <w:style w:type="paragraph" w:styleId="11">
    <w:name w:val="Body Text First Indent 2"/>
    <w:basedOn w:val="6"/>
    <w:unhideWhenUsed/>
    <w:qFormat/>
    <w:uiPriority w:val="99"/>
    <w:pPr>
      <w:ind w:firstLine="420"/>
    </w:p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qFormat/>
    <w:uiPriority w:val="0"/>
    <w:rPr>
      <w:b/>
      <w:bCs/>
    </w:rPr>
  </w:style>
  <w:style w:type="character" w:styleId="16">
    <w:name w:val="FollowedHyperlink"/>
    <w:basedOn w:val="14"/>
    <w:qFormat/>
    <w:uiPriority w:val="0"/>
    <w:rPr>
      <w:color w:val="696969"/>
      <w:u w:val="none"/>
    </w:rPr>
  </w:style>
  <w:style w:type="character" w:styleId="17">
    <w:name w:val="Emphasis"/>
    <w:basedOn w:val="14"/>
    <w:qFormat/>
    <w:uiPriority w:val="0"/>
    <w:rPr>
      <w:b/>
      <w:bCs/>
    </w:rPr>
  </w:style>
  <w:style w:type="character" w:styleId="18">
    <w:name w:val="HTML Definition"/>
    <w:basedOn w:val="14"/>
    <w:qFormat/>
    <w:uiPriority w:val="0"/>
  </w:style>
  <w:style w:type="character" w:styleId="19">
    <w:name w:val="HTML Variable"/>
    <w:basedOn w:val="14"/>
    <w:qFormat/>
    <w:uiPriority w:val="0"/>
  </w:style>
  <w:style w:type="character" w:styleId="20">
    <w:name w:val="Hyperlink"/>
    <w:basedOn w:val="14"/>
    <w:qFormat/>
    <w:uiPriority w:val="0"/>
    <w:rPr>
      <w:color w:val="696969"/>
      <w:u w:val="none"/>
    </w:rPr>
  </w:style>
  <w:style w:type="character" w:styleId="21">
    <w:name w:val="HTML Code"/>
    <w:basedOn w:val="14"/>
    <w:qFormat/>
    <w:uiPriority w:val="0"/>
    <w:rPr>
      <w:rFonts w:ascii="Courier New" w:hAnsi="Courier New"/>
      <w:sz w:val="20"/>
    </w:rPr>
  </w:style>
  <w:style w:type="character" w:styleId="22">
    <w:name w:val="HTML Cite"/>
    <w:basedOn w:val="14"/>
    <w:qFormat/>
    <w:uiPriority w:val="0"/>
    <w:rPr>
      <w:rFonts w:ascii="Helvetica" w:hAnsi="Helvetica" w:eastAsia="Helvetica" w:cs="Helvetica"/>
      <w:sz w:val="19"/>
      <w:szCs w:val="19"/>
    </w:rPr>
  </w:style>
  <w:style w:type="character" w:styleId="23">
    <w:name w:val="HTML Keyboard"/>
    <w:basedOn w:val="14"/>
    <w:qFormat/>
    <w:uiPriority w:val="0"/>
    <w:rPr>
      <w:rFonts w:ascii="Courier New" w:hAnsi="Courier New"/>
      <w:sz w:val="20"/>
    </w:rPr>
  </w:style>
  <w:style w:type="character" w:styleId="24">
    <w:name w:val="HTML Sample"/>
    <w:basedOn w:val="14"/>
    <w:qFormat/>
    <w:uiPriority w:val="0"/>
    <w:rPr>
      <w:rFonts w:ascii="Courier New" w:hAnsi="Courier New"/>
    </w:rPr>
  </w:style>
  <w:style w:type="character" w:customStyle="1" w:styleId="25">
    <w:name w:val="hover2"/>
    <w:basedOn w:val="14"/>
    <w:qFormat/>
    <w:uiPriority w:val="0"/>
    <w:rPr>
      <w:color w:val="333333"/>
      <w:u w:val="single"/>
    </w:rPr>
  </w:style>
  <w:style w:type="paragraph" w:customStyle="1" w:styleId="26">
    <w:name w:val="ZHR标题2"/>
    <w:qFormat/>
    <w:uiPriority w:val="0"/>
    <w:pPr>
      <w:spacing w:before="50" w:beforeLines="50" w:after="50" w:afterLines="50" w:line="360" w:lineRule="auto"/>
      <w:outlineLvl w:val="1"/>
    </w:pPr>
    <w:rPr>
      <w:rFonts w:ascii="Times New Roman" w:hAnsi="Times New Roman" w:eastAsia="宋体" w:cs="Times New Roman"/>
      <w:b/>
      <w:kern w:val="2"/>
      <w:sz w:val="24"/>
      <w:szCs w:val="24"/>
      <w:lang w:val="en-US" w:eastAsia="zh-CN" w:bidi="ar-SA"/>
    </w:rPr>
  </w:style>
  <w:style w:type="character" w:customStyle="1" w:styleId="27">
    <w:name w:val="after8"/>
    <w:basedOn w:val="14"/>
    <w:qFormat/>
    <w:uiPriority w:val="0"/>
    <w:rPr>
      <w:bdr w:val="dashed" w:color="auto" w:sz="48" w:space="0"/>
    </w:rPr>
  </w:style>
  <w:style w:type="character" w:customStyle="1" w:styleId="28">
    <w:name w:val="after9"/>
    <w:basedOn w:val="14"/>
    <w:qFormat/>
    <w:uiPriority w:val="0"/>
  </w:style>
  <w:style w:type="character" w:customStyle="1" w:styleId="29">
    <w:name w:val="hover52"/>
    <w:basedOn w:val="14"/>
    <w:qFormat/>
    <w:uiPriority w:val="0"/>
  </w:style>
  <w:style w:type="character" w:customStyle="1" w:styleId="30">
    <w:name w:val="hover53"/>
    <w:basedOn w:val="14"/>
    <w:qFormat/>
    <w:uiPriority w:val="0"/>
    <w:rPr>
      <w:shd w:val="clear" w:color="auto" w:fill="2590FF"/>
    </w:rPr>
  </w:style>
  <w:style w:type="character" w:customStyle="1" w:styleId="31">
    <w:name w:val="hover54"/>
    <w:basedOn w:val="14"/>
    <w:qFormat/>
    <w:uiPriority w:val="0"/>
    <w:rPr>
      <w:color w:val="4285F4"/>
    </w:rPr>
  </w:style>
  <w:style w:type="character" w:customStyle="1" w:styleId="32">
    <w:name w:val="hover55"/>
    <w:basedOn w:val="14"/>
    <w:qFormat/>
    <w:uiPriority w:val="0"/>
    <w:rPr>
      <w:color w:val="2590FF"/>
      <w:u w:val="none"/>
    </w:rPr>
  </w:style>
  <w:style w:type="character" w:customStyle="1" w:styleId="33">
    <w:name w:val="hover56"/>
    <w:basedOn w:val="14"/>
    <w:qFormat/>
    <w:uiPriority w:val="0"/>
    <w:rPr>
      <w:color w:val="2590FF"/>
    </w:rPr>
  </w:style>
  <w:style w:type="character" w:customStyle="1" w:styleId="34">
    <w:name w:val="hover57"/>
    <w:basedOn w:val="14"/>
    <w:qFormat/>
    <w:uiPriority w:val="0"/>
    <w:rPr>
      <w:color w:val="1A85D7"/>
    </w:rPr>
  </w:style>
  <w:style w:type="character" w:customStyle="1" w:styleId="35">
    <w:name w:val="empty"/>
    <w:basedOn w:val="14"/>
    <w:qFormat/>
    <w:uiPriority w:val="0"/>
  </w:style>
  <w:style w:type="character" w:customStyle="1" w:styleId="36">
    <w:name w:val="before"/>
    <w:basedOn w:val="14"/>
    <w:qFormat/>
    <w:uiPriority w:val="0"/>
    <w:rPr>
      <w:bdr w:val="single" w:color="auto" w:sz="48" w:space="0"/>
    </w:rPr>
  </w:style>
  <w:style w:type="character" w:customStyle="1" w:styleId="37">
    <w:name w:val="before1"/>
    <w:basedOn w:val="14"/>
    <w:qFormat/>
    <w:uiPriority w:val="0"/>
    <w:rPr>
      <w:shd w:val="clear" w:color="auto" w:fill="D8D8D8"/>
    </w:rPr>
  </w:style>
  <w:style w:type="character" w:customStyle="1" w:styleId="38">
    <w:name w:val="credit"/>
    <w:basedOn w:val="14"/>
    <w:qFormat/>
    <w:uiPriority w:val="0"/>
    <w:rPr>
      <w:sz w:val="18"/>
      <w:szCs w:val="18"/>
    </w:rPr>
  </w:style>
  <w:style w:type="character" w:customStyle="1" w:styleId="39">
    <w:name w:val="last-child1"/>
    <w:basedOn w:val="14"/>
    <w:qFormat/>
    <w:uiPriority w:val="0"/>
  </w:style>
  <w:style w:type="character" w:customStyle="1" w:styleId="40">
    <w:name w:val="active"/>
    <w:basedOn w:val="14"/>
    <w:qFormat/>
    <w:uiPriority w:val="0"/>
    <w:rPr>
      <w:color w:val="4285F4"/>
      <w:bdr w:val="single" w:color="4285F4" w:sz="6" w:space="0"/>
    </w:rPr>
  </w:style>
  <w:style w:type="character" w:customStyle="1" w:styleId="41">
    <w:name w:val="lui-classic-hidden"/>
    <w:basedOn w:val="14"/>
    <w:qFormat/>
    <w:uiPriority w:val="0"/>
    <w:rPr>
      <w:vanish/>
    </w:rPr>
  </w:style>
  <w:style w:type="character" w:customStyle="1" w:styleId="42">
    <w:name w:val="radio-label"/>
    <w:basedOn w:val="14"/>
    <w:qFormat/>
    <w:uiPriority w:val="0"/>
    <w:rPr>
      <w:sz w:val="24"/>
      <w:szCs w:val="24"/>
    </w:rPr>
  </w:style>
  <w:style w:type="character" w:customStyle="1" w:styleId="43">
    <w:name w:val="first-child"/>
    <w:basedOn w:val="14"/>
    <w:qFormat/>
    <w:uiPriority w:val="0"/>
  </w:style>
  <w:style w:type="character" w:customStyle="1" w:styleId="44">
    <w:name w:val="after"/>
    <w:basedOn w:val="14"/>
    <w:qFormat/>
    <w:uiPriority w:val="0"/>
    <w:rPr>
      <w:bdr w:val="dashed" w:color="auto" w:sz="48" w:space="0"/>
    </w:rPr>
  </w:style>
  <w:style w:type="character" w:customStyle="1" w:styleId="45">
    <w:name w:val="after1"/>
    <w:basedOn w:val="14"/>
    <w:qFormat/>
    <w:uiPriority w:val="0"/>
  </w:style>
  <w:style w:type="character" w:customStyle="1" w:styleId="46">
    <w:name w:val="hover"/>
    <w:basedOn w:val="14"/>
    <w:qFormat/>
    <w:uiPriority w:val="0"/>
    <w:rPr>
      <w:shd w:val="clear" w:color="auto" w:fill="2590FF"/>
    </w:rPr>
  </w:style>
  <w:style w:type="character" w:customStyle="1" w:styleId="47">
    <w:name w:val="hover1"/>
    <w:basedOn w:val="14"/>
    <w:qFormat/>
    <w:uiPriority w:val="0"/>
  </w:style>
  <w:style w:type="character" w:customStyle="1" w:styleId="48">
    <w:name w:val="hover3"/>
    <w:basedOn w:val="14"/>
    <w:qFormat/>
    <w:uiPriority w:val="0"/>
    <w:rPr>
      <w:color w:val="2590FF"/>
    </w:rPr>
  </w:style>
  <w:style w:type="character" w:customStyle="1" w:styleId="49">
    <w:name w:val="hover4"/>
    <w:basedOn w:val="14"/>
    <w:qFormat/>
    <w:uiPriority w:val="0"/>
    <w:rPr>
      <w:color w:val="2590FF"/>
      <w:u w:val="none"/>
    </w:rPr>
  </w:style>
  <w:style w:type="character" w:customStyle="1" w:styleId="50">
    <w:name w:val="hover5"/>
    <w:basedOn w:val="14"/>
    <w:qFormat/>
    <w:uiPriority w:val="0"/>
    <w:rPr>
      <w:color w:val="1A85D7"/>
    </w:rPr>
  </w:style>
  <w:style w:type="character" w:customStyle="1" w:styleId="51">
    <w:name w:val="last-child"/>
    <w:basedOn w:val="14"/>
    <w:qFormat/>
    <w:uiPriority w:val="0"/>
  </w:style>
  <w:style w:type="character" w:customStyle="1" w:styleId="52">
    <w:name w:val="active2"/>
    <w:basedOn w:val="14"/>
    <w:qFormat/>
    <w:uiPriority w:val="0"/>
    <w:rPr>
      <w:color w:val="4285F4"/>
      <w:bdr w:val="single" w:color="4285F4" w:sz="6" w:space="0"/>
    </w:rPr>
  </w:style>
  <w:style w:type="character" w:customStyle="1" w:styleId="53">
    <w:name w:val="qwen-markdown-text"/>
    <w:basedOn w:val="14"/>
    <w:qFormat/>
    <w:uiPriority w:val="0"/>
  </w:style>
  <w:style w:type="paragraph" w:customStyle="1" w:styleId="54">
    <w:name w:val="表格仿宋小四靠左"/>
    <w:basedOn w:val="1"/>
    <w:qFormat/>
    <w:uiPriority w:val="99"/>
    <w:rPr>
      <w:rFonts w:ascii="仿宋_GB2312" w:hAnsi="Times New Roman" w:eastAsia="仿宋_GB2312"/>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oleObject" Target="embeddings/oleObject1.bin"/><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3094</Words>
  <Characters>3259</Characters>
  <Lines>122</Lines>
  <Paragraphs>127</Paragraphs>
  <TotalTime>0</TotalTime>
  <ScaleCrop>false</ScaleCrop>
  <LinksUpToDate>false</LinksUpToDate>
  <CharactersWithSpaces>3348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2022-11-15T02:45:00Z</dcterms:created>
  <dc:creator>chenzhuo</dc:creator>
  <cp:lastModifiedBy>张三</cp:lastModifiedBy>
  <dcterms:modified xsi:type="dcterms:W3CDTF">2026-07-15T04:13:03Z</dcterms:modified>
  <cp:revision>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5873278687674BF091178BC59529CDEB_13</vt:lpwstr>
  </property>
  <property fmtid="{D5CDD505-2E9C-101B-9397-08002B2CF9AE}" pid="4" name="KSOTemplateDocerSaveRecord">
    <vt:lpwstr>eyJoZGlkIjoiMmZjNWUwM2E5NjM0YWZjMzUwZmFkZjg2MDhkYzM3MDIiLCJ1c2VySWQiOiIyNDc2OTQ2ODYifQ==</vt:lpwstr>
  </property>
</Properties>
</file>